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91847" w14:textId="77777777" w:rsidR="00E76A1A" w:rsidRDefault="00DF63C8">
      <w:pPr>
        <w:spacing w:after="115" w:line="259" w:lineRule="auto"/>
        <w:ind w:left="1" w:right="0" w:firstLine="0"/>
        <w:jc w:val="left"/>
      </w:pPr>
      <w:r>
        <w:rPr>
          <w:noProof/>
        </w:rPr>
        <w:drawing>
          <wp:inline distT="0" distB="0" distL="0" distR="0" wp14:anchorId="2C5CE746" wp14:editId="032144D2">
            <wp:extent cx="1903857" cy="41084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3857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B3F5140" w14:textId="06442F6E" w:rsidR="00E76A1A" w:rsidRDefault="00DF63C8" w:rsidP="002634DD">
      <w:pPr>
        <w:spacing w:after="158" w:line="259" w:lineRule="auto"/>
        <w:ind w:left="0" w:right="0" w:firstLine="0"/>
        <w:jc w:val="left"/>
      </w:pPr>
      <w:r>
        <w:t xml:space="preserve">  </w:t>
      </w:r>
    </w:p>
    <w:p w14:paraId="3D5DD40F" w14:textId="175C006F" w:rsidR="00124E1F" w:rsidRPr="00543FA3" w:rsidRDefault="00124E1F" w:rsidP="00712C86">
      <w:pPr>
        <w:spacing w:after="0" w:line="259" w:lineRule="auto"/>
        <w:ind w:left="0" w:right="8" w:firstLine="0"/>
        <w:jc w:val="center"/>
        <w:rPr>
          <w:b/>
          <w:color w:val="1F4E79"/>
          <w:sz w:val="28"/>
          <w:szCs w:val="28"/>
        </w:rPr>
      </w:pPr>
      <w:r w:rsidRPr="00DD1E72">
        <w:rPr>
          <w:b/>
          <w:color w:val="1F4E79"/>
          <w:sz w:val="28"/>
          <w:szCs w:val="28"/>
        </w:rPr>
        <w:t>METODICK</w:t>
      </w:r>
      <w:r w:rsidR="003557A6">
        <w:rPr>
          <w:b/>
          <w:color w:val="1F4E79"/>
          <w:sz w:val="28"/>
          <w:szCs w:val="28"/>
        </w:rPr>
        <w:t>Á</w:t>
      </w:r>
      <w:r w:rsidRPr="00543FA3">
        <w:rPr>
          <w:b/>
          <w:color w:val="1F4E79"/>
          <w:sz w:val="28"/>
          <w:szCs w:val="28"/>
        </w:rPr>
        <w:t xml:space="preserve"> </w:t>
      </w:r>
      <w:r w:rsidR="003557A6">
        <w:rPr>
          <w:b/>
          <w:color w:val="1F4E79"/>
          <w:sz w:val="28"/>
          <w:szCs w:val="28"/>
        </w:rPr>
        <w:t>POMŮCKA</w:t>
      </w:r>
    </w:p>
    <w:p w14:paraId="371CBC13" w14:textId="6E81CAC8" w:rsidR="00E76A1A" w:rsidRPr="00543FA3" w:rsidRDefault="002634DD" w:rsidP="00712C86">
      <w:pPr>
        <w:spacing w:after="0" w:line="259" w:lineRule="auto"/>
        <w:ind w:left="0" w:right="8" w:firstLine="0"/>
        <w:jc w:val="center"/>
        <w:rPr>
          <w:sz w:val="28"/>
          <w:szCs w:val="28"/>
        </w:rPr>
      </w:pPr>
      <w:r w:rsidRPr="00543FA3">
        <w:rPr>
          <w:b/>
          <w:color w:val="1F4E79"/>
          <w:sz w:val="28"/>
          <w:szCs w:val="28"/>
        </w:rPr>
        <w:t>E</w:t>
      </w:r>
      <w:r w:rsidR="00124E1F" w:rsidRPr="00543FA3">
        <w:rPr>
          <w:b/>
          <w:color w:val="1F4E79"/>
          <w:sz w:val="28"/>
          <w:szCs w:val="28"/>
        </w:rPr>
        <w:t>LEKTRICKÉ</w:t>
      </w:r>
      <w:r w:rsidRPr="00543FA3">
        <w:rPr>
          <w:b/>
          <w:color w:val="1F4E79"/>
          <w:sz w:val="28"/>
          <w:szCs w:val="28"/>
        </w:rPr>
        <w:t xml:space="preserve"> OHRADNÍKY PRO ZVÍŘATA, KOŠÁRY</w:t>
      </w:r>
      <w:r w:rsidR="005979D5" w:rsidRPr="00543FA3">
        <w:rPr>
          <w:b/>
          <w:color w:val="1F4E79"/>
          <w:sz w:val="28"/>
          <w:szCs w:val="28"/>
        </w:rPr>
        <w:t xml:space="preserve">, </w:t>
      </w:r>
      <w:r w:rsidRPr="00543FA3">
        <w:rPr>
          <w:b/>
          <w:color w:val="1F4E79"/>
          <w:sz w:val="28"/>
          <w:szCs w:val="28"/>
        </w:rPr>
        <w:t>OPLOCENÍ</w:t>
      </w:r>
      <w:r w:rsidR="00DF63C8" w:rsidRPr="00543FA3">
        <w:rPr>
          <w:b/>
          <w:color w:val="1F4E79"/>
          <w:sz w:val="28"/>
          <w:szCs w:val="28"/>
        </w:rPr>
        <w:t xml:space="preserve"> </w:t>
      </w:r>
      <w:r w:rsidR="00712C86" w:rsidRPr="00543FA3">
        <w:rPr>
          <w:b/>
          <w:color w:val="1F4E79"/>
          <w:sz w:val="28"/>
          <w:szCs w:val="28"/>
        </w:rPr>
        <w:t>(</w:t>
      </w:r>
      <w:r w:rsidR="005979D5" w:rsidRPr="00543FA3">
        <w:rPr>
          <w:b/>
          <w:color w:val="1F4E79"/>
          <w:sz w:val="28"/>
          <w:szCs w:val="28"/>
        </w:rPr>
        <w:t>OHRAD</w:t>
      </w:r>
      <w:r w:rsidR="00712C86" w:rsidRPr="00543FA3">
        <w:rPr>
          <w:b/>
          <w:color w:val="1F4E79"/>
          <w:sz w:val="28"/>
          <w:szCs w:val="28"/>
        </w:rPr>
        <w:t>Y)</w:t>
      </w:r>
    </w:p>
    <w:p w14:paraId="535CE0C1" w14:textId="77777777" w:rsidR="00712C86" w:rsidRDefault="00712C86">
      <w:pPr>
        <w:spacing w:after="255" w:line="259" w:lineRule="auto"/>
        <w:ind w:left="0" w:right="0" w:firstLine="0"/>
        <w:jc w:val="left"/>
      </w:pPr>
    </w:p>
    <w:p w14:paraId="7162EEF3" w14:textId="433913A1" w:rsidR="00E76A1A" w:rsidRDefault="00A50AD8" w:rsidP="00350CC0">
      <w:pPr>
        <w:pStyle w:val="Nadpis1"/>
        <w:ind w:left="283" w:hanging="283"/>
      </w:pPr>
      <w:r>
        <w:t xml:space="preserve">       </w:t>
      </w:r>
      <w:r w:rsidR="00DF63C8">
        <w:t xml:space="preserve">Úvod </w:t>
      </w:r>
    </w:p>
    <w:p w14:paraId="0BF9D23A" w14:textId="77777777" w:rsidR="00BD079D" w:rsidRPr="00BD079D" w:rsidRDefault="00BD079D" w:rsidP="00BD079D">
      <w:pPr>
        <w:spacing w:after="0"/>
        <w:rPr>
          <w:sz w:val="26"/>
          <w:szCs w:val="26"/>
        </w:rPr>
      </w:pPr>
    </w:p>
    <w:p w14:paraId="7B75D83C" w14:textId="3CF6C27A" w:rsidR="00E76A1A" w:rsidRPr="00281D37" w:rsidRDefault="00DF63C8" w:rsidP="00350CC0">
      <w:pPr>
        <w:spacing w:after="0"/>
        <w:ind w:left="-5" w:right="0"/>
        <w:rPr>
          <w:color w:val="auto"/>
        </w:rPr>
      </w:pPr>
      <w:r w:rsidRPr="00281D37">
        <w:rPr>
          <w:color w:val="auto"/>
        </w:rPr>
        <w:t xml:space="preserve">Pojem </w:t>
      </w:r>
      <w:r w:rsidR="00281D37" w:rsidRPr="00281D37">
        <w:rPr>
          <w:i/>
          <w:iCs/>
          <w:color w:val="auto"/>
        </w:rPr>
        <w:t>elektrický ohradník</w:t>
      </w:r>
      <w:r w:rsidRPr="00281D37">
        <w:rPr>
          <w:color w:val="auto"/>
        </w:rPr>
        <w:t xml:space="preserve">, </w:t>
      </w:r>
      <w:r w:rsidR="00281D37" w:rsidRPr="00281D37">
        <w:rPr>
          <w:i/>
          <w:iCs/>
          <w:color w:val="auto"/>
        </w:rPr>
        <w:t>košár, oplocení</w:t>
      </w:r>
      <w:r w:rsidR="00281D37" w:rsidRPr="00281D37">
        <w:rPr>
          <w:color w:val="auto"/>
        </w:rPr>
        <w:t xml:space="preserve"> a </w:t>
      </w:r>
      <w:r w:rsidR="00281D37" w:rsidRPr="00281D37">
        <w:rPr>
          <w:i/>
          <w:iCs/>
          <w:color w:val="auto"/>
        </w:rPr>
        <w:t>ohrada</w:t>
      </w:r>
      <w:r w:rsidR="00281D37" w:rsidRPr="00281D37">
        <w:rPr>
          <w:color w:val="auto"/>
        </w:rPr>
        <w:t xml:space="preserve"> jako specifický způsob oplocení</w:t>
      </w:r>
      <w:r w:rsidR="00DE7CF6">
        <w:rPr>
          <w:color w:val="auto"/>
        </w:rPr>
        <w:t>,</w:t>
      </w:r>
      <w:r w:rsidRPr="00281D37">
        <w:rPr>
          <w:color w:val="auto"/>
        </w:rPr>
        <w:t xml:space="preserve"> je terminus technicus běžně užívaný </w:t>
      </w:r>
      <w:r w:rsidR="00281D37" w:rsidRPr="00281D37">
        <w:rPr>
          <w:color w:val="auto"/>
        </w:rPr>
        <w:t xml:space="preserve">jak </w:t>
      </w:r>
      <w:r w:rsidRPr="00281D37">
        <w:rPr>
          <w:color w:val="auto"/>
        </w:rPr>
        <w:t xml:space="preserve">odbornou, </w:t>
      </w:r>
      <w:r w:rsidR="00281D37" w:rsidRPr="00281D37">
        <w:rPr>
          <w:color w:val="auto"/>
        </w:rPr>
        <w:t xml:space="preserve">tak i </w:t>
      </w:r>
      <w:r w:rsidRPr="00281D37">
        <w:rPr>
          <w:color w:val="auto"/>
        </w:rPr>
        <w:t xml:space="preserve">laickou veřejností. </w:t>
      </w:r>
    </w:p>
    <w:p w14:paraId="72F56EA7" w14:textId="6A2D2DC1" w:rsidR="00E76A1A" w:rsidRPr="00281D37" w:rsidRDefault="00DF63C8" w:rsidP="00BD079D">
      <w:pPr>
        <w:spacing w:after="0"/>
        <w:ind w:left="-5" w:right="0"/>
        <w:rPr>
          <w:color w:val="auto"/>
        </w:rPr>
      </w:pPr>
      <w:r w:rsidRPr="00281D37">
        <w:rPr>
          <w:color w:val="auto"/>
        </w:rPr>
        <w:t xml:space="preserve">K objasnění rozdílu mezi </w:t>
      </w:r>
      <w:r w:rsidR="00281D37" w:rsidRPr="00281D37">
        <w:rPr>
          <w:color w:val="auto"/>
        </w:rPr>
        <w:t>elektrickým ohradníkem, košárem a oplocením (ohrady)</w:t>
      </w:r>
      <w:r w:rsidRPr="00281D37">
        <w:rPr>
          <w:color w:val="auto"/>
        </w:rPr>
        <w:t xml:space="preserve"> včetně jejich posuzování z hlediska stavebních předpisů slouží tato metodická pomůcka. </w:t>
      </w:r>
    </w:p>
    <w:p w14:paraId="23BA8989" w14:textId="77777777" w:rsidR="00E76A1A" w:rsidRPr="00BD079D" w:rsidRDefault="00DF63C8" w:rsidP="00BD079D">
      <w:pPr>
        <w:spacing w:after="0" w:line="259" w:lineRule="auto"/>
        <w:ind w:left="0" w:right="0" w:firstLine="0"/>
        <w:jc w:val="left"/>
        <w:rPr>
          <w:color w:val="auto"/>
          <w:sz w:val="26"/>
          <w:szCs w:val="26"/>
        </w:rPr>
      </w:pPr>
      <w:r w:rsidRPr="00281D37">
        <w:rPr>
          <w:color w:val="auto"/>
        </w:rPr>
        <w:t xml:space="preserve"> </w:t>
      </w:r>
    </w:p>
    <w:p w14:paraId="46AE4D4D" w14:textId="227B53B3" w:rsidR="00AB3F0E" w:rsidRPr="00AB3F0E" w:rsidRDefault="002C1178" w:rsidP="00BD079D">
      <w:pPr>
        <w:pStyle w:val="Nadpis1"/>
      </w:pPr>
      <w:r>
        <w:t>P</w:t>
      </w:r>
      <w:r w:rsidR="00DF63C8">
        <w:t>ojm</w:t>
      </w:r>
      <w:r>
        <w:t>y</w:t>
      </w:r>
      <w:r w:rsidR="00DF63C8">
        <w:t xml:space="preserve"> </w:t>
      </w:r>
      <w:r w:rsidR="005979D5" w:rsidRPr="00DE2AD7">
        <w:t>elektrický ohradník</w:t>
      </w:r>
      <w:r w:rsidR="005979D5">
        <w:t xml:space="preserve">, </w:t>
      </w:r>
      <w:r w:rsidR="005979D5" w:rsidRPr="00DE2AD7">
        <w:t>košár</w:t>
      </w:r>
      <w:r w:rsidR="00230658">
        <w:t>,</w:t>
      </w:r>
      <w:r w:rsidR="00DE2AD7">
        <w:t xml:space="preserve"> </w:t>
      </w:r>
      <w:r w:rsidR="005979D5" w:rsidRPr="00DE2AD7">
        <w:t xml:space="preserve">oplocení </w:t>
      </w:r>
      <w:r w:rsidR="00DE2AD7" w:rsidRPr="00DE2AD7">
        <w:t>(</w:t>
      </w:r>
      <w:r w:rsidR="005979D5" w:rsidRPr="00DE2AD7">
        <w:t>ohrada</w:t>
      </w:r>
      <w:r w:rsidR="00DE2AD7" w:rsidRPr="00DE2AD7">
        <w:t>)</w:t>
      </w:r>
      <w:r w:rsidR="00230658">
        <w:t>, stavba</w:t>
      </w:r>
    </w:p>
    <w:p w14:paraId="463B1F7E" w14:textId="2C7E2EDC" w:rsidR="00E76A1A" w:rsidRDefault="00DF63C8" w:rsidP="00BD079D">
      <w:pPr>
        <w:pStyle w:val="Nadpis2"/>
        <w:spacing w:after="0"/>
      </w:pPr>
      <w:bookmarkStart w:id="0" w:name="_Hlk213741350"/>
      <w:r>
        <w:t xml:space="preserve"> </w:t>
      </w:r>
    </w:p>
    <w:bookmarkEnd w:id="0"/>
    <w:p w14:paraId="199252CD" w14:textId="508C8D57" w:rsidR="00DD08D0" w:rsidRDefault="00DF63C8" w:rsidP="00BD079D">
      <w:pPr>
        <w:spacing w:after="0"/>
        <w:ind w:left="-5" w:right="0"/>
      </w:pPr>
      <w:r>
        <w:t>Stavební zákon</w:t>
      </w:r>
      <w:r>
        <w:rPr>
          <w:vertAlign w:val="superscript"/>
        </w:rPr>
        <w:footnoteReference w:id="1"/>
      </w:r>
      <w:r>
        <w:t xml:space="preserve"> </w:t>
      </w:r>
      <w:r w:rsidR="00E63FEA">
        <w:t>(</w:t>
      </w:r>
      <w:r w:rsidR="00DC1D76">
        <w:t>SZ</w:t>
      </w:r>
      <w:r w:rsidR="00E63FEA">
        <w:t xml:space="preserve">) </w:t>
      </w:r>
      <w:r>
        <w:t xml:space="preserve">ani jeho prováděcí předpisy, pojem </w:t>
      </w:r>
      <w:r w:rsidR="00B70F05" w:rsidRPr="00E63FEA">
        <w:rPr>
          <w:i/>
          <w:iCs/>
        </w:rPr>
        <w:t>elektrický ohradník</w:t>
      </w:r>
      <w:r w:rsidR="005979D5" w:rsidRPr="00C41886">
        <w:t xml:space="preserve">, </w:t>
      </w:r>
      <w:r w:rsidR="005979D5" w:rsidRPr="00B70F05">
        <w:rPr>
          <w:i/>
          <w:iCs/>
        </w:rPr>
        <w:t>košár</w:t>
      </w:r>
      <w:r w:rsidR="005979D5" w:rsidRPr="00C41886">
        <w:t xml:space="preserve">, </w:t>
      </w:r>
      <w:r w:rsidR="005979D5" w:rsidRPr="00B70F05">
        <w:rPr>
          <w:i/>
          <w:iCs/>
        </w:rPr>
        <w:t>oplocení</w:t>
      </w:r>
      <w:r w:rsidR="00DE2AD7">
        <w:rPr>
          <w:i/>
          <w:iCs/>
        </w:rPr>
        <w:t xml:space="preserve">, respektive </w:t>
      </w:r>
      <w:r>
        <w:t xml:space="preserve">pojem </w:t>
      </w:r>
      <w:r w:rsidR="005979D5" w:rsidRPr="00C41886">
        <w:rPr>
          <w:i/>
          <w:iCs/>
        </w:rPr>
        <w:t>ohrada</w:t>
      </w:r>
      <w:r>
        <w:t xml:space="preserve"> </w:t>
      </w:r>
      <w:r w:rsidR="00DE2AD7">
        <w:t xml:space="preserve">jakožto oplocení určené k jinému </w:t>
      </w:r>
      <w:r w:rsidR="006857CC">
        <w:t>účelu,</w:t>
      </w:r>
      <w:r w:rsidR="00C44513">
        <w:t xml:space="preserve"> </w:t>
      </w:r>
      <w:r>
        <w:t xml:space="preserve">nedefinují. </w:t>
      </w:r>
      <w:r w:rsidR="00B70F05">
        <w:t xml:space="preserve">Pro účely této metodické pomůcky je však nutné </w:t>
      </w:r>
      <w:r w:rsidR="002C1178">
        <w:t xml:space="preserve">tyto </w:t>
      </w:r>
      <w:r w:rsidR="00B70F05">
        <w:t>pojm</w:t>
      </w:r>
      <w:r w:rsidR="002C1178">
        <w:t>y</w:t>
      </w:r>
      <w:r w:rsidR="00B70F05">
        <w:t xml:space="preserve"> blíže </w:t>
      </w:r>
      <w:r w:rsidR="00B53C05">
        <w:t>specifikovat a</w:t>
      </w:r>
      <w:r w:rsidR="002C1178">
        <w:t xml:space="preserve"> </w:t>
      </w:r>
      <w:r w:rsidR="00B53C05">
        <w:t xml:space="preserve">následně určit, </w:t>
      </w:r>
      <w:r w:rsidR="002C1178">
        <w:t>d</w:t>
      </w:r>
      <w:r w:rsidR="00B53C05">
        <w:t xml:space="preserve">o které z kategorií podle </w:t>
      </w:r>
      <w:r w:rsidR="00DC1D76">
        <w:t>SZ</w:t>
      </w:r>
      <w:r w:rsidR="00B53C05">
        <w:t xml:space="preserve"> jednotlivé </w:t>
      </w:r>
      <w:r w:rsidR="002C1178">
        <w:t>pojmy</w:t>
      </w:r>
      <w:r w:rsidR="001474FE">
        <w:t xml:space="preserve"> </w:t>
      </w:r>
      <w:r w:rsidR="00B53C05">
        <w:t xml:space="preserve">spadají, respektive zda se jedná o stavby dle </w:t>
      </w:r>
      <w:r w:rsidR="00DC1D76">
        <w:t>SZ</w:t>
      </w:r>
      <w:r w:rsidR="00B53C05">
        <w:t>, či nikoli.</w:t>
      </w:r>
    </w:p>
    <w:p w14:paraId="18AC3A21" w14:textId="77777777" w:rsidR="00DD1E72" w:rsidRDefault="00DD1E72" w:rsidP="00DD1E72">
      <w:pPr>
        <w:spacing w:after="0"/>
        <w:ind w:left="-5" w:right="0"/>
      </w:pPr>
    </w:p>
    <w:p w14:paraId="2BE479AA" w14:textId="26976B04" w:rsidR="00B53C05" w:rsidRPr="006275CC" w:rsidRDefault="00B53C05" w:rsidP="006275CC">
      <w:pPr>
        <w:pStyle w:val="Nadpis2"/>
        <w:ind w:left="0" w:firstLine="0"/>
      </w:pPr>
      <w:r w:rsidRPr="006275CC">
        <w:t>Jednotlivé pojm</w:t>
      </w:r>
      <w:r w:rsidR="009B6E4C">
        <w:t>y</w:t>
      </w:r>
      <w:r w:rsidRPr="006275CC">
        <w:t xml:space="preserve"> </w:t>
      </w:r>
    </w:p>
    <w:p w14:paraId="54C11962" w14:textId="6420654F" w:rsidR="00E76A1A" w:rsidRPr="00AB3F0E" w:rsidRDefault="00DD08D0" w:rsidP="00AB3F0E">
      <w:pPr>
        <w:pStyle w:val="Odstavecseseznamem"/>
        <w:numPr>
          <w:ilvl w:val="0"/>
          <w:numId w:val="5"/>
        </w:numPr>
        <w:spacing w:after="197"/>
        <w:ind w:right="0"/>
        <w:rPr>
          <w:bCs/>
          <w:i/>
          <w:iCs/>
        </w:rPr>
      </w:pPr>
      <w:r w:rsidRPr="00AB3F0E">
        <w:rPr>
          <w:b/>
          <w:i/>
        </w:rPr>
        <w:t xml:space="preserve">Elektrický ohradník </w:t>
      </w:r>
      <w:r w:rsidRPr="00AB3F0E">
        <w:rPr>
          <w:bCs/>
          <w:i/>
        </w:rPr>
        <w:t xml:space="preserve">je zařízení, které se používá na pastvinách a výbězích pro zvířata </w:t>
      </w:r>
      <w:r w:rsidR="00FC677C">
        <w:rPr>
          <w:bCs/>
          <w:i/>
        </w:rPr>
        <w:br/>
      </w:r>
      <w:r w:rsidRPr="00AB3F0E">
        <w:rPr>
          <w:bCs/>
          <w:i/>
        </w:rPr>
        <w:t>pro ochranu před útěkem z výběhu, funguje na principu uzavření elektrického obvodu mezi ohradníkovým vodičem a zemí.</w:t>
      </w:r>
      <w:r w:rsidR="00543FA3">
        <w:rPr>
          <w:bCs/>
          <w:i/>
        </w:rPr>
        <w:t xml:space="preserve"> </w:t>
      </w:r>
      <w:r w:rsidR="00DE2AD7" w:rsidRPr="00AB3F0E">
        <w:rPr>
          <w:bCs/>
          <w:i/>
          <w:iCs/>
        </w:rPr>
        <w:t>Elektrický ohradník se skládá z elektrického generátoru (zdroje) a ohrazení vytyčeného sloupky a vodiči. Elektrický generátor zásobuje vedení ohradníku proudovými impulsy.</w:t>
      </w:r>
      <w:r w:rsidR="00D57D40">
        <w:rPr>
          <w:bCs/>
          <w:i/>
          <w:iCs/>
        </w:rPr>
        <w:t xml:space="preserve"> </w:t>
      </w:r>
      <w:r w:rsidR="008F11D5">
        <w:rPr>
          <w:bCs/>
          <w:i/>
          <w:iCs/>
        </w:rPr>
        <w:t xml:space="preserve">Elektrické ohradníky jsou děleny na mobilní a </w:t>
      </w:r>
      <w:r w:rsidR="00C81940">
        <w:rPr>
          <w:bCs/>
          <w:i/>
          <w:iCs/>
        </w:rPr>
        <w:t>pevné</w:t>
      </w:r>
      <w:r w:rsidR="00D57D40">
        <w:rPr>
          <w:bCs/>
          <w:i/>
          <w:iCs/>
        </w:rPr>
        <w:t>.</w:t>
      </w:r>
      <w:r w:rsidR="007029C5">
        <w:rPr>
          <w:bCs/>
          <w:i/>
          <w:iCs/>
        </w:rPr>
        <w:t xml:space="preserve"> Elektrický ohradník nenaplňuje definici stavby podle SZ.</w:t>
      </w:r>
    </w:p>
    <w:p w14:paraId="7A2210CB" w14:textId="20ADD643" w:rsidR="00DD08D0" w:rsidRPr="00E10FBE" w:rsidRDefault="00DD08D0" w:rsidP="00DD08D0">
      <w:pPr>
        <w:pStyle w:val="Odstavecseseznamem"/>
        <w:numPr>
          <w:ilvl w:val="0"/>
          <w:numId w:val="5"/>
        </w:numPr>
        <w:spacing w:after="197"/>
        <w:ind w:right="0"/>
        <w:rPr>
          <w:bCs/>
        </w:rPr>
      </w:pPr>
      <w:r>
        <w:rPr>
          <w:b/>
          <w:i/>
        </w:rPr>
        <w:t>Košár</w:t>
      </w:r>
      <w:r w:rsidR="00E10FBE">
        <w:rPr>
          <w:b/>
          <w:i/>
        </w:rPr>
        <w:t xml:space="preserve"> </w:t>
      </w:r>
      <w:r w:rsidR="00D57D40" w:rsidRPr="00D57D40">
        <w:rPr>
          <w:bCs/>
          <w:i/>
        </w:rPr>
        <w:t xml:space="preserve">je </w:t>
      </w:r>
      <w:r w:rsidR="00BC778E" w:rsidRPr="00BC778E">
        <w:rPr>
          <w:bCs/>
          <w:i/>
        </w:rPr>
        <w:t xml:space="preserve">lehká </w:t>
      </w:r>
      <w:r w:rsidR="00C81940">
        <w:rPr>
          <w:bCs/>
          <w:i/>
        </w:rPr>
        <w:t xml:space="preserve">přenosná </w:t>
      </w:r>
      <w:r w:rsidR="00BC778E" w:rsidRPr="00BC778E">
        <w:rPr>
          <w:bCs/>
          <w:i/>
        </w:rPr>
        <w:t>ohrada, kam se zahání dobytek</w:t>
      </w:r>
      <w:r w:rsidR="00CA4C67">
        <w:rPr>
          <w:bCs/>
          <w:i/>
        </w:rPr>
        <w:t>.</w:t>
      </w:r>
      <w:r w:rsidR="00CA4C67" w:rsidRPr="00CA4C67">
        <w:rPr>
          <w:bCs/>
          <w:i/>
        </w:rPr>
        <w:t xml:space="preserve"> Jeho hlavním účelem je zabránit rozutíkání stáda a udržet ho pohromadě</w:t>
      </w:r>
      <w:r w:rsidR="009B6E4C">
        <w:rPr>
          <w:bCs/>
          <w:i/>
        </w:rPr>
        <w:t xml:space="preserve"> nebo</w:t>
      </w:r>
      <w:r w:rsidR="00CA4C67" w:rsidRPr="00CA4C67">
        <w:rPr>
          <w:bCs/>
          <w:i/>
        </w:rPr>
        <w:t xml:space="preserve"> </w:t>
      </w:r>
      <w:r w:rsidR="009B6E4C">
        <w:rPr>
          <w:bCs/>
          <w:i/>
        </w:rPr>
        <w:t xml:space="preserve">pro účely manipulace s ním (například značkování stáda, navádění k transportu, </w:t>
      </w:r>
      <w:r w:rsidR="009B6E4C" w:rsidRPr="00CA4C67">
        <w:rPr>
          <w:bCs/>
          <w:i/>
        </w:rPr>
        <w:t xml:space="preserve">střežení a zpracování mléčných </w:t>
      </w:r>
      <w:r w:rsidR="00303FBC" w:rsidRPr="00CA4C67">
        <w:rPr>
          <w:bCs/>
          <w:i/>
        </w:rPr>
        <w:t>výrobků</w:t>
      </w:r>
      <w:r w:rsidR="009B6E4C">
        <w:rPr>
          <w:bCs/>
          <w:i/>
        </w:rPr>
        <w:t xml:space="preserve"> atp.)</w:t>
      </w:r>
      <w:r w:rsidR="00CA4C67" w:rsidRPr="00CA4C67">
        <w:rPr>
          <w:bCs/>
          <w:i/>
        </w:rPr>
        <w:t>.</w:t>
      </w:r>
      <w:r w:rsidR="00666873">
        <w:rPr>
          <w:bCs/>
          <w:i/>
        </w:rPr>
        <w:t xml:space="preserve"> Košár nenaplňuje definici stavby podle SZ.</w:t>
      </w:r>
    </w:p>
    <w:p w14:paraId="3C4E0BC6" w14:textId="355CFDB0" w:rsidR="00E15854" w:rsidRDefault="00BC7965" w:rsidP="00E15854">
      <w:pPr>
        <w:pStyle w:val="Odstavecseseznamem"/>
        <w:numPr>
          <w:ilvl w:val="0"/>
          <w:numId w:val="5"/>
        </w:numPr>
        <w:spacing w:after="197"/>
        <w:ind w:right="0"/>
        <w:rPr>
          <w:bCs/>
          <w:i/>
          <w:iCs/>
        </w:rPr>
      </w:pPr>
      <w:r>
        <w:rPr>
          <w:b/>
          <w:i/>
          <w:iCs/>
        </w:rPr>
        <w:t>O</w:t>
      </w:r>
      <w:r w:rsidR="00E10FBE" w:rsidRPr="00E10FBE">
        <w:rPr>
          <w:b/>
          <w:i/>
          <w:iCs/>
        </w:rPr>
        <w:t>plocení</w:t>
      </w:r>
      <w:r w:rsidR="00E10FBE" w:rsidRPr="00E10FBE">
        <w:rPr>
          <w:bCs/>
          <w:i/>
          <w:iCs/>
        </w:rPr>
        <w:t xml:space="preserve"> je volně stojící stavba, která má za úkol zabránit nebo omezit pohyb přes nějakou hranici. </w:t>
      </w:r>
      <w:r w:rsidR="00856E7E">
        <w:rPr>
          <w:bCs/>
          <w:i/>
          <w:iCs/>
        </w:rPr>
        <w:t>N</w:t>
      </w:r>
      <w:r w:rsidR="00E10FBE" w:rsidRPr="00E10FBE">
        <w:rPr>
          <w:bCs/>
          <w:i/>
          <w:iCs/>
        </w:rPr>
        <w:t xml:space="preserve">ěkteré druhy plotů zabraňují nejenom pohybu ale i průhledu, jiné </w:t>
      </w:r>
      <w:r w:rsidR="00856E7E">
        <w:rPr>
          <w:bCs/>
          <w:i/>
          <w:iCs/>
        </w:rPr>
        <w:t xml:space="preserve">druhy </w:t>
      </w:r>
      <w:r w:rsidR="00E10FBE" w:rsidRPr="00E10FBE">
        <w:rPr>
          <w:bCs/>
          <w:i/>
          <w:iCs/>
        </w:rPr>
        <w:t xml:space="preserve">umožňují částečný nebo úplný pohled skrz oplocení. </w:t>
      </w:r>
      <w:r>
        <w:rPr>
          <w:bCs/>
          <w:i/>
          <w:iCs/>
        </w:rPr>
        <w:t xml:space="preserve">Oplocení je rovněž prvkem zahradní </w:t>
      </w:r>
      <w:r w:rsidR="00DD1E72">
        <w:rPr>
          <w:bCs/>
          <w:i/>
          <w:iCs/>
        </w:rPr>
        <w:t>architektury</w:t>
      </w:r>
      <w:r>
        <w:rPr>
          <w:bCs/>
          <w:i/>
          <w:iCs/>
        </w:rPr>
        <w:t xml:space="preserve"> a běžně se využívá i v sadovnické tvorbě. </w:t>
      </w:r>
      <w:r w:rsidRPr="00CC332D">
        <w:rPr>
          <w:bCs/>
          <w:i/>
          <w:iCs/>
        </w:rPr>
        <w:t xml:space="preserve">Jedním z jeho možných účelů je vytvoření ohrady, která slouží k udržení hospodářských zvířat na vymezeném prostoru, k ochraně zvěře před predátory nebo k zabránění poškození rostlin. Z uvedených pojmů je však pouze </w:t>
      </w:r>
      <w:r w:rsidR="0034215C" w:rsidRPr="00CC332D">
        <w:rPr>
          <w:bCs/>
          <w:i/>
          <w:iCs/>
        </w:rPr>
        <w:t>oplocení a</w:t>
      </w:r>
      <w:r w:rsidRPr="00CC332D">
        <w:rPr>
          <w:bCs/>
          <w:i/>
          <w:iCs/>
        </w:rPr>
        <w:t xml:space="preserve"> ohrada jako jeho specifický typ – chápáno v rámci stavebního zákona jako stavba podle příloh 1 a 2 tohoto zákona.</w:t>
      </w:r>
      <w:r>
        <w:rPr>
          <w:bCs/>
          <w:i/>
          <w:iCs/>
        </w:rPr>
        <w:t xml:space="preserve"> Oplocení je konstrukčně odlišné od elektrického ohradníku.</w:t>
      </w:r>
    </w:p>
    <w:p w14:paraId="3920A140" w14:textId="605F7F2D" w:rsidR="00230658" w:rsidRPr="00670321" w:rsidRDefault="00230658" w:rsidP="00E15854">
      <w:pPr>
        <w:pStyle w:val="Odstavecseseznamem"/>
        <w:numPr>
          <w:ilvl w:val="0"/>
          <w:numId w:val="5"/>
        </w:numPr>
        <w:spacing w:after="197"/>
        <w:ind w:right="0"/>
        <w:rPr>
          <w:bCs/>
          <w:i/>
          <w:iCs/>
        </w:rPr>
      </w:pPr>
      <w:r>
        <w:rPr>
          <w:b/>
          <w:i/>
          <w:iCs/>
        </w:rPr>
        <w:lastRenderedPageBreak/>
        <w:t xml:space="preserve">Stavba </w:t>
      </w:r>
      <w:r w:rsidRPr="00230658">
        <w:rPr>
          <w:bCs/>
          <w:i/>
          <w:iCs/>
        </w:rPr>
        <w:t>je stavební dílo, které vzniká stavební nebo montážní činností ze stavebních výrobků, materiálů nebo konstrukcí za účelem užívání na určitém místě. Za stavbu se považuje také výrobek plnící funkci stavby.</w:t>
      </w:r>
      <w:r>
        <w:rPr>
          <w:rStyle w:val="Znakapoznpodarou"/>
          <w:bCs/>
          <w:i/>
          <w:iCs/>
        </w:rPr>
        <w:footnoteReference w:id="2"/>
      </w:r>
    </w:p>
    <w:p w14:paraId="3E0FD4C8" w14:textId="71143B42" w:rsidR="00C45551" w:rsidRDefault="00C45551" w:rsidP="007E26B3">
      <w:pPr>
        <w:spacing w:after="0"/>
        <w:ind w:right="0"/>
        <w:rPr>
          <w:bCs/>
          <w:i/>
          <w:iCs/>
        </w:rPr>
      </w:pPr>
      <w:r w:rsidRPr="00D15A1C">
        <w:rPr>
          <w:b/>
          <w:i/>
          <w:iCs/>
        </w:rPr>
        <w:t xml:space="preserve">Určení toho, zda něco stavbou je nebo není, </w:t>
      </w:r>
      <w:r w:rsidR="00F23C34" w:rsidRPr="00D15A1C">
        <w:rPr>
          <w:b/>
          <w:i/>
          <w:iCs/>
        </w:rPr>
        <w:t xml:space="preserve">proto </w:t>
      </w:r>
      <w:r w:rsidRPr="00D15A1C">
        <w:rPr>
          <w:b/>
          <w:i/>
          <w:iCs/>
        </w:rPr>
        <w:t>závisí na zhodnocení zjištěných skutečností a jejich právní kvalifikaci stavebním úřadem, resp. správním orgánem</w:t>
      </w:r>
      <w:r w:rsidR="00E14597" w:rsidRPr="00D15A1C">
        <w:rPr>
          <w:b/>
          <w:i/>
          <w:iCs/>
        </w:rPr>
        <w:t xml:space="preserve"> (rozsudek Krajského soudu v Hradci Králové, č.j. 31 Ca 241/2000-20 ze dne 05.06.2001)</w:t>
      </w:r>
      <w:r w:rsidRPr="00D15A1C">
        <w:rPr>
          <w:bCs/>
          <w:i/>
          <w:iCs/>
        </w:rPr>
        <w:t>.</w:t>
      </w:r>
    </w:p>
    <w:p w14:paraId="0DB98E25" w14:textId="77777777" w:rsidR="007E26B3" w:rsidRDefault="007E26B3" w:rsidP="007E26B3">
      <w:pPr>
        <w:spacing w:after="0"/>
        <w:ind w:right="0"/>
        <w:rPr>
          <w:bCs/>
          <w:i/>
          <w:iCs/>
          <w:sz w:val="26"/>
          <w:szCs w:val="26"/>
        </w:rPr>
      </w:pPr>
    </w:p>
    <w:p w14:paraId="49BFA07A" w14:textId="77777777" w:rsidR="00BE426F" w:rsidRDefault="00BE426F" w:rsidP="007E26B3">
      <w:pPr>
        <w:spacing w:after="0"/>
        <w:ind w:right="0"/>
        <w:rPr>
          <w:bCs/>
          <w:i/>
          <w:iCs/>
          <w:sz w:val="26"/>
          <w:szCs w:val="26"/>
        </w:rPr>
      </w:pPr>
    </w:p>
    <w:p w14:paraId="37737F1B" w14:textId="77777777" w:rsidR="005956BC" w:rsidRPr="007E26B3" w:rsidRDefault="005956BC" w:rsidP="00BE426F">
      <w:pPr>
        <w:spacing w:after="0"/>
        <w:ind w:left="0" w:right="0" w:firstLine="0"/>
        <w:rPr>
          <w:bCs/>
          <w:i/>
          <w:iCs/>
          <w:sz w:val="26"/>
          <w:szCs w:val="26"/>
        </w:rPr>
      </w:pPr>
    </w:p>
    <w:p w14:paraId="1893561A" w14:textId="5EBB3675" w:rsidR="00711A2C" w:rsidRDefault="007029C5" w:rsidP="007E26B3">
      <w:pPr>
        <w:pStyle w:val="Nadpis1"/>
      </w:pPr>
      <w:r>
        <w:t>Oplocení a elektrické ohradníky – právní rámec a územní regulace</w:t>
      </w:r>
    </w:p>
    <w:p w14:paraId="30DBB782" w14:textId="77777777" w:rsidR="00FE1964" w:rsidRPr="00FE1964" w:rsidRDefault="00FE1964" w:rsidP="007E26B3">
      <w:pPr>
        <w:spacing w:after="0"/>
      </w:pPr>
    </w:p>
    <w:p w14:paraId="1D344AE0" w14:textId="4387E1F1" w:rsidR="00AB6ACC" w:rsidRPr="008F11D5" w:rsidRDefault="008F11D5" w:rsidP="007E26B3">
      <w:pPr>
        <w:spacing w:after="0"/>
        <w:ind w:right="0"/>
        <w:rPr>
          <w:bCs/>
          <w:i/>
          <w:iCs/>
        </w:rPr>
      </w:pPr>
      <w:r>
        <w:rPr>
          <w:color w:val="auto"/>
        </w:rPr>
        <w:t>Z</w:t>
      </w:r>
      <w:r w:rsidR="00DF63C8" w:rsidRPr="008F11D5">
        <w:rPr>
          <w:color w:val="auto"/>
        </w:rPr>
        <w:t xml:space="preserve"> výše uvedených </w:t>
      </w:r>
      <w:r w:rsidR="002C1178">
        <w:rPr>
          <w:color w:val="auto"/>
        </w:rPr>
        <w:t>pojmů</w:t>
      </w:r>
      <w:r w:rsidR="00DF63C8" w:rsidRPr="008F11D5">
        <w:rPr>
          <w:color w:val="auto"/>
        </w:rPr>
        <w:t xml:space="preserve"> je zřejmé, že </w:t>
      </w:r>
      <w:r w:rsidR="00712C86" w:rsidRPr="008F11D5">
        <w:rPr>
          <w:color w:val="auto"/>
        </w:rPr>
        <w:t>pouze oplocení (ohrad</w:t>
      </w:r>
      <w:r w:rsidR="00856E7E">
        <w:rPr>
          <w:color w:val="auto"/>
        </w:rPr>
        <w:t>y</w:t>
      </w:r>
      <w:r w:rsidR="00712C86" w:rsidRPr="008F11D5">
        <w:rPr>
          <w:color w:val="auto"/>
        </w:rPr>
        <w:t xml:space="preserve">) je možné označit jako stavby podle </w:t>
      </w:r>
      <w:r w:rsidR="00DC1D76">
        <w:rPr>
          <w:color w:val="auto"/>
        </w:rPr>
        <w:t>SZ</w:t>
      </w:r>
      <w:r w:rsidR="00AB6ACC" w:rsidRPr="008F11D5">
        <w:rPr>
          <w:color w:val="auto"/>
        </w:rPr>
        <w:t xml:space="preserve">, konkrétně </w:t>
      </w:r>
      <w:r w:rsidR="00FB27CC">
        <w:rPr>
          <w:color w:val="auto"/>
        </w:rPr>
        <w:t xml:space="preserve">jako </w:t>
      </w:r>
      <w:r w:rsidR="00AB6ACC" w:rsidRPr="008F11D5">
        <w:rPr>
          <w:b/>
          <w:bCs/>
          <w:color w:val="auto"/>
        </w:rPr>
        <w:t>stavby podle přílohy 1 (Drobné stavby)</w:t>
      </w:r>
      <w:r w:rsidR="00AB6ACC" w:rsidRPr="008F11D5">
        <w:rPr>
          <w:color w:val="auto"/>
        </w:rPr>
        <w:t xml:space="preserve"> </w:t>
      </w:r>
      <w:r w:rsidR="00AB6ACC" w:rsidRPr="007775EF">
        <w:rPr>
          <w:color w:val="auto"/>
        </w:rPr>
        <w:t>odst. 1 písm. a) bodu 5</w:t>
      </w:r>
      <w:r w:rsidR="00712C86" w:rsidRPr="007775EF">
        <w:rPr>
          <w:color w:val="auto"/>
        </w:rPr>
        <w:t>.</w:t>
      </w:r>
      <w:r w:rsidR="00AB6ACC" w:rsidRPr="007775EF">
        <w:rPr>
          <w:color w:val="auto"/>
        </w:rPr>
        <w:t xml:space="preserve"> </w:t>
      </w:r>
      <w:r w:rsidR="00AB6ACC" w:rsidRPr="007775EF">
        <w:rPr>
          <w:i/>
          <w:iCs/>
          <w:color w:val="auto"/>
        </w:rPr>
        <w:t xml:space="preserve">opěrné zdi do výšky </w:t>
      </w:r>
      <w:r w:rsidR="00DD1E72">
        <w:rPr>
          <w:i/>
          <w:iCs/>
          <w:color w:val="auto"/>
        </w:rPr>
        <w:br/>
      </w:r>
      <w:r w:rsidR="00AB6ACC" w:rsidRPr="007775EF">
        <w:rPr>
          <w:i/>
          <w:iCs/>
          <w:color w:val="auto"/>
        </w:rPr>
        <w:t xml:space="preserve">1 m nebo oplocení do výšky 2 m mezi pozemky, které se nacházejí v zastavěném území nebo </w:t>
      </w:r>
      <w:r w:rsidR="00DD1E72">
        <w:rPr>
          <w:i/>
          <w:iCs/>
          <w:color w:val="auto"/>
        </w:rPr>
        <w:br/>
      </w:r>
      <w:r w:rsidR="00AB6ACC" w:rsidRPr="007775EF">
        <w:rPr>
          <w:i/>
          <w:iCs/>
          <w:color w:val="auto"/>
        </w:rPr>
        <w:t>v zastavitelné ploše</w:t>
      </w:r>
      <w:r w:rsidR="00AB6ACC" w:rsidRPr="007775EF">
        <w:rPr>
          <w:color w:val="auto"/>
        </w:rPr>
        <w:t xml:space="preserve"> </w:t>
      </w:r>
      <w:r w:rsidR="00AB6ACC" w:rsidRPr="00B75D3A">
        <w:rPr>
          <w:color w:val="auto"/>
        </w:rPr>
        <w:t>a</w:t>
      </w:r>
      <w:r w:rsidR="00B75D3A">
        <w:rPr>
          <w:color w:val="auto"/>
        </w:rPr>
        <w:t xml:space="preserve"> </w:t>
      </w:r>
      <w:r w:rsidR="00FB27CC" w:rsidRPr="00B75D3A">
        <w:rPr>
          <w:color w:val="auto"/>
        </w:rPr>
        <w:t>odst.</w:t>
      </w:r>
      <w:r w:rsidR="00FB27CC" w:rsidRPr="007775EF">
        <w:rPr>
          <w:color w:val="auto"/>
        </w:rPr>
        <w:t xml:space="preserve"> 1 písm. a) </w:t>
      </w:r>
      <w:r w:rsidR="00AB6ACC" w:rsidRPr="007775EF">
        <w:rPr>
          <w:color w:val="auto"/>
        </w:rPr>
        <w:t xml:space="preserve">bodu 8. </w:t>
      </w:r>
      <w:r w:rsidR="00AB6ACC" w:rsidRPr="007775EF">
        <w:rPr>
          <w:i/>
          <w:iCs/>
          <w:color w:val="auto"/>
        </w:rPr>
        <w:t>oplocení lesních školek a obor, oplocení zřízené k ochraně lesních</w:t>
      </w:r>
      <w:r w:rsidR="00AB6ACC" w:rsidRPr="008F11D5">
        <w:rPr>
          <w:i/>
          <w:iCs/>
          <w:color w:val="auto"/>
        </w:rPr>
        <w:t xml:space="preserve"> porostů před zvěří na lesních pozemcích a oplocení dřevin vysazených za účelem založení územního systému ekologické stability, která jsou bez podezdívky, přičemž nesmí dojít k omezení provozu</w:t>
      </w:r>
      <w:r w:rsidR="00FE1964">
        <w:rPr>
          <w:i/>
          <w:iCs/>
          <w:color w:val="auto"/>
        </w:rPr>
        <w:t xml:space="preserve"> </w:t>
      </w:r>
      <w:r w:rsidR="00AB6ACC" w:rsidRPr="008F11D5">
        <w:rPr>
          <w:i/>
          <w:iCs/>
          <w:color w:val="auto"/>
        </w:rPr>
        <w:t>na pozemní komunikaci nebo k přerušení turisticky značené trasy</w:t>
      </w:r>
      <w:r w:rsidR="00E22F27">
        <w:rPr>
          <w:i/>
          <w:iCs/>
          <w:color w:val="auto"/>
        </w:rPr>
        <w:t xml:space="preserve"> </w:t>
      </w:r>
      <w:r w:rsidR="00E22F27" w:rsidRPr="003B398C">
        <w:rPr>
          <w:color w:val="auto"/>
        </w:rPr>
        <w:t>[viz také metodický pokyn</w:t>
      </w:r>
      <w:r w:rsidR="000D6239">
        <w:rPr>
          <w:i/>
          <w:iCs/>
          <w:color w:val="auto"/>
        </w:rPr>
        <w:t xml:space="preserve">: </w:t>
      </w:r>
      <w:hyperlink r:id="rId9" w:history="1">
        <w:r w:rsidR="000D6239" w:rsidRPr="000D6239">
          <w:rPr>
            <w:color w:val="0000FF"/>
            <w:u w:val="single"/>
          </w:rPr>
          <w:t>Ministerstvo pro místní rozvoj ČR - Drobné stavby podle zákona č. 283/2021 Sb. (aktualizováno)</w:t>
        </w:r>
      </w:hyperlink>
      <w:r w:rsidR="000D6239">
        <w:t>]</w:t>
      </w:r>
      <w:r w:rsidR="002C5488" w:rsidRPr="008F11D5">
        <w:rPr>
          <w:color w:val="auto"/>
        </w:rPr>
        <w:t xml:space="preserve">. </w:t>
      </w:r>
      <w:r w:rsidR="002C5488" w:rsidRPr="008F11D5">
        <w:rPr>
          <w:b/>
          <w:bCs/>
          <w:color w:val="auto"/>
        </w:rPr>
        <w:t>Takové stavby jsou ve volném režimu</w:t>
      </w:r>
      <w:r>
        <w:rPr>
          <w:b/>
          <w:bCs/>
          <w:color w:val="auto"/>
        </w:rPr>
        <w:t xml:space="preserve"> a nevyžadují povolení stavebního úřadu</w:t>
      </w:r>
      <w:r w:rsidR="00731F26">
        <w:rPr>
          <w:b/>
          <w:bCs/>
          <w:color w:val="auto"/>
        </w:rPr>
        <w:t xml:space="preserve"> </w:t>
      </w:r>
      <w:r w:rsidR="00731F26" w:rsidRPr="00731F26">
        <w:rPr>
          <w:color w:val="auto"/>
        </w:rPr>
        <w:t>(souhlas se stavebním záměrem formou rozho</w:t>
      </w:r>
      <w:r w:rsidR="00731F26">
        <w:rPr>
          <w:color w:val="auto"/>
        </w:rPr>
        <w:t>d</w:t>
      </w:r>
      <w:r w:rsidR="00731F26" w:rsidRPr="00731F26">
        <w:rPr>
          <w:color w:val="auto"/>
        </w:rPr>
        <w:t>nutí</w:t>
      </w:r>
      <w:r w:rsidR="00731F26">
        <w:rPr>
          <w:color w:val="auto"/>
        </w:rPr>
        <w:t xml:space="preserve">; viz § 195 </w:t>
      </w:r>
      <w:r w:rsidR="00DC1D76">
        <w:rPr>
          <w:color w:val="auto"/>
        </w:rPr>
        <w:t>SZ</w:t>
      </w:r>
      <w:r w:rsidR="00731F26">
        <w:rPr>
          <w:color w:val="auto"/>
        </w:rPr>
        <w:t>)</w:t>
      </w:r>
      <w:r w:rsidR="002C5488" w:rsidRPr="008F11D5">
        <w:rPr>
          <w:color w:val="auto"/>
        </w:rPr>
        <w:t xml:space="preserve">. V případě, že se bude jednat o </w:t>
      </w:r>
      <w:r w:rsidR="00AB6ACC" w:rsidRPr="008F11D5">
        <w:rPr>
          <w:b/>
          <w:bCs/>
          <w:color w:val="auto"/>
        </w:rPr>
        <w:t>stavby podle přílohy 2 (Jednoduché stavby)</w:t>
      </w:r>
      <w:r w:rsidR="00AB6ACC" w:rsidRPr="008F11D5">
        <w:rPr>
          <w:color w:val="auto"/>
        </w:rPr>
        <w:t xml:space="preserve"> odst. 1 písm. e)</w:t>
      </w:r>
      <w:r w:rsidR="00AB6ACC" w:rsidRPr="00AB6ACC">
        <w:t xml:space="preserve"> </w:t>
      </w:r>
      <w:r w:rsidR="00AB6ACC" w:rsidRPr="008F11D5">
        <w:rPr>
          <w:i/>
          <w:iCs/>
          <w:color w:val="auto"/>
        </w:rPr>
        <w:t>opěrné zdi nebo oplocení, pokud nejde o drobnou stavbu</w:t>
      </w:r>
      <w:r w:rsidR="00E17444">
        <w:rPr>
          <w:i/>
          <w:iCs/>
          <w:color w:val="auto"/>
        </w:rPr>
        <w:t xml:space="preserve">, </w:t>
      </w:r>
      <w:r w:rsidR="00E17444" w:rsidRPr="003B398C">
        <w:rPr>
          <w:color w:val="auto"/>
        </w:rPr>
        <w:t xml:space="preserve">například oplocení mezi pozemky vyšší než 2 m, které se nacházejí v zastavěném území </w:t>
      </w:r>
      <w:r w:rsidR="00FC677C" w:rsidRPr="003B398C">
        <w:rPr>
          <w:color w:val="auto"/>
        </w:rPr>
        <w:br/>
      </w:r>
      <w:r w:rsidR="00E17444" w:rsidRPr="003B398C">
        <w:rPr>
          <w:color w:val="auto"/>
        </w:rPr>
        <w:t xml:space="preserve">nebo zastavitelné ploše, oplocení ve volné krajině, trvalé ohrady ve volné krajině a všechny ostatní opěrné zdi a oplocení </w:t>
      </w:r>
      <w:r w:rsidRPr="003B398C">
        <w:rPr>
          <w:bCs/>
        </w:rPr>
        <w:t>[viz také metodický pokyn:</w:t>
      </w:r>
      <w:r w:rsidRPr="008F11D5">
        <w:rPr>
          <w:bCs/>
          <w:i/>
          <w:iCs/>
        </w:rPr>
        <w:t xml:space="preserve"> </w:t>
      </w:r>
      <w:hyperlink r:id="rId10" w:history="1">
        <w:r>
          <w:rPr>
            <w:rStyle w:val="Hypertextovodkaz"/>
          </w:rPr>
          <w:t>Ministerstvo pro místní rozvoj ČR - Jednoduché stavby podle zákona č. 283/2021 Sb. (aktualizováno)</w:t>
        </w:r>
      </w:hyperlink>
      <w:r>
        <w:t xml:space="preserve">] </w:t>
      </w:r>
      <w:r w:rsidR="009D6A70" w:rsidRPr="008F11D5">
        <w:rPr>
          <w:color w:val="auto"/>
        </w:rPr>
        <w:t>a</w:t>
      </w:r>
      <w:r w:rsidR="009D6A70" w:rsidRPr="008F11D5">
        <w:rPr>
          <w:i/>
          <w:iCs/>
          <w:color w:val="auto"/>
        </w:rPr>
        <w:t xml:space="preserve"> písm. h)</w:t>
      </w:r>
      <w:r w:rsidR="00AB6ACC" w:rsidRPr="008F11D5">
        <w:rPr>
          <w:color w:val="auto"/>
        </w:rPr>
        <w:t xml:space="preserve"> </w:t>
      </w:r>
      <w:r w:rsidR="009D6A70" w:rsidRPr="008F11D5">
        <w:rPr>
          <w:i/>
          <w:iCs/>
          <w:color w:val="auto"/>
        </w:rPr>
        <w:t>stavby pro hospodářská zvířata do 60 m2 zastavěné plochy a do 5 m výšky, podsklepené nejvýše do hloubky 3 m</w:t>
      </w:r>
      <w:r w:rsidR="002C5488" w:rsidRPr="008F11D5">
        <w:rPr>
          <w:i/>
          <w:iCs/>
          <w:color w:val="auto"/>
        </w:rPr>
        <w:t xml:space="preserve"> </w:t>
      </w:r>
      <w:r>
        <w:rPr>
          <w:color w:val="auto"/>
        </w:rPr>
        <w:t xml:space="preserve"> je </w:t>
      </w:r>
      <w:r w:rsidR="00E17444" w:rsidRPr="00E17444">
        <w:rPr>
          <w:b/>
          <w:bCs/>
          <w:color w:val="auto"/>
        </w:rPr>
        <w:t xml:space="preserve">povolení </w:t>
      </w:r>
      <w:r w:rsidR="00FB27CC">
        <w:rPr>
          <w:b/>
          <w:bCs/>
          <w:color w:val="auto"/>
        </w:rPr>
        <w:t xml:space="preserve">stavebního záměru </w:t>
      </w:r>
      <w:r w:rsidR="00E17444" w:rsidRPr="00E17444">
        <w:rPr>
          <w:b/>
          <w:bCs/>
          <w:color w:val="auto"/>
        </w:rPr>
        <w:t>stavební</w:t>
      </w:r>
      <w:r w:rsidR="00FB27CC">
        <w:rPr>
          <w:b/>
          <w:bCs/>
          <w:color w:val="auto"/>
        </w:rPr>
        <w:t>m</w:t>
      </w:r>
      <w:r w:rsidR="00E17444" w:rsidRPr="00E17444">
        <w:rPr>
          <w:b/>
          <w:bCs/>
          <w:color w:val="auto"/>
        </w:rPr>
        <w:t xml:space="preserve"> úřad</w:t>
      </w:r>
      <w:r w:rsidR="00FB27CC">
        <w:rPr>
          <w:b/>
          <w:bCs/>
          <w:color w:val="auto"/>
        </w:rPr>
        <w:t>em</w:t>
      </w:r>
      <w:r w:rsidR="00E17444" w:rsidRPr="00E17444">
        <w:rPr>
          <w:b/>
          <w:bCs/>
          <w:color w:val="auto"/>
        </w:rPr>
        <w:t xml:space="preserve"> </w:t>
      </w:r>
      <w:r w:rsidRPr="00E17444">
        <w:rPr>
          <w:b/>
          <w:bCs/>
          <w:color w:val="auto"/>
        </w:rPr>
        <w:t>vyžadováno</w:t>
      </w:r>
      <w:r w:rsidR="00E17444">
        <w:rPr>
          <w:color w:val="auto"/>
        </w:rPr>
        <w:t>.</w:t>
      </w:r>
    </w:p>
    <w:p w14:paraId="5A789B27" w14:textId="5168400F" w:rsidR="002C1178" w:rsidRDefault="002C1178" w:rsidP="002C1178">
      <w:pPr>
        <w:spacing w:after="9"/>
        <w:ind w:left="-5" w:right="0"/>
        <w:rPr>
          <w:color w:val="auto"/>
        </w:rPr>
      </w:pPr>
      <w:r>
        <w:rPr>
          <w:color w:val="auto"/>
        </w:rPr>
        <w:t xml:space="preserve">Skutečnost, že elektrický ohradník není stavbou, neznamená absolutní volnost vlastníka (provozovatele) při jeho umisťování ve volné krajině. Vlastník je povinen respektovat povinnosti vyplývající z dalších právních předpisů, zejména zákona o ochraně přírody a krajiny, vodního zákona a vyhlášky </w:t>
      </w:r>
      <w:r w:rsidR="00FE1964">
        <w:rPr>
          <w:color w:val="auto"/>
        </w:rPr>
        <w:br/>
      </w:r>
      <w:r>
        <w:rPr>
          <w:color w:val="auto"/>
        </w:rPr>
        <w:t xml:space="preserve">o požadavcích na výstavbu. Tyto předpisy umožňují omezit nebo zakázat </w:t>
      </w:r>
      <w:r w:rsidR="0035710E">
        <w:rPr>
          <w:color w:val="auto"/>
        </w:rPr>
        <w:t>umisťování</w:t>
      </w:r>
      <w:r>
        <w:rPr>
          <w:color w:val="auto"/>
        </w:rPr>
        <w:t xml:space="preserve"> elektrických ohradníků na základě ochrany veřejného zájmu. Omezení mohou být stanovena také prostřednictvím územních plánů, a to například regulativy, které stanovují, kde je zřizování elektrických ohradníků přípustné či nepřípustné. Tato možnost je v souladu s cíli územního plánování podle</w:t>
      </w:r>
      <w:r w:rsidR="00480D66">
        <w:rPr>
          <w:color w:val="auto"/>
        </w:rPr>
        <w:t xml:space="preserve"> </w:t>
      </w:r>
      <w:r>
        <w:rPr>
          <w:color w:val="auto"/>
        </w:rPr>
        <w:t>§ 38 SZ.</w:t>
      </w:r>
      <w:r w:rsidR="00BC7965">
        <w:rPr>
          <w:color w:val="auto"/>
        </w:rPr>
        <w:t xml:space="preserve"> </w:t>
      </w:r>
      <w:r w:rsidR="00BC7965" w:rsidRPr="00E56DE6">
        <w:rPr>
          <w:color w:val="auto"/>
        </w:rPr>
        <w:t>Podporu této regulace potvrzuje</w:t>
      </w:r>
      <w:r w:rsidR="00BC7965">
        <w:rPr>
          <w:color w:val="auto"/>
        </w:rPr>
        <w:t xml:space="preserve"> i</w:t>
      </w:r>
      <w:r w:rsidR="00BC7965" w:rsidRPr="00E56DE6">
        <w:rPr>
          <w:color w:val="auto"/>
        </w:rPr>
        <w:t xml:space="preserve"> rozsudek Nejvyššího správního soudu č. j. 10 As 33/2018–39</w:t>
      </w:r>
      <w:r w:rsidR="00BC7965">
        <w:rPr>
          <w:color w:val="auto"/>
        </w:rPr>
        <w:t>.</w:t>
      </w:r>
    </w:p>
    <w:p w14:paraId="04A244DF" w14:textId="77777777" w:rsidR="00BD0C78" w:rsidRDefault="00BD0C78">
      <w:pPr>
        <w:spacing w:after="9"/>
        <w:ind w:left="-5" w:right="0"/>
        <w:rPr>
          <w:color w:val="auto"/>
        </w:rPr>
      </w:pPr>
    </w:p>
    <w:p w14:paraId="4F671D6D" w14:textId="77777777" w:rsidR="000147B5" w:rsidRDefault="000147B5">
      <w:pPr>
        <w:spacing w:after="9"/>
        <w:ind w:left="-5" w:right="0"/>
        <w:rPr>
          <w:color w:val="auto"/>
        </w:rPr>
      </w:pPr>
    </w:p>
    <w:p w14:paraId="02E64FCB" w14:textId="320F34B4" w:rsidR="00096D17" w:rsidRDefault="00096D17" w:rsidP="007029C5">
      <w:pPr>
        <w:spacing w:after="9"/>
        <w:ind w:left="-5" w:right="0"/>
        <w:rPr>
          <w:i/>
          <w:iCs/>
          <w:color w:val="auto"/>
        </w:rPr>
      </w:pPr>
    </w:p>
    <w:p w14:paraId="2EDA1FAD" w14:textId="77777777" w:rsidR="003B398C" w:rsidRDefault="003B398C" w:rsidP="007029C5">
      <w:pPr>
        <w:spacing w:after="9"/>
        <w:ind w:left="-5" w:right="0"/>
        <w:rPr>
          <w:i/>
          <w:iCs/>
          <w:color w:val="auto"/>
        </w:rPr>
      </w:pPr>
    </w:p>
    <w:p w14:paraId="6057DE80" w14:textId="77777777" w:rsidR="003B398C" w:rsidRPr="005C3A74" w:rsidRDefault="003B398C" w:rsidP="007029C5">
      <w:pPr>
        <w:spacing w:after="9"/>
        <w:ind w:left="-5" w:right="0"/>
        <w:rPr>
          <w:i/>
          <w:iCs/>
          <w:color w:val="auto"/>
        </w:rPr>
      </w:pPr>
    </w:p>
    <w:p w14:paraId="388B3B3B" w14:textId="58DBD50D" w:rsidR="00B45590" w:rsidRDefault="00B45590">
      <w:pPr>
        <w:spacing w:after="9"/>
        <w:ind w:left="-5" w:right="0"/>
        <w:rPr>
          <w:color w:val="auto"/>
        </w:rPr>
      </w:pPr>
    </w:p>
    <w:p w14:paraId="5E025BE7" w14:textId="1B382402" w:rsidR="00B45590" w:rsidRDefault="00FB27CC" w:rsidP="00C81940">
      <w:pPr>
        <w:pStyle w:val="Nadpis1"/>
      </w:pPr>
      <w:r>
        <w:t>Závěr</w:t>
      </w:r>
    </w:p>
    <w:p w14:paraId="71EF57C1" w14:textId="77777777" w:rsidR="00FE1964" w:rsidRDefault="00FE1964" w:rsidP="00C81940">
      <w:pPr>
        <w:spacing w:after="0"/>
      </w:pPr>
    </w:p>
    <w:p w14:paraId="6A53CEE2" w14:textId="4188499B" w:rsidR="000D6059" w:rsidRDefault="00C45551" w:rsidP="00C81940">
      <w:pPr>
        <w:spacing w:after="0"/>
      </w:pPr>
      <w:r>
        <w:t xml:space="preserve">Při posuzování </w:t>
      </w:r>
      <w:r w:rsidR="004365DD">
        <w:t xml:space="preserve">jednotlivých případů </w:t>
      </w:r>
      <w:r w:rsidRPr="0005553F">
        <w:t xml:space="preserve">v tom smyslu, zda se jedná o stavbu podle </w:t>
      </w:r>
      <w:r w:rsidR="00DC1D76" w:rsidRPr="0005553F">
        <w:t>SZ</w:t>
      </w:r>
      <w:r w:rsidRPr="0005553F">
        <w:t xml:space="preserve">, či </w:t>
      </w:r>
      <w:r w:rsidR="00FE1964" w:rsidRPr="0005553F">
        <w:t xml:space="preserve">nikoli </w:t>
      </w:r>
      <w:r w:rsidR="00FE1964">
        <w:rPr>
          <w:bCs/>
        </w:rPr>
        <w:t>musí</w:t>
      </w:r>
      <w:r w:rsidR="002C1178">
        <w:rPr>
          <w:bCs/>
        </w:rPr>
        <w:t xml:space="preserve"> SÚ </w:t>
      </w:r>
      <w:r w:rsidR="000D6059">
        <w:rPr>
          <w:bCs/>
        </w:rPr>
        <w:t>zodpovědně posoudit a své vyhodnocení konkrétního případu</w:t>
      </w:r>
      <w:r w:rsidR="00303FBC" w:rsidRPr="00303FBC">
        <w:t xml:space="preserve"> </w:t>
      </w:r>
      <w:r w:rsidR="00303FBC" w:rsidRPr="00303FBC">
        <w:rPr>
          <w:bCs/>
        </w:rPr>
        <w:t>řádně zdůvodnit</w:t>
      </w:r>
      <w:r w:rsidR="000D6059">
        <w:rPr>
          <w:bCs/>
        </w:rPr>
        <w:t>.</w:t>
      </w:r>
      <w:r w:rsidR="007E434B">
        <w:rPr>
          <w:bCs/>
        </w:rPr>
        <w:t xml:space="preserve"> Pokud stavební úřad vyhodnotí, že se jedná o jednoduchou stavbu podle přílohy 2 </w:t>
      </w:r>
      <w:r w:rsidR="00DC1D76">
        <w:rPr>
          <w:bCs/>
        </w:rPr>
        <w:t>SZ</w:t>
      </w:r>
      <w:r w:rsidR="00666873">
        <w:rPr>
          <w:bCs/>
        </w:rPr>
        <w:t>,</w:t>
      </w:r>
      <w:r w:rsidR="00684A1B">
        <w:rPr>
          <w:bCs/>
        </w:rPr>
        <w:t xml:space="preserve"> </w:t>
      </w:r>
      <w:r w:rsidR="007E434B">
        <w:rPr>
          <w:bCs/>
        </w:rPr>
        <w:t>je nutno v případě povolení takové stavby postupovat v souladu s</w:t>
      </w:r>
      <w:r w:rsidR="00332C63">
        <w:rPr>
          <w:bCs/>
        </w:rPr>
        <w:t xml:space="preserve"> platným územním plánem, příslušnými ustanoveními </w:t>
      </w:r>
      <w:r w:rsidR="00DC1D76">
        <w:rPr>
          <w:bCs/>
        </w:rPr>
        <w:t>SZ</w:t>
      </w:r>
      <w:r w:rsidR="00332C63">
        <w:rPr>
          <w:bCs/>
        </w:rPr>
        <w:t xml:space="preserve"> a jinými právními předpisy</w:t>
      </w:r>
      <w:r w:rsidR="00AA01FD">
        <w:rPr>
          <w:bCs/>
        </w:rPr>
        <w:t>.</w:t>
      </w:r>
      <w:r w:rsidR="009F7570">
        <w:rPr>
          <w:bCs/>
        </w:rPr>
        <w:t xml:space="preserve"> V reálném životě mohou nastat také situace, kdy elektrický ohradník, který nepodléhá schvalovacímu řízení bude součástí oplocení, které může být posuzováno jako stavba drobná nebo jednoduchá </w:t>
      </w:r>
      <w:r w:rsidR="002E1B75">
        <w:rPr>
          <w:bCs/>
        </w:rPr>
        <w:t xml:space="preserve">podle </w:t>
      </w:r>
      <w:r w:rsidR="00DC1D76">
        <w:rPr>
          <w:bCs/>
        </w:rPr>
        <w:t>SZ</w:t>
      </w:r>
      <w:r w:rsidR="00406981">
        <w:rPr>
          <w:bCs/>
        </w:rPr>
        <w:t>.</w:t>
      </w:r>
    </w:p>
    <w:p w14:paraId="3AE0E412" w14:textId="2FF291E9" w:rsidR="00731F26" w:rsidRDefault="00731F26" w:rsidP="00731F26">
      <w:r>
        <w:t xml:space="preserve">Na základě uvedených skutečností lze </w:t>
      </w:r>
      <w:r w:rsidR="00C45551">
        <w:t>konstatovat</w:t>
      </w:r>
      <w:r>
        <w:t xml:space="preserve">, že v případě elektrických ohradníků, které </w:t>
      </w:r>
      <w:r w:rsidRPr="00175866">
        <w:rPr>
          <w:b/>
          <w:bCs/>
        </w:rPr>
        <w:t>nejsou stavbou</w:t>
      </w:r>
      <w:r>
        <w:t xml:space="preserve"> ve smyslu S</w:t>
      </w:r>
      <w:r w:rsidR="00F766E3">
        <w:t>Z</w:t>
      </w:r>
      <w:r w:rsidR="00B75D3A">
        <w:t>,</w:t>
      </w:r>
      <w:r>
        <w:t xml:space="preserve"> není </w:t>
      </w:r>
      <w:r w:rsidR="003F6250">
        <w:t>jejich vlastník</w:t>
      </w:r>
      <w:r w:rsidR="009202F1">
        <w:t>, respektive provozovatel,</w:t>
      </w:r>
      <w:r w:rsidR="003F6250">
        <w:t xml:space="preserve"> nijak omezen v jejich umístění</w:t>
      </w:r>
      <w:r w:rsidR="00480D66">
        <w:t>.</w:t>
      </w:r>
      <w:r w:rsidR="003F6250">
        <w:t xml:space="preserve"> </w:t>
      </w:r>
      <w:r w:rsidR="00485B49">
        <w:br/>
      </w:r>
      <w:r w:rsidR="00480D66">
        <w:t>T</w:t>
      </w:r>
      <w:r w:rsidR="00C45551">
        <w:t xml:space="preserve">o </w:t>
      </w:r>
      <w:r w:rsidR="007E434B">
        <w:t xml:space="preserve">však </w:t>
      </w:r>
      <w:r w:rsidR="00C45551">
        <w:t>platí</w:t>
      </w:r>
      <w:r w:rsidR="007E434B">
        <w:t xml:space="preserve"> pouze v případě,</w:t>
      </w:r>
      <w:r w:rsidR="00C45551">
        <w:t xml:space="preserve"> </w:t>
      </w:r>
      <w:r w:rsidR="003F6250">
        <w:t xml:space="preserve">pokud neexistují jiná omezení plynoucí z jiných právních předpisů </w:t>
      </w:r>
      <w:r w:rsidR="00485B49">
        <w:br/>
      </w:r>
      <w:r w:rsidR="003F6250">
        <w:t>či regulativů územního plánu vztahující se k dané lokalitě</w:t>
      </w:r>
      <w:r w:rsidR="00C94E6A">
        <w:t>.</w:t>
      </w:r>
      <w:r w:rsidR="002E1B75">
        <w:t xml:space="preserve"> V takových případech by </w:t>
      </w:r>
      <w:r w:rsidR="00175866">
        <w:t>měl provozovatel</w:t>
      </w:r>
      <w:r w:rsidR="001019BE">
        <w:t xml:space="preserve"> v případě umístění a provedení elektrického ohradníku postupovat v</w:t>
      </w:r>
      <w:r w:rsidR="004365DD">
        <w:t> </w:t>
      </w:r>
      <w:r w:rsidR="001019BE">
        <w:t>souladu</w:t>
      </w:r>
      <w:r w:rsidR="004365DD">
        <w:t xml:space="preserve"> </w:t>
      </w:r>
      <w:r w:rsidR="001019BE">
        <w:t xml:space="preserve">se </w:t>
      </w:r>
      <w:r w:rsidR="002E1B75">
        <w:t>souhlasný</w:t>
      </w:r>
      <w:r w:rsidR="00175866">
        <w:t>m</w:t>
      </w:r>
      <w:r w:rsidR="002E1B75">
        <w:t xml:space="preserve"> vyjádření</w:t>
      </w:r>
      <w:r w:rsidR="001019BE">
        <w:t>m</w:t>
      </w:r>
      <w:r w:rsidR="002E1B75">
        <w:t xml:space="preserve"> příslušných správních orgánů, které mohou obsahovat mimo jiné </w:t>
      </w:r>
      <w:r w:rsidR="00303FBC">
        <w:t>právní akty</w:t>
      </w:r>
      <w:r w:rsidR="002E1B75" w:rsidRPr="00303FBC">
        <w:t xml:space="preserve"> </w:t>
      </w:r>
      <w:r w:rsidR="002E1B75">
        <w:t>podmiňující jejich umístění</w:t>
      </w:r>
      <w:r w:rsidR="00684A1B">
        <w:t>, budou-li vyžadovány.</w:t>
      </w:r>
    </w:p>
    <w:p w14:paraId="3D15F848" w14:textId="247CA6C9" w:rsidR="00462745" w:rsidRDefault="00462745" w:rsidP="00731F26">
      <w:r w:rsidRPr="002E49F5">
        <w:t xml:space="preserve">Za stavbu se nepovažují </w:t>
      </w:r>
      <w:r w:rsidR="004365DD">
        <w:t xml:space="preserve">rovněž </w:t>
      </w:r>
      <w:r w:rsidR="002D0CF1">
        <w:t>prvky,</w:t>
      </w:r>
      <w:r w:rsidRPr="002E49F5">
        <w:t xml:space="preserve"> která jsou ze své podstaty mobilní, dočasná</w:t>
      </w:r>
      <w:r w:rsidR="00EB5904">
        <w:t xml:space="preserve"> ve smyslu sezónního užívání </w:t>
      </w:r>
      <w:r w:rsidRPr="002E49F5">
        <w:t>a snadno demontovatelná</w:t>
      </w:r>
      <w:r w:rsidR="002E1B75">
        <w:t xml:space="preserve"> (nutno rozlišovat od dočasnosti stavby podle </w:t>
      </w:r>
      <w:r w:rsidR="00DC1D76">
        <w:t>SZ</w:t>
      </w:r>
      <w:r w:rsidR="002E1B75">
        <w:t>)</w:t>
      </w:r>
      <w:r w:rsidRPr="002E49F5">
        <w:t xml:space="preserve">. Typicky se jedná </w:t>
      </w:r>
      <w:r w:rsidR="0058588A">
        <w:br/>
      </w:r>
      <w:r w:rsidRPr="002E49F5">
        <w:t xml:space="preserve">o </w:t>
      </w:r>
      <w:r w:rsidRPr="002E49F5">
        <w:rPr>
          <w:b/>
          <w:bCs/>
        </w:rPr>
        <w:t>mobilní elektrické ohradníky</w:t>
      </w:r>
      <w:r w:rsidRPr="002E49F5">
        <w:t xml:space="preserve"> a </w:t>
      </w:r>
      <w:r w:rsidRPr="002E49F5">
        <w:rPr>
          <w:b/>
          <w:bCs/>
        </w:rPr>
        <w:t>přenosné košáry</w:t>
      </w:r>
      <w:r w:rsidRPr="002E49F5">
        <w:t>.</w:t>
      </w:r>
      <w:r w:rsidR="00EB5904">
        <w:t xml:space="preserve"> </w:t>
      </w:r>
      <w:r w:rsidR="0058588A">
        <w:t xml:space="preserve">Také v </w:t>
      </w:r>
      <w:r w:rsidR="00EB5904">
        <w:t xml:space="preserve">případě </w:t>
      </w:r>
      <w:r w:rsidR="002E1B75">
        <w:t>umístění</w:t>
      </w:r>
      <w:r w:rsidR="00EB5904">
        <w:t xml:space="preserve"> elektrického pásku na kůly pevného elektrického ohradníku </w:t>
      </w:r>
      <w:r w:rsidR="008D3614">
        <w:t xml:space="preserve">pomocí </w:t>
      </w:r>
      <w:r w:rsidR="00EB5904">
        <w:t>plastových úchytů</w:t>
      </w:r>
      <w:r w:rsidR="002E1B75">
        <w:t xml:space="preserve">, </w:t>
      </w:r>
      <w:r w:rsidR="008D3614">
        <w:t xml:space="preserve">popřípadě jednoduchých izolátorů, </w:t>
      </w:r>
      <w:r w:rsidR="00FE1964">
        <w:br/>
      </w:r>
      <w:r w:rsidR="00EB5904">
        <w:t>je možné toto řešení považovat za mobilní a snadno demontovatelné zajišťující v případě potřeby volný průchod krajinou, popřípadě jeho sezónní využití.</w:t>
      </w:r>
      <w:r w:rsidR="008D3614">
        <w:t xml:space="preserve"> V těchto případech je však důležité posoudit jejich umístění také z hlediska jiných právních předpisů, které mohou mít vliv na jejich umístění v krajině, </w:t>
      </w:r>
      <w:r w:rsidR="0058588A">
        <w:br/>
      </w:r>
      <w:r w:rsidR="008D3614">
        <w:t>a to například z důvodu vymezení záplavových území, ochranných pásem různých typů atp.</w:t>
      </w:r>
    </w:p>
    <w:p w14:paraId="46170363" w14:textId="0D57270C" w:rsidR="00843C85" w:rsidRPr="00843C85" w:rsidRDefault="002E49F5" w:rsidP="00843C85">
      <w:pPr>
        <w:rPr>
          <w:b/>
          <w:bCs/>
        </w:rPr>
      </w:pPr>
      <w:r w:rsidRPr="002E49F5">
        <w:rPr>
          <w:b/>
          <w:bCs/>
        </w:rPr>
        <w:t xml:space="preserve">Pokud </w:t>
      </w:r>
      <w:r w:rsidR="008D3614">
        <w:rPr>
          <w:b/>
          <w:bCs/>
        </w:rPr>
        <w:t>umístění a provedení</w:t>
      </w:r>
      <w:r w:rsidRPr="002E49F5">
        <w:rPr>
          <w:b/>
          <w:bCs/>
        </w:rPr>
        <w:t xml:space="preserve"> </w:t>
      </w:r>
      <w:r w:rsidR="00EB5904">
        <w:rPr>
          <w:b/>
          <w:bCs/>
        </w:rPr>
        <w:t xml:space="preserve">elektrického ohradníku </w:t>
      </w:r>
      <w:r w:rsidRPr="002E49F5">
        <w:rPr>
          <w:b/>
          <w:bCs/>
        </w:rPr>
        <w:t>nevyžadovalo povolení</w:t>
      </w:r>
      <w:r w:rsidR="008D3614">
        <w:rPr>
          <w:b/>
          <w:bCs/>
        </w:rPr>
        <w:t xml:space="preserve"> (není stavbou)</w:t>
      </w:r>
      <w:r w:rsidR="00666873">
        <w:rPr>
          <w:b/>
          <w:bCs/>
        </w:rPr>
        <w:t xml:space="preserve"> je</w:t>
      </w:r>
      <w:r w:rsidR="00A53DB0">
        <w:rPr>
          <w:b/>
          <w:bCs/>
        </w:rPr>
        <w:t xml:space="preserve"> </w:t>
      </w:r>
      <w:r w:rsidR="00666873">
        <w:rPr>
          <w:b/>
          <w:bCs/>
        </w:rPr>
        <w:t xml:space="preserve">vždy </w:t>
      </w:r>
      <w:r w:rsidR="00843C85" w:rsidRPr="00843C85">
        <w:rPr>
          <w:b/>
          <w:bCs/>
        </w:rPr>
        <w:t xml:space="preserve">nutné při jejich umisťování a instalaci postupovat v souladu s jinými právními předpisy a územním plánem, respektive jeho regulativy, které mohou jejich umisťováni v konkrétních případech omezovat.  </w:t>
      </w:r>
    </w:p>
    <w:p w14:paraId="6B43E474" w14:textId="6ABA08D7" w:rsidR="007E434B" w:rsidRDefault="00C94E6A" w:rsidP="00731F26">
      <w:r>
        <w:t xml:space="preserve">Nezávisle na tom, zda </w:t>
      </w:r>
      <w:r w:rsidRPr="00C94E6A">
        <w:rPr>
          <w:b/>
          <w:bCs/>
        </w:rPr>
        <w:t>elektrický ohradník</w:t>
      </w:r>
      <w:r>
        <w:t xml:space="preserve"> podléhá stavebnímu právu, </w:t>
      </w:r>
      <w:r w:rsidRPr="00C94E6A">
        <w:rPr>
          <w:b/>
          <w:bCs/>
        </w:rPr>
        <w:t>musí vždy splňovat bezpečnostní normy</w:t>
      </w:r>
      <w:r>
        <w:t xml:space="preserve">, zejména ČSN EN 600335-2-76 (Bezpečnost elektrických spotřebičů </w:t>
      </w:r>
      <w:r w:rsidR="00485B49">
        <w:br/>
      </w:r>
      <w:r>
        <w:t xml:space="preserve">pro domácnost a podobné účely). </w:t>
      </w:r>
    </w:p>
    <w:p w14:paraId="771C20C8" w14:textId="77777777" w:rsidR="006B2DFB" w:rsidRDefault="00C94E6A" w:rsidP="006B2DFB">
      <w:r>
        <w:t>Provozovatel elektrického ohradníku je plně odpovědný za dodržování všech bezpečnostních a dalších právních předpisů souvisejících s provozem elektrického ohradníku.</w:t>
      </w:r>
      <w:r w:rsidR="006B2DFB" w:rsidRPr="006B2DFB">
        <w:t xml:space="preserve"> </w:t>
      </w:r>
    </w:p>
    <w:p w14:paraId="2331B225" w14:textId="5ADBD43D" w:rsidR="00406981" w:rsidRDefault="00406981" w:rsidP="006B2DFB"/>
    <w:p w14:paraId="05025C14" w14:textId="63311259" w:rsidR="006B2DFB" w:rsidRPr="005C3A74" w:rsidRDefault="006B2DFB" w:rsidP="006B2DFB">
      <w:r w:rsidRPr="00B03397">
        <w:rPr>
          <w:b/>
          <w:bCs/>
          <w:color w:val="auto"/>
        </w:rPr>
        <w:t xml:space="preserve">Ministerstvo pro místní rozvoj je toho názoru, že elektrické ohradníky pro </w:t>
      </w:r>
      <w:r w:rsidR="0058588A">
        <w:rPr>
          <w:b/>
          <w:bCs/>
          <w:color w:val="auto"/>
        </w:rPr>
        <w:t xml:space="preserve">zvířata </w:t>
      </w:r>
      <w:r w:rsidRPr="00B03397">
        <w:rPr>
          <w:b/>
          <w:bCs/>
          <w:color w:val="auto"/>
        </w:rPr>
        <w:t xml:space="preserve">spolu s mobilními košáry nejsou stavbou ve smyslu § 5 odst. 1 SZ ani o zařízení podle § 7 odst. 1 SZ, a proto nepodléhají posuzování podle SZ. Přitom posouzení, zda určitá konstrukce je stavbou, popřípadě zařízením, </w:t>
      </w:r>
      <w:r w:rsidR="0058588A">
        <w:rPr>
          <w:b/>
          <w:bCs/>
          <w:color w:val="auto"/>
        </w:rPr>
        <w:br/>
      </w:r>
      <w:r w:rsidRPr="00B03397">
        <w:rPr>
          <w:b/>
          <w:bCs/>
          <w:color w:val="auto"/>
        </w:rPr>
        <w:t xml:space="preserve">je na příslušném stavebním úřadě, který je kompetentní ke komplexnímu posouzení stavby </w:t>
      </w:r>
      <w:r w:rsidR="0058588A">
        <w:rPr>
          <w:b/>
          <w:bCs/>
          <w:color w:val="auto"/>
        </w:rPr>
        <w:br/>
      </w:r>
      <w:r w:rsidRPr="00B03397">
        <w:rPr>
          <w:b/>
          <w:bCs/>
          <w:color w:val="auto"/>
        </w:rPr>
        <w:t>při znalosti věci, konkrétního</w:t>
      </w:r>
      <w:r>
        <w:rPr>
          <w:color w:val="auto"/>
        </w:rPr>
        <w:t xml:space="preserve"> </w:t>
      </w:r>
      <w:r w:rsidRPr="00B03397">
        <w:rPr>
          <w:b/>
          <w:bCs/>
          <w:color w:val="auto"/>
        </w:rPr>
        <w:t>spisu a podmínek dotčeného území</w:t>
      </w:r>
      <w:r w:rsidR="00406981">
        <w:rPr>
          <w:b/>
          <w:bCs/>
          <w:color w:val="auto"/>
        </w:rPr>
        <w:t>.</w:t>
      </w:r>
    </w:p>
    <w:p w14:paraId="76769D8C" w14:textId="37D3BD52" w:rsidR="002B55FC" w:rsidRDefault="00191F22" w:rsidP="00A86E30">
      <w:pPr>
        <w:pStyle w:val="Nadpis1"/>
        <w:jc w:val="both"/>
      </w:pPr>
      <w:r>
        <w:lastRenderedPageBreak/>
        <w:t>Příklady elektrických ohradníků, košárů a ohrad jako zvláštní</w:t>
      </w:r>
      <w:r w:rsidR="009F7570">
        <w:t>ho</w:t>
      </w:r>
      <w:r>
        <w:t xml:space="preserve"> druh</w:t>
      </w:r>
      <w:r w:rsidR="009F7570">
        <w:t>u</w:t>
      </w:r>
      <w:r>
        <w:t xml:space="preserve"> oplocení</w:t>
      </w:r>
    </w:p>
    <w:p w14:paraId="519026E0" w14:textId="77777777" w:rsidR="00DC1D76" w:rsidRPr="00DC1D76" w:rsidRDefault="00DC1D76" w:rsidP="00DC1D76"/>
    <w:p w14:paraId="2B4A8DAE" w14:textId="66CE2DCA" w:rsidR="00191F22" w:rsidRPr="009F7570" w:rsidRDefault="00191F22" w:rsidP="00191F22">
      <w:pPr>
        <w:spacing w:after="9"/>
        <w:ind w:left="-5" w:right="0"/>
        <w:rPr>
          <w:b/>
          <w:bCs/>
        </w:rPr>
      </w:pPr>
      <w:r w:rsidRPr="009F7570">
        <w:rPr>
          <w:b/>
          <w:bCs/>
          <w:color w:val="auto"/>
        </w:rPr>
        <w:t>Pevné elektrické ohradníky na kůlech:</w:t>
      </w:r>
    </w:p>
    <w:p w14:paraId="7D1C8C15" w14:textId="074E3FDE" w:rsidR="00191F22" w:rsidRDefault="00191F22" w:rsidP="00C26DF2">
      <w:pPr>
        <w:spacing w:after="0"/>
      </w:pPr>
    </w:p>
    <w:p w14:paraId="59131585" w14:textId="4AC0AC3C" w:rsidR="002453CF" w:rsidRPr="00191F22" w:rsidRDefault="002453CF" w:rsidP="00C26DF2">
      <w:pPr>
        <w:spacing w:after="0"/>
      </w:pPr>
      <w:r>
        <w:rPr>
          <w:noProof/>
        </w:rPr>
        <w:drawing>
          <wp:inline distT="0" distB="0" distL="0" distR="0" wp14:anchorId="6C19B00A" wp14:editId="7AED3241">
            <wp:extent cx="2770355" cy="2080895"/>
            <wp:effectExtent l="0" t="0" r="0" b="0"/>
            <wp:docPr id="1067752155" name="Obrázek 1" descr="Obsah obrázku tráva, venku, obloha, mra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52155" name="Obrázek 1" descr="Obsah obrázku tráva, venku, obloha, mrak&#10;&#10;Obsah vygenerovaný umělou inteligencí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1173" cy="210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C9C4DA4" wp14:editId="03A408D6">
            <wp:extent cx="2927245" cy="2070100"/>
            <wp:effectExtent l="0" t="0" r="6985" b="6350"/>
            <wp:docPr id="1583636167" name="Obrázek 1" descr="Obsah obrázku tráva, venku, strom, rostli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36167" name="Obrázek 1" descr="Obsah obrázku tráva, venku, strom, rostlina&#10;&#10;Obsah vygenerovaný umělou inteligencí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972" cy="211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CC7B" w14:textId="77777777" w:rsidR="007712C7" w:rsidRDefault="007712C7" w:rsidP="00C26DF2">
      <w:pPr>
        <w:spacing w:after="0"/>
        <w:ind w:left="-5" w:right="0"/>
        <w:rPr>
          <w:b/>
          <w:bCs/>
          <w:color w:val="auto"/>
        </w:rPr>
      </w:pPr>
    </w:p>
    <w:p w14:paraId="50CAC69A" w14:textId="00CA8A64" w:rsidR="00191F22" w:rsidRPr="009F7570" w:rsidRDefault="00191F22" w:rsidP="00C26DF2">
      <w:pPr>
        <w:spacing w:after="0"/>
        <w:ind w:left="-5" w:right="0"/>
        <w:rPr>
          <w:b/>
          <w:bCs/>
          <w:color w:val="auto"/>
        </w:rPr>
      </w:pPr>
      <w:r w:rsidRPr="009F7570">
        <w:rPr>
          <w:b/>
          <w:bCs/>
          <w:color w:val="auto"/>
        </w:rPr>
        <w:t>Mobilní elektrické ohradníky:</w:t>
      </w:r>
    </w:p>
    <w:p w14:paraId="17179409" w14:textId="7777FBB0" w:rsidR="00191F22" w:rsidRDefault="00191F22">
      <w:pPr>
        <w:spacing w:after="9"/>
        <w:ind w:left="-5" w:right="0"/>
        <w:rPr>
          <w:color w:val="auto"/>
        </w:rPr>
      </w:pPr>
    </w:p>
    <w:p w14:paraId="29E61AE8" w14:textId="50038170" w:rsidR="00A56D5A" w:rsidRDefault="002453CF">
      <w:pPr>
        <w:spacing w:after="9"/>
        <w:ind w:left="-5" w:right="0"/>
        <w:rPr>
          <w:b/>
          <w:bCs/>
          <w:color w:val="auto"/>
        </w:rPr>
      </w:pPr>
      <w:r>
        <w:rPr>
          <w:noProof/>
        </w:rPr>
        <w:drawing>
          <wp:inline distT="0" distB="0" distL="0" distR="0" wp14:anchorId="340D25AE" wp14:editId="16F29B54">
            <wp:extent cx="2800350" cy="1838960"/>
            <wp:effectExtent l="0" t="0" r="0" b="8890"/>
            <wp:docPr id="1371428807" name="Obrázek 1" descr="Obsah obrázku venku, pole, budova, Drátěné oploce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28807" name="Obrázek 1" descr="Obsah obrázku venku, pole, budova, Drátěné oplocení&#10;&#10;Obsah vygenerovaný umělou inteligencí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4234" cy="186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auto"/>
        </w:rPr>
        <w:t xml:space="preserve"> </w:t>
      </w:r>
      <w:r w:rsidR="00C655F1">
        <w:rPr>
          <w:noProof/>
        </w:rPr>
        <w:drawing>
          <wp:inline distT="0" distB="0" distL="0" distR="0" wp14:anchorId="318979FC" wp14:editId="1CBE3616">
            <wp:extent cx="2901950" cy="1838325"/>
            <wp:effectExtent l="0" t="0" r="0" b="9525"/>
            <wp:docPr id="296821277" name="Obrázek 1" descr="Obsah obrázku venku, pole, rostlina, louky a pastvin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21277" name="Obrázek 1" descr="Obsah obrázku venku, pole, rostlina, louky a pastviny&#10;&#10;Obsah vygenerovaný umělou inteligencí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8821" cy="188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FB887" w14:textId="77777777" w:rsidR="000147B5" w:rsidRDefault="000147B5">
      <w:pPr>
        <w:spacing w:after="9"/>
        <w:ind w:left="-5" w:right="0"/>
        <w:rPr>
          <w:b/>
          <w:bCs/>
          <w:color w:val="auto"/>
        </w:rPr>
      </w:pPr>
    </w:p>
    <w:p w14:paraId="1BC67CB3" w14:textId="35E3AF7A" w:rsidR="00AB6ACC" w:rsidRPr="009F7570" w:rsidRDefault="00AB643E">
      <w:pPr>
        <w:spacing w:after="9"/>
        <w:ind w:left="-5" w:right="0"/>
        <w:rPr>
          <w:b/>
          <w:bCs/>
          <w:color w:val="auto"/>
        </w:rPr>
      </w:pPr>
      <w:r w:rsidRPr="009F7570">
        <w:rPr>
          <w:b/>
          <w:bCs/>
          <w:color w:val="auto"/>
        </w:rPr>
        <w:t>Košáry přenosné:</w:t>
      </w:r>
    </w:p>
    <w:p w14:paraId="7E511939" w14:textId="11CF929D" w:rsidR="00AB643E" w:rsidRDefault="008B4895">
      <w:pPr>
        <w:spacing w:after="9"/>
        <w:ind w:left="-5" w:right="0"/>
        <w:rPr>
          <w:color w:val="auto"/>
        </w:rPr>
      </w:pPr>
      <w:r>
        <w:rPr>
          <w:color w:val="auto"/>
        </w:rPr>
        <w:t xml:space="preserve">           </w:t>
      </w:r>
      <w:r w:rsidR="00D57D40">
        <w:rPr>
          <w:color w:val="auto"/>
        </w:rPr>
        <w:t xml:space="preserve">     </w:t>
      </w:r>
      <w:r w:rsidR="00A56D5A">
        <w:rPr>
          <w:color w:val="auto"/>
        </w:rPr>
        <w:t xml:space="preserve"> </w:t>
      </w:r>
    </w:p>
    <w:p w14:paraId="5CC0C469" w14:textId="243C9FFA" w:rsidR="00DC1D76" w:rsidRDefault="00C655F1">
      <w:pPr>
        <w:spacing w:after="9"/>
        <w:ind w:left="-5" w:right="0"/>
        <w:rPr>
          <w:color w:val="auto"/>
        </w:rPr>
      </w:pPr>
      <w:r>
        <w:rPr>
          <w:noProof/>
        </w:rPr>
        <w:drawing>
          <wp:inline distT="0" distB="0" distL="0" distR="0" wp14:anchorId="755A389D" wp14:editId="213AD5F3">
            <wp:extent cx="2809397" cy="1884589"/>
            <wp:effectExtent l="0" t="0" r="0" b="1905"/>
            <wp:docPr id="930303380" name="Obrázek 1" descr="Obsah obrázku tráva, venku, obloha, pol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56550" name="Obrázek 1" descr="Obsah obrázku tráva, venku, obloha, pole&#10;&#10;Obsah vygenerovaný umělou inteligencí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5320" cy="194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</w:t>
      </w:r>
      <w:r>
        <w:rPr>
          <w:noProof/>
        </w:rPr>
        <w:drawing>
          <wp:inline distT="0" distB="0" distL="0" distR="0" wp14:anchorId="44D20439" wp14:editId="47F8E6B5">
            <wp:extent cx="2901339" cy="1892935"/>
            <wp:effectExtent l="0" t="0" r="0" b="0"/>
            <wp:docPr id="1019484302" name="Obrázek 1" descr="Obsah obrázku tráva, venku, mrak, oblo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65013" name="Obrázek 1" descr="Obsah obrázku tráva, venku, mrak, obloha&#10;&#10;Obsah vygenerovaný umělou inteligencí může být nesprávný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5536" cy="193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4B97" w14:textId="77777777" w:rsidR="00DD1E72" w:rsidRDefault="00DD1E72">
      <w:pPr>
        <w:spacing w:after="9"/>
        <w:ind w:left="-5" w:right="0"/>
        <w:rPr>
          <w:b/>
          <w:bCs/>
          <w:noProof/>
          <w:color w:val="auto"/>
        </w:rPr>
      </w:pPr>
    </w:p>
    <w:p w14:paraId="4D51C1D4" w14:textId="77777777" w:rsidR="00DD1E72" w:rsidRDefault="00DD1E72">
      <w:pPr>
        <w:spacing w:after="9"/>
        <w:ind w:left="-5" w:right="0"/>
        <w:rPr>
          <w:b/>
          <w:bCs/>
          <w:noProof/>
          <w:color w:val="auto"/>
        </w:rPr>
      </w:pPr>
    </w:p>
    <w:p w14:paraId="2D2BEC08" w14:textId="00FF4E51" w:rsidR="008B4895" w:rsidRPr="009F7570" w:rsidRDefault="00C655F1">
      <w:pPr>
        <w:spacing w:after="9"/>
        <w:ind w:left="-5" w:right="0"/>
        <w:rPr>
          <w:b/>
          <w:bCs/>
          <w:noProof/>
          <w:color w:val="auto"/>
        </w:rPr>
      </w:pPr>
      <w:r>
        <w:rPr>
          <w:b/>
          <w:bCs/>
          <w:noProof/>
          <w:color w:val="auto"/>
        </w:rPr>
        <w:lastRenderedPageBreak/>
        <w:t>O</w:t>
      </w:r>
      <w:r w:rsidR="008B4895" w:rsidRPr="009F7570">
        <w:rPr>
          <w:b/>
          <w:bCs/>
          <w:noProof/>
          <w:color w:val="auto"/>
        </w:rPr>
        <w:t>hrady:</w:t>
      </w:r>
    </w:p>
    <w:p w14:paraId="4F08CA31" w14:textId="341BDA47" w:rsidR="008B4895" w:rsidRDefault="008B4895">
      <w:pPr>
        <w:spacing w:after="9"/>
        <w:ind w:left="-5" w:right="0"/>
        <w:rPr>
          <w:noProof/>
          <w:color w:val="auto"/>
        </w:rPr>
      </w:pPr>
      <w:r>
        <w:rPr>
          <w:noProof/>
          <w:color w:val="auto"/>
        </w:rPr>
        <w:t xml:space="preserve"> </w:t>
      </w:r>
    </w:p>
    <w:p w14:paraId="22D042FC" w14:textId="6D31288C" w:rsidR="00C655F1" w:rsidRDefault="00C655F1" w:rsidP="00DD1E72">
      <w:pPr>
        <w:spacing w:after="9"/>
        <w:ind w:left="-5" w:right="0"/>
        <w:jc w:val="center"/>
        <w:rPr>
          <w:noProof/>
          <w:color w:val="auto"/>
        </w:rPr>
      </w:pPr>
      <w:r>
        <w:rPr>
          <w:noProof/>
        </w:rPr>
        <w:drawing>
          <wp:inline distT="0" distB="0" distL="0" distR="0" wp14:anchorId="11ED7B33" wp14:editId="2FEDA390">
            <wp:extent cx="5232400" cy="3998595"/>
            <wp:effectExtent l="0" t="0" r="6350" b="1905"/>
            <wp:docPr id="1585041190" name="Obrázek 1" descr="Obsah obrázku venku, tráva, strom, oblo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19187" name="Obrázek 1" descr="Obsah obrázku venku, tráva, strom, obloha&#10;&#10;Obsah vygenerovaný umělou inteligencí může být nesprávný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9994" cy="405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491F" w14:textId="3CD8F9CE" w:rsidR="008B4895" w:rsidRDefault="00C655F1">
      <w:pPr>
        <w:spacing w:after="9"/>
        <w:ind w:left="-5" w:right="0"/>
        <w:rPr>
          <w:color w:val="auto"/>
        </w:rPr>
      </w:pPr>
      <w:r>
        <w:rPr>
          <w:noProof/>
          <w:color w:val="auto"/>
        </w:rPr>
        <w:t>O</w:t>
      </w:r>
      <w:r w:rsidR="008B4895">
        <w:rPr>
          <w:noProof/>
          <w:color w:val="auto"/>
        </w:rPr>
        <w:t>hrad</w:t>
      </w:r>
      <w:r>
        <w:rPr>
          <w:noProof/>
          <w:color w:val="auto"/>
        </w:rPr>
        <w:t>a s pletivem</w:t>
      </w:r>
      <w:r w:rsidR="008B4895">
        <w:rPr>
          <w:noProof/>
          <w:color w:val="auto"/>
        </w:rPr>
        <w:t xml:space="preserve"> bez elektrického pásku ohradníku</w:t>
      </w:r>
    </w:p>
    <w:p w14:paraId="6C7343A5" w14:textId="1B4ECB41" w:rsidR="009F7570" w:rsidRDefault="00136AF6">
      <w:pPr>
        <w:spacing w:after="9"/>
        <w:ind w:left="-5" w:right="0"/>
        <w:rPr>
          <w:color w:val="auto"/>
        </w:rPr>
      </w:pPr>
      <w:r>
        <w:rPr>
          <w:noProof/>
          <w:color w:val="auto"/>
        </w:rPr>
        <w:t xml:space="preserve"> </w:t>
      </w:r>
    </w:p>
    <w:p w14:paraId="138E99E9" w14:textId="229B600C" w:rsidR="00C655F1" w:rsidRDefault="00C655F1" w:rsidP="00DD1E72">
      <w:pPr>
        <w:spacing w:after="9"/>
        <w:ind w:left="-5" w:right="0"/>
        <w:jc w:val="center"/>
        <w:rPr>
          <w:color w:val="auto"/>
        </w:rPr>
      </w:pPr>
      <w:r>
        <w:rPr>
          <w:noProof/>
        </w:rPr>
        <w:drawing>
          <wp:inline distT="0" distB="0" distL="0" distR="0" wp14:anchorId="3DC06B4D" wp14:editId="380441F5">
            <wp:extent cx="5250634" cy="3575050"/>
            <wp:effectExtent l="0" t="0" r="7620" b="6350"/>
            <wp:docPr id="144491012" name="Obrázek 1" descr="Obsah obrázku budova, venku, obloha, trá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81986" name="Obrázek 1" descr="Obsah obrázku budova, venku, obloha, tráva&#10;&#10;Obsah vygenerovaný umělou inteligencí může být nesprávný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0544" cy="371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26BD0" w14:textId="32338AF4" w:rsidR="008102D8" w:rsidRPr="008102D8" w:rsidRDefault="00C655F1" w:rsidP="00DD1E72">
      <w:pPr>
        <w:spacing w:after="9"/>
        <w:ind w:left="0" w:right="0" w:firstLine="0"/>
        <w:rPr>
          <w:b/>
          <w:bCs/>
          <w:color w:val="FF0000"/>
          <w:vertAlign w:val="superscript"/>
        </w:rPr>
      </w:pPr>
      <w:r>
        <w:rPr>
          <w:color w:val="auto"/>
        </w:rPr>
        <w:t>O</w:t>
      </w:r>
      <w:r w:rsidR="009F7570">
        <w:rPr>
          <w:color w:val="auto"/>
        </w:rPr>
        <w:t>hrada s</w:t>
      </w:r>
      <w:r>
        <w:rPr>
          <w:color w:val="auto"/>
        </w:rPr>
        <w:t> pletivem a</w:t>
      </w:r>
      <w:r w:rsidR="009F7570">
        <w:rPr>
          <w:color w:val="auto"/>
        </w:rPr>
        <w:t> elektrickým páskem ohradníku</w:t>
      </w:r>
    </w:p>
    <w:sectPr w:rsidR="008102D8" w:rsidRPr="008102D8">
      <w:footerReference w:type="even" r:id="rId19"/>
      <w:footerReference w:type="default" r:id="rId20"/>
      <w:footerReference w:type="first" r:id="rId21"/>
      <w:footnotePr>
        <w:numRestart w:val="eachPage"/>
      </w:footnotePr>
      <w:pgSz w:w="11906" w:h="16838"/>
      <w:pgMar w:top="1417" w:right="1413" w:bottom="1851" w:left="1416" w:header="708" w:footer="70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CA38C" w14:textId="77777777" w:rsidR="00224C06" w:rsidRDefault="00224C06">
      <w:pPr>
        <w:spacing w:after="0" w:line="240" w:lineRule="auto"/>
      </w:pPr>
      <w:r>
        <w:separator/>
      </w:r>
    </w:p>
  </w:endnote>
  <w:endnote w:type="continuationSeparator" w:id="0">
    <w:p w14:paraId="6C6C4246" w14:textId="77777777" w:rsidR="00224C06" w:rsidRDefault="00224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3425C" w14:textId="77777777" w:rsidR="00E76A1A" w:rsidRDefault="00DF63C8">
    <w:pPr>
      <w:spacing w:after="0" w:line="259" w:lineRule="auto"/>
      <w:ind w:left="0" w:right="0" w:firstLine="0"/>
      <w:jc w:val="left"/>
    </w:pPr>
    <w:r>
      <w:rPr>
        <w:i/>
      </w:rPr>
      <w:t>Metodické doporučení odboru stavebního řádu MMR, květen 2024</w:t>
    </w:r>
    <w:r>
      <w:t xml:space="preserve"> </w:t>
    </w:r>
  </w:p>
  <w:p w14:paraId="4D558BE1" w14:textId="77777777" w:rsidR="00E76A1A" w:rsidRDefault="00DF63C8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6</w:t>
      </w:r>
    </w:fldSimple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486D8" w14:textId="32386E7A" w:rsidR="00E76A1A" w:rsidRDefault="00DF63C8">
    <w:pPr>
      <w:spacing w:after="0" w:line="259" w:lineRule="auto"/>
      <w:ind w:left="0" w:right="0" w:firstLine="0"/>
      <w:jc w:val="left"/>
    </w:pPr>
    <w:r>
      <w:rPr>
        <w:i/>
      </w:rPr>
      <w:t>Metodick</w:t>
    </w:r>
    <w:r w:rsidR="0058588A">
      <w:rPr>
        <w:i/>
      </w:rPr>
      <w:t>á</w:t>
    </w:r>
    <w:r>
      <w:rPr>
        <w:i/>
      </w:rPr>
      <w:t xml:space="preserve"> </w:t>
    </w:r>
    <w:r w:rsidR="0058588A">
      <w:rPr>
        <w:i/>
      </w:rPr>
      <w:t>pomůcka</w:t>
    </w:r>
    <w:r>
      <w:rPr>
        <w:i/>
      </w:rPr>
      <w:t xml:space="preserve"> odboru stavebního řádu MMR, </w:t>
    </w:r>
    <w:r w:rsidR="00712C86">
      <w:rPr>
        <w:i/>
      </w:rPr>
      <w:t>listopad</w:t>
    </w:r>
    <w:r>
      <w:rPr>
        <w:i/>
      </w:rPr>
      <w:t xml:space="preserve"> 202</w:t>
    </w:r>
    <w:r w:rsidR="00712C86">
      <w:rPr>
        <w:i/>
      </w:rPr>
      <w:t>5</w:t>
    </w:r>
    <w:r>
      <w:t xml:space="preserve"> </w:t>
    </w:r>
  </w:p>
  <w:p w14:paraId="00C5F6DF" w14:textId="77777777" w:rsidR="00E76A1A" w:rsidRDefault="00DF63C8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6</w:t>
      </w:r>
    </w:fldSimple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91DBE" w14:textId="77777777" w:rsidR="00E76A1A" w:rsidRDefault="00DF63C8">
    <w:pPr>
      <w:spacing w:after="0" w:line="259" w:lineRule="auto"/>
      <w:ind w:left="0" w:right="0" w:firstLine="0"/>
      <w:jc w:val="left"/>
    </w:pPr>
    <w:r>
      <w:rPr>
        <w:i/>
      </w:rPr>
      <w:t>Metodické doporučení odboru stavebního řádu MMR, květen 2024</w:t>
    </w:r>
    <w:r>
      <w:t xml:space="preserve"> </w:t>
    </w:r>
  </w:p>
  <w:p w14:paraId="55F6BB6B" w14:textId="77777777" w:rsidR="00E76A1A" w:rsidRDefault="00DF63C8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6</w:t>
      </w:r>
    </w:fldSimple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F2B9D" w14:textId="77777777" w:rsidR="00224C06" w:rsidRDefault="00224C06">
      <w:pPr>
        <w:spacing w:after="0" w:line="259" w:lineRule="auto"/>
        <w:ind w:left="0" w:right="0" w:firstLine="0"/>
        <w:jc w:val="left"/>
      </w:pPr>
      <w:r>
        <w:separator/>
      </w:r>
    </w:p>
  </w:footnote>
  <w:footnote w:type="continuationSeparator" w:id="0">
    <w:p w14:paraId="068F01F8" w14:textId="77777777" w:rsidR="00224C06" w:rsidRDefault="00224C06">
      <w:pPr>
        <w:spacing w:after="0" w:line="259" w:lineRule="auto"/>
        <w:ind w:left="0" w:right="0" w:firstLine="0"/>
        <w:jc w:val="left"/>
      </w:pPr>
      <w:r>
        <w:continuationSeparator/>
      </w:r>
    </w:p>
  </w:footnote>
  <w:footnote w:id="1">
    <w:p w14:paraId="5ED7871E" w14:textId="77777777" w:rsidR="00E76A1A" w:rsidRDefault="00DF63C8">
      <w:pPr>
        <w:pStyle w:val="footnotedescription"/>
      </w:pPr>
      <w:r>
        <w:rPr>
          <w:rStyle w:val="footnotemark"/>
        </w:rPr>
        <w:footnoteRef/>
      </w:r>
      <w:r>
        <w:t xml:space="preserve"> Zákon č. 283/20021 Sb., </w:t>
      </w:r>
      <w:bookmarkStart w:id="1" w:name="_Hlk213744329"/>
      <w:r>
        <w:t>stavební zákon, ve znění pozdějších předpisů</w:t>
      </w:r>
      <w:bookmarkEnd w:id="1"/>
      <w:r>
        <w:t>.</w:t>
      </w:r>
      <w:r>
        <w:rPr>
          <w:sz w:val="20"/>
        </w:rPr>
        <w:t xml:space="preserve"> </w:t>
      </w:r>
    </w:p>
  </w:footnote>
  <w:footnote w:id="2">
    <w:p w14:paraId="06EED4A1" w14:textId="3503E07B" w:rsidR="00230658" w:rsidRDefault="00230658">
      <w:pPr>
        <w:pStyle w:val="Textpoznpodarou"/>
      </w:pPr>
      <w:r>
        <w:rPr>
          <w:rStyle w:val="Znakapoznpodarou"/>
        </w:rPr>
        <w:footnoteRef/>
      </w:r>
      <w:r>
        <w:t xml:space="preserve"> § 5 zákona č. 283/2021 Sb.,</w:t>
      </w:r>
      <w:r w:rsidRPr="00230658">
        <w:t xml:space="preserve"> </w:t>
      </w:r>
      <w:r>
        <w:t>stavební zákon,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C5854"/>
    <w:multiLevelType w:val="hybridMultilevel"/>
    <w:tmpl w:val="883A8B6C"/>
    <w:lvl w:ilvl="0" w:tplc="580E82DE">
      <w:start w:val="1"/>
      <w:numFmt w:val="decimal"/>
      <w:pStyle w:val="Nadpis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1F4E7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B8D59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F4E7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02151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F4E7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D669D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F4E7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987AF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F4E7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5E47A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F4E7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263D2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F4E7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9EA1F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F4E7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70F6E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F4E7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D70489"/>
    <w:multiLevelType w:val="hybridMultilevel"/>
    <w:tmpl w:val="3D30D99A"/>
    <w:lvl w:ilvl="0" w:tplc="73144658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strike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F2EE6"/>
    <w:multiLevelType w:val="hybridMultilevel"/>
    <w:tmpl w:val="E376D460"/>
    <w:lvl w:ilvl="0" w:tplc="19AE7C7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4A3C9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4ED09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4655B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3E5ED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6A750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9422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C46E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4A184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820BEC"/>
    <w:multiLevelType w:val="hybridMultilevel"/>
    <w:tmpl w:val="0212B5E0"/>
    <w:lvl w:ilvl="0" w:tplc="FD52EBF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42C2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2866C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103B0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04096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808E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8BEC43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24D32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0C806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F217963"/>
    <w:multiLevelType w:val="hybridMultilevel"/>
    <w:tmpl w:val="4FF010C2"/>
    <w:lvl w:ilvl="0" w:tplc="30F6CF5C">
      <w:start w:val="1"/>
      <w:numFmt w:val="bullet"/>
      <w:lvlText w:val="▪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E080C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EF6FE8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7C3A7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0E049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5C5F4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A8F10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B84F7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CE091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9972042">
    <w:abstractNumId w:val="4"/>
  </w:num>
  <w:num w:numId="2" w16cid:durableId="932860186">
    <w:abstractNumId w:val="2"/>
  </w:num>
  <w:num w:numId="3" w16cid:durableId="934824413">
    <w:abstractNumId w:val="3"/>
  </w:num>
  <w:num w:numId="4" w16cid:durableId="1185091850">
    <w:abstractNumId w:val="0"/>
  </w:num>
  <w:num w:numId="5" w16cid:durableId="7155880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A1A"/>
    <w:rsid w:val="000147B5"/>
    <w:rsid w:val="00035914"/>
    <w:rsid w:val="00053B84"/>
    <w:rsid w:val="0005553F"/>
    <w:rsid w:val="00070EC1"/>
    <w:rsid w:val="00085BF0"/>
    <w:rsid w:val="00096D17"/>
    <w:rsid w:val="000C7D90"/>
    <w:rsid w:val="000D6059"/>
    <w:rsid w:val="000D6239"/>
    <w:rsid w:val="000D7CDD"/>
    <w:rsid w:val="001019BE"/>
    <w:rsid w:val="001111C0"/>
    <w:rsid w:val="001201DB"/>
    <w:rsid w:val="00124B79"/>
    <w:rsid w:val="00124E1F"/>
    <w:rsid w:val="00136AF6"/>
    <w:rsid w:val="001474FE"/>
    <w:rsid w:val="00154408"/>
    <w:rsid w:val="00175866"/>
    <w:rsid w:val="00191F22"/>
    <w:rsid w:val="001A4638"/>
    <w:rsid w:val="001C0D44"/>
    <w:rsid w:val="001E6D43"/>
    <w:rsid w:val="0020189E"/>
    <w:rsid w:val="00217433"/>
    <w:rsid w:val="00224C06"/>
    <w:rsid w:val="00230658"/>
    <w:rsid w:val="002453CF"/>
    <w:rsid w:val="002634DD"/>
    <w:rsid w:val="00265EE1"/>
    <w:rsid w:val="00281D37"/>
    <w:rsid w:val="002A7A62"/>
    <w:rsid w:val="002B55FC"/>
    <w:rsid w:val="002C0A2F"/>
    <w:rsid w:val="002C1178"/>
    <w:rsid w:val="002C5488"/>
    <w:rsid w:val="002D0CF1"/>
    <w:rsid w:val="002E1B75"/>
    <w:rsid w:val="002E49F5"/>
    <w:rsid w:val="002F5B14"/>
    <w:rsid w:val="00303FBC"/>
    <w:rsid w:val="003165DB"/>
    <w:rsid w:val="00332C63"/>
    <w:rsid w:val="00340937"/>
    <w:rsid w:val="0034215C"/>
    <w:rsid w:val="00350CC0"/>
    <w:rsid w:val="003557A6"/>
    <w:rsid w:val="0035710E"/>
    <w:rsid w:val="00360C61"/>
    <w:rsid w:val="003B398C"/>
    <w:rsid w:val="003D7070"/>
    <w:rsid w:val="003F55AA"/>
    <w:rsid w:val="003F6250"/>
    <w:rsid w:val="00406981"/>
    <w:rsid w:val="00414845"/>
    <w:rsid w:val="004261FB"/>
    <w:rsid w:val="004365DD"/>
    <w:rsid w:val="00437FBA"/>
    <w:rsid w:val="00447926"/>
    <w:rsid w:val="00462745"/>
    <w:rsid w:val="00480D66"/>
    <w:rsid w:val="00485B49"/>
    <w:rsid w:val="004A4089"/>
    <w:rsid w:val="004C00B6"/>
    <w:rsid w:val="004C0940"/>
    <w:rsid w:val="004F428A"/>
    <w:rsid w:val="004F6A63"/>
    <w:rsid w:val="00525240"/>
    <w:rsid w:val="00543FA3"/>
    <w:rsid w:val="005506AF"/>
    <w:rsid w:val="00553F4A"/>
    <w:rsid w:val="00557D2C"/>
    <w:rsid w:val="0058588A"/>
    <w:rsid w:val="005956BC"/>
    <w:rsid w:val="005979D5"/>
    <w:rsid w:val="005C3A74"/>
    <w:rsid w:val="0060676F"/>
    <w:rsid w:val="00613C77"/>
    <w:rsid w:val="00622792"/>
    <w:rsid w:val="006275CC"/>
    <w:rsid w:val="00647239"/>
    <w:rsid w:val="00661239"/>
    <w:rsid w:val="00666873"/>
    <w:rsid w:val="00670321"/>
    <w:rsid w:val="00684A1B"/>
    <w:rsid w:val="006857CC"/>
    <w:rsid w:val="006A5802"/>
    <w:rsid w:val="006B2DFB"/>
    <w:rsid w:val="006B5C5E"/>
    <w:rsid w:val="006B7228"/>
    <w:rsid w:val="006E67B5"/>
    <w:rsid w:val="006F1316"/>
    <w:rsid w:val="006F2704"/>
    <w:rsid w:val="007029C5"/>
    <w:rsid w:val="00711A2C"/>
    <w:rsid w:val="00712C86"/>
    <w:rsid w:val="00731F26"/>
    <w:rsid w:val="00747270"/>
    <w:rsid w:val="007610F8"/>
    <w:rsid w:val="007712C7"/>
    <w:rsid w:val="007775EF"/>
    <w:rsid w:val="007A40B0"/>
    <w:rsid w:val="007A6A0D"/>
    <w:rsid w:val="007A7FAB"/>
    <w:rsid w:val="007E26B3"/>
    <w:rsid w:val="007E434B"/>
    <w:rsid w:val="007F281A"/>
    <w:rsid w:val="007F3A39"/>
    <w:rsid w:val="007F3F7D"/>
    <w:rsid w:val="008102D8"/>
    <w:rsid w:val="008123D3"/>
    <w:rsid w:val="00837608"/>
    <w:rsid w:val="00843C85"/>
    <w:rsid w:val="0085500C"/>
    <w:rsid w:val="00856967"/>
    <w:rsid w:val="00856E7E"/>
    <w:rsid w:val="00875062"/>
    <w:rsid w:val="008B4895"/>
    <w:rsid w:val="008C3880"/>
    <w:rsid w:val="008D2157"/>
    <w:rsid w:val="008D3614"/>
    <w:rsid w:val="008E4D66"/>
    <w:rsid w:val="008F11D5"/>
    <w:rsid w:val="009202F1"/>
    <w:rsid w:val="0093155A"/>
    <w:rsid w:val="00955100"/>
    <w:rsid w:val="00964796"/>
    <w:rsid w:val="00966CE5"/>
    <w:rsid w:val="00971659"/>
    <w:rsid w:val="00975F40"/>
    <w:rsid w:val="009B1721"/>
    <w:rsid w:val="009B6E4C"/>
    <w:rsid w:val="009D6A70"/>
    <w:rsid w:val="009F7570"/>
    <w:rsid w:val="00A034F5"/>
    <w:rsid w:val="00A35668"/>
    <w:rsid w:val="00A413A7"/>
    <w:rsid w:val="00A50AD8"/>
    <w:rsid w:val="00A53354"/>
    <w:rsid w:val="00A53DB0"/>
    <w:rsid w:val="00A56D5A"/>
    <w:rsid w:val="00A66802"/>
    <w:rsid w:val="00A74528"/>
    <w:rsid w:val="00A86E30"/>
    <w:rsid w:val="00AA01FD"/>
    <w:rsid w:val="00AB3F0E"/>
    <w:rsid w:val="00AB643E"/>
    <w:rsid w:val="00AB6ACC"/>
    <w:rsid w:val="00AC26D5"/>
    <w:rsid w:val="00AF5244"/>
    <w:rsid w:val="00B04179"/>
    <w:rsid w:val="00B058CC"/>
    <w:rsid w:val="00B45590"/>
    <w:rsid w:val="00B53C05"/>
    <w:rsid w:val="00B70F05"/>
    <w:rsid w:val="00B75D3A"/>
    <w:rsid w:val="00BB443B"/>
    <w:rsid w:val="00BC778E"/>
    <w:rsid w:val="00BC7965"/>
    <w:rsid w:val="00BD079D"/>
    <w:rsid w:val="00BD0C78"/>
    <w:rsid w:val="00BE426F"/>
    <w:rsid w:val="00C26DF2"/>
    <w:rsid w:val="00C32650"/>
    <w:rsid w:val="00C41886"/>
    <w:rsid w:val="00C44513"/>
    <w:rsid w:val="00C45551"/>
    <w:rsid w:val="00C64142"/>
    <w:rsid w:val="00C655F1"/>
    <w:rsid w:val="00C81940"/>
    <w:rsid w:val="00C94E6A"/>
    <w:rsid w:val="00C9543A"/>
    <w:rsid w:val="00C97517"/>
    <w:rsid w:val="00CA4C67"/>
    <w:rsid w:val="00CC0C8B"/>
    <w:rsid w:val="00CD57DE"/>
    <w:rsid w:val="00CE705F"/>
    <w:rsid w:val="00D078FE"/>
    <w:rsid w:val="00D15A1C"/>
    <w:rsid w:val="00D51E51"/>
    <w:rsid w:val="00D51F43"/>
    <w:rsid w:val="00D56951"/>
    <w:rsid w:val="00D57B52"/>
    <w:rsid w:val="00D57D40"/>
    <w:rsid w:val="00D60394"/>
    <w:rsid w:val="00DB4428"/>
    <w:rsid w:val="00DB455C"/>
    <w:rsid w:val="00DC1D76"/>
    <w:rsid w:val="00DC3D98"/>
    <w:rsid w:val="00DD08D0"/>
    <w:rsid w:val="00DD1E72"/>
    <w:rsid w:val="00DD45A9"/>
    <w:rsid w:val="00DD4A8A"/>
    <w:rsid w:val="00DE2AD7"/>
    <w:rsid w:val="00DE7CF6"/>
    <w:rsid w:val="00DF240F"/>
    <w:rsid w:val="00DF63C8"/>
    <w:rsid w:val="00E056A0"/>
    <w:rsid w:val="00E07E56"/>
    <w:rsid w:val="00E10FBE"/>
    <w:rsid w:val="00E14597"/>
    <w:rsid w:val="00E15854"/>
    <w:rsid w:val="00E17444"/>
    <w:rsid w:val="00E22F27"/>
    <w:rsid w:val="00E33850"/>
    <w:rsid w:val="00E35A9F"/>
    <w:rsid w:val="00E54366"/>
    <w:rsid w:val="00E63FEA"/>
    <w:rsid w:val="00E67701"/>
    <w:rsid w:val="00E720DC"/>
    <w:rsid w:val="00E76A1A"/>
    <w:rsid w:val="00E8578B"/>
    <w:rsid w:val="00EA6B48"/>
    <w:rsid w:val="00EB5904"/>
    <w:rsid w:val="00EF02E0"/>
    <w:rsid w:val="00EF3565"/>
    <w:rsid w:val="00EF3812"/>
    <w:rsid w:val="00EF587C"/>
    <w:rsid w:val="00F175B0"/>
    <w:rsid w:val="00F23C34"/>
    <w:rsid w:val="00F45739"/>
    <w:rsid w:val="00F5277E"/>
    <w:rsid w:val="00F53ACE"/>
    <w:rsid w:val="00F65C55"/>
    <w:rsid w:val="00F761FB"/>
    <w:rsid w:val="00F766E3"/>
    <w:rsid w:val="00F942A9"/>
    <w:rsid w:val="00F94FEE"/>
    <w:rsid w:val="00FB27CC"/>
    <w:rsid w:val="00FB7C8B"/>
    <w:rsid w:val="00FC1412"/>
    <w:rsid w:val="00FC677C"/>
    <w:rsid w:val="00FC77F2"/>
    <w:rsid w:val="00FD7BEE"/>
    <w:rsid w:val="00FE1964"/>
    <w:rsid w:val="00FF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E86FD"/>
  <w15:docId w15:val="{063901EB-B7FA-4C3B-BF98-DE7ACE14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52" w:line="267" w:lineRule="auto"/>
      <w:ind w:left="10" w:right="2" w:hanging="10"/>
      <w:jc w:val="both"/>
    </w:pPr>
    <w:rPr>
      <w:rFonts w:ascii="Calibri" w:eastAsia="Calibri" w:hAnsi="Calibri" w:cs="Calibri"/>
      <w:color w:val="000000"/>
      <w:sz w:val="22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numPr>
        <w:numId w:val="4"/>
      </w:numPr>
      <w:spacing w:after="0" w:line="259" w:lineRule="auto"/>
      <w:outlineLvl w:val="0"/>
    </w:pPr>
    <w:rPr>
      <w:rFonts w:ascii="Calibri" w:eastAsia="Calibri" w:hAnsi="Calibri" w:cs="Calibri"/>
      <w:b/>
      <w:color w:val="1F4E79"/>
      <w:sz w:val="2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22" w:line="259" w:lineRule="auto"/>
      <w:ind w:left="10" w:hanging="10"/>
      <w:outlineLvl w:val="1"/>
    </w:pPr>
    <w:rPr>
      <w:rFonts w:ascii="Calibri" w:eastAsia="Calibri" w:hAnsi="Calibri" w:cs="Calibri"/>
      <w:b/>
      <w:color w:val="1F4E79"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1F4E79"/>
      <w:sz w:val="26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0" w:line="259" w:lineRule="auto"/>
    </w:pPr>
    <w:rPr>
      <w:rFonts w:ascii="Arial" w:eastAsia="Arial" w:hAnsi="Arial" w:cs="Arial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6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1F4E79"/>
      <w:sz w:val="28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20"/>
      <w:vertAlign w:val="superscript"/>
    </w:rPr>
  </w:style>
  <w:style w:type="paragraph" w:styleId="Odstavecseseznamem">
    <w:name w:val="List Paragraph"/>
    <w:basedOn w:val="Normln"/>
    <w:uiPriority w:val="34"/>
    <w:qFormat/>
    <w:rsid w:val="00DD08D0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D08D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D08D0"/>
    <w:rPr>
      <w:rFonts w:ascii="Calibri" w:eastAsia="Calibri" w:hAnsi="Calibri" w:cs="Calibri"/>
      <w:color w:val="000000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D08D0"/>
    <w:rPr>
      <w:vertAlign w:val="superscript"/>
    </w:rPr>
  </w:style>
  <w:style w:type="character" w:styleId="Hypertextovodkaz">
    <w:name w:val="Hyperlink"/>
    <w:basedOn w:val="Standardnpsmoodstavce"/>
    <w:uiPriority w:val="99"/>
    <w:semiHidden/>
    <w:unhideWhenUsed/>
    <w:rsid w:val="00DD08D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712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12C86"/>
    <w:rPr>
      <w:rFonts w:ascii="Calibri" w:eastAsia="Calibri" w:hAnsi="Calibri" w:cs="Calibri"/>
      <w:color w:val="000000"/>
      <w:sz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DD4A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D4A8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D4A8A"/>
    <w:rPr>
      <w:rFonts w:ascii="Calibri" w:eastAsia="Calibri" w:hAnsi="Calibri" w:cs="Calibri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D4A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D4A8A"/>
    <w:rPr>
      <w:rFonts w:ascii="Calibri" w:eastAsia="Calibri" w:hAnsi="Calibri" w:cs="Calibri"/>
      <w:b/>
      <w:bCs/>
      <w:color w:val="000000"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E720DC"/>
    <w:rPr>
      <w:color w:val="96607D" w:themeColor="followedHyperlink"/>
      <w:u w:val="single"/>
    </w:rPr>
  </w:style>
  <w:style w:type="paragraph" w:styleId="Revize">
    <w:name w:val="Revision"/>
    <w:hidden/>
    <w:uiPriority w:val="99"/>
    <w:semiHidden/>
    <w:rsid w:val="00C44513"/>
    <w:pPr>
      <w:spacing w:after="0" w:line="240" w:lineRule="auto"/>
    </w:pPr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mmr.gov.cz/cs/ministerstvo/stavebni-pravo/pravo-a-legislativa/novy-stavebni-zakon/metodiky/stavby-podle-noveho-stavebniho-zakona/drobne-stavby-podle-zakona-c-283-2021-sb-(1)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mmr.gov.cz/cs/ministerstvo/stavebni-pravo/pravo-a-legislativa/novy-stavebni-zakon/metodiky/stavby-podle-noveho-stavebniho-zakona/drobne-stavby-podle-zakona-c-283-2021-sb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18EB1-A0EF-4903-86D7-3D113B72F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1323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Pokorná Marie</dc:creator>
  <cp:keywords/>
  <cp:lastModifiedBy>Hadžić Žanet</cp:lastModifiedBy>
  <cp:revision>2</cp:revision>
  <cp:lastPrinted>2025-11-18T09:20:00Z</cp:lastPrinted>
  <dcterms:created xsi:type="dcterms:W3CDTF">2025-12-03T23:25:00Z</dcterms:created>
  <dcterms:modified xsi:type="dcterms:W3CDTF">2025-12-03T23:25:00Z</dcterms:modified>
</cp:coreProperties>
</file>