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9D" w:rsidRDefault="00332E9D"/>
    <w:p w:rsidR="003414D2" w:rsidRPr="003414D2" w:rsidRDefault="003414D2" w:rsidP="003414D2">
      <w:pPr>
        <w:rPr>
          <w:vanish/>
        </w:rPr>
      </w:pPr>
    </w:p>
    <w:tbl>
      <w:tblPr>
        <w:tblpPr w:leftFromText="187" w:rightFromText="187" w:vertAnchor="page" w:horzAnchor="margin" w:tblpY="6211"/>
        <w:tblW w:w="4924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855"/>
        <w:gridCol w:w="4079"/>
      </w:tblGrid>
      <w:tr w:rsidR="00B71787" w:rsidTr="002C15B1">
        <w:tc>
          <w:tcPr>
            <w:tcW w:w="503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B71787" w:rsidRPr="00575FB9" w:rsidRDefault="005F2DC3" w:rsidP="005F2DC3">
            <w:pPr>
              <w:pStyle w:val="Bezmezer"/>
              <w:rPr>
                <w:rFonts w:ascii="Cambria" w:hAnsi="Cambria"/>
                <w:sz w:val="72"/>
                <w:szCs w:val="72"/>
              </w:rPr>
            </w:pPr>
            <w:r w:rsidRPr="00575FB9">
              <w:rPr>
                <w:rFonts w:ascii="Cambria" w:hAnsi="Cambria"/>
                <w:b/>
                <w:color w:val="ED7D31" w:themeColor="accent2"/>
                <w:sz w:val="72"/>
                <w:szCs w:val="72"/>
                <w:u w:val="single"/>
              </w:rPr>
              <w:t>Investice</w:t>
            </w:r>
          </w:p>
        </w:tc>
        <w:tc>
          <w:tcPr>
            <w:tcW w:w="4324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71787" w:rsidRPr="00B40423" w:rsidRDefault="00074218" w:rsidP="00296178">
            <w:pPr>
              <w:pStyle w:val="Bezmezer"/>
              <w:rPr>
                <w:color w:val="4F81BD"/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296178">
              <w:rPr>
                <w:sz w:val="72"/>
                <w:szCs w:val="72"/>
              </w:rPr>
              <w:t>4</w:t>
            </w:r>
            <w:r w:rsidR="00B71787" w:rsidRPr="00B40423">
              <w:rPr>
                <w:sz w:val="72"/>
                <w:szCs w:val="72"/>
              </w:rPr>
              <w:t xml:space="preserve">. </w:t>
            </w:r>
            <w:r w:rsidR="00296178">
              <w:rPr>
                <w:sz w:val="72"/>
                <w:szCs w:val="72"/>
              </w:rPr>
              <w:t>6</w:t>
            </w:r>
            <w:r w:rsidR="00B71787" w:rsidRPr="00B40423">
              <w:rPr>
                <w:sz w:val="72"/>
                <w:szCs w:val="72"/>
              </w:rPr>
              <w:t>. 2021</w:t>
            </w:r>
          </w:p>
        </w:tc>
      </w:tr>
      <w:tr w:rsidR="00B71787" w:rsidTr="002C15B1">
        <w:tc>
          <w:tcPr>
            <w:tcW w:w="5036" w:type="dxa"/>
            <w:tcBorders>
              <w:top w:val="single" w:sz="18" w:space="0" w:color="808080"/>
            </w:tcBorders>
            <w:vAlign w:val="center"/>
          </w:tcPr>
          <w:p w:rsidR="00B71787" w:rsidRDefault="00B71787" w:rsidP="00B71787">
            <w:pPr>
              <w:pStyle w:val="Bezmezer"/>
            </w:pPr>
          </w:p>
        </w:tc>
        <w:tc>
          <w:tcPr>
            <w:tcW w:w="4324" w:type="dxa"/>
            <w:tcBorders>
              <w:top w:val="single" w:sz="18" w:space="0" w:color="808080"/>
            </w:tcBorders>
            <w:vAlign w:val="center"/>
          </w:tcPr>
          <w:p w:rsidR="00B71787" w:rsidRPr="00332E9D" w:rsidRDefault="00B71787" w:rsidP="00B71787">
            <w:pPr>
              <w:pStyle w:val="Bezmez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Materiál pro jednání pracovních skupin SP SZP, vychází z návrhu EK</w:t>
            </w:r>
          </w:p>
        </w:tc>
      </w:tr>
    </w:tbl>
    <w:p w:rsidR="007B3584" w:rsidRPr="004C782D" w:rsidRDefault="00332E9D" w:rsidP="007B3584">
      <w:pPr>
        <w:spacing w:before="100" w:beforeAutospacing="1" w:after="100" w:afterAutospacing="1"/>
        <w:ind w:left="720" w:hanging="720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B3584" w:rsidRPr="00B80C9B" w:rsidTr="00B80C9B">
        <w:tc>
          <w:tcPr>
            <w:tcW w:w="9214" w:type="dxa"/>
            <w:shd w:val="clear" w:color="auto" w:fill="F2F2F2"/>
          </w:tcPr>
          <w:p w:rsidR="007B3584" w:rsidRPr="00B80C9B" w:rsidRDefault="007B3584" w:rsidP="00B80C9B">
            <w:pPr>
              <w:spacing w:before="120" w:after="120"/>
              <w:rPr>
                <w:b/>
                <w:color w:val="76923C"/>
                <w:sz w:val="28"/>
                <w:szCs w:val="28"/>
              </w:rPr>
            </w:pPr>
            <w:r w:rsidRPr="00575FB9">
              <w:rPr>
                <w:b/>
                <w:color w:val="ED7D31" w:themeColor="accent2"/>
                <w:sz w:val="28"/>
                <w:szCs w:val="28"/>
              </w:rPr>
              <w:lastRenderedPageBreak/>
              <w:t>OBSAH</w:t>
            </w:r>
          </w:p>
        </w:tc>
      </w:tr>
    </w:tbl>
    <w:p w:rsidR="00635BFA" w:rsidRDefault="00635BFA"/>
    <w:p w:rsidR="00635BFA" w:rsidRDefault="00635BFA"/>
    <w:p w:rsidR="0039002D" w:rsidRDefault="00635BFA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r w:rsidRPr="00457149">
        <w:rPr>
          <w:b/>
          <w:sz w:val="22"/>
          <w:szCs w:val="22"/>
        </w:rPr>
        <w:fldChar w:fldCharType="begin"/>
      </w:r>
      <w:r w:rsidRPr="00457149">
        <w:rPr>
          <w:b/>
          <w:sz w:val="22"/>
          <w:szCs w:val="22"/>
        </w:rPr>
        <w:instrText xml:space="preserve"> TOC \o "1-2" \h \z \u </w:instrText>
      </w:r>
      <w:r w:rsidRPr="00457149">
        <w:rPr>
          <w:b/>
          <w:sz w:val="22"/>
          <w:szCs w:val="22"/>
        </w:rPr>
        <w:fldChar w:fldCharType="separate"/>
      </w:r>
      <w:hyperlink w:anchor="_Toc67325228" w:history="1">
        <w:r w:rsidR="0039002D" w:rsidRPr="004837EC">
          <w:rPr>
            <w:rStyle w:val="Hypertextovodkaz"/>
            <w:noProof/>
            <w:lang w:val="cs-CZ"/>
          </w:rPr>
          <w:t>Úvod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_Toc67325228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2</w:t>
        </w:r>
        <w:r w:rsidR="0039002D">
          <w:rPr>
            <w:noProof/>
            <w:webHidden/>
          </w:rPr>
          <w:fldChar w:fldCharType="end"/>
        </w:r>
      </w:hyperlink>
    </w:p>
    <w:p w:rsidR="0039002D" w:rsidRDefault="00C1496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67325229" w:history="1">
        <w:r w:rsidR="0039002D" w:rsidRPr="004837EC">
          <w:rPr>
            <w:rStyle w:val="Hypertextovodkaz"/>
            <w:noProof/>
            <w:lang w:val="cs-CZ"/>
          </w:rPr>
          <w:t>Intervence Investice do zemědělských podniků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_Toc67325229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3</w:t>
        </w:r>
        <w:r w:rsidR="0039002D">
          <w:rPr>
            <w:noProof/>
            <w:webHidden/>
          </w:rPr>
          <w:fldChar w:fldCharType="end"/>
        </w:r>
      </w:hyperlink>
    </w:p>
    <w:p w:rsidR="0039002D" w:rsidRDefault="00BE34F6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r>
        <w:rPr>
          <w:lang w:val="cs-CZ"/>
        </w:rPr>
        <w:t xml:space="preserve">Intervence </w:t>
      </w:r>
      <w:hyperlink w:anchor="_Toc67325230" w:history="1">
        <w:r w:rsidR="0039002D" w:rsidRPr="004837EC">
          <w:rPr>
            <w:rStyle w:val="Hypertextovodkaz"/>
            <w:noProof/>
            <w:lang w:val="cs-CZ"/>
          </w:rPr>
          <w:t>Investice do zpracování zemědělských produktů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_Toc67325230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5</w:t>
        </w:r>
        <w:r w:rsidR="0039002D">
          <w:rPr>
            <w:noProof/>
            <w:webHidden/>
          </w:rPr>
          <w:fldChar w:fldCharType="end"/>
        </w:r>
      </w:hyperlink>
    </w:p>
    <w:p w:rsidR="0039002D" w:rsidRDefault="00C1496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67325231" w:history="1">
        <w:r w:rsidR="0039002D" w:rsidRPr="004837EC">
          <w:rPr>
            <w:rStyle w:val="Hypertextovodkaz"/>
            <w:noProof/>
            <w:lang w:val="cs-CZ"/>
          </w:rPr>
          <w:t>Intervence Inovace v zemědělské prvovýrobě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_Toc67325231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7</w:t>
        </w:r>
        <w:r w:rsidR="0039002D">
          <w:rPr>
            <w:noProof/>
            <w:webHidden/>
          </w:rPr>
          <w:fldChar w:fldCharType="end"/>
        </w:r>
      </w:hyperlink>
    </w:p>
    <w:p w:rsidR="0039002D" w:rsidRDefault="00C1496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67325232" w:history="1">
        <w:r w:rsidR="0039002D" w:rsidRPr="004837EC">
          <w:rPr>
            <w:rStyle w:val="Hypertextovodkaz"/>
            <w:noProof/>
            <w:lang w:val="cs-CZ"/>
          </w:rPr>
          <w:t>Intervence Inovace při zpracování zemědělských produktů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_Toc67325232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9</w:t>
        </w:r>
        <w:r w:rsidR="0039002D">
          <w:rPr>
            <w:noProof/>
            <w:webHidden/>
          </w:rPr>
          <w:fldChar w:fldCharType="end"/>
        </w:r>
      </w:hyperlink>
    </w:p>
    <w:p w:rsidR="0039002D" w:rsidRDefault="00C1496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67325233" w:history="1">
        <w:r w:rsidR="0039002D" w:rsidRPr="004837EC">
          <w:rPr>
            <w:rStyle w:val="Hypertextovodkaz"/>
            <w:noProof/>
            <w:lang w:val="cs-CZ"/>
          </w:rPr>
          <w:t>Finanční nástroje</w:t>
        </w:r>
        <w:r w:rsidR="0039002D">
          <w:rPr>
            <w:noProof/>
            <w:webHidden/>
          </w:rPr>
          <w:tab/>
        </w:r>
        <w:r w:rsidR="0039002D">
          <w:rPr>
            <w:noProof/>
            <w:webHidden/>
          </w:rPr>
          <w:fldChar w:fldCharType="begin"/>
        </w:r>
        <w:r w:rsidR="0039002D">
          <w:rPr>
            <w:noProof/>
            <w:webHidden/>
          </w:rPr>
          <w:instrText xml:space="preserve"> PAGEREF _Toc67325233 \h </w:instrText>
        </w:r>
        <w:r w:rsidR="0039002D">
          <w:rPr>
            <w:noProof/>
            <w:webHidden/>
          </w:rPr>
        </w:r>
        <w:r w:rsidR="0039002D">
          <w:rPr>
            <w:noProof/>
            <w:webHidden/>
          </w:rPr>
          <w:fldChar w:fldCharType="separate"/>
        </w:r>
        <w:r w:rsidR="0039002D">
          <w:rPr>
            <w:noProof/>
            <w:webHidden/>
          </w:rPr>
          <w:t>10</w:t>
        </w:r>
        <w:r w:rsidR="0039002D">
          <w:rPr>
            <w:noProof/>
            <w:webHidden/>
          </w:rPr>
          <w:fldChar w:fldCharType="end"/>
        </w:r>
      </w:hyperlink>
    </w:p>
    <w:p w:rsidR="00635BFA" w:rsidRDefault="00635BFA">
      <w:r w:rsidRPr="00457149">
        <w:rPr>
          <w:b/>
        </w:rPr>
        <w:fldChar w:fldCharType="end"/>
      </w:r>
    </w:p>
    <w:p w:rsidR="001D21D4" w:rsidRDefault="007B2C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14D4" w:rsidTr="00B80C9B">
        <w:tc>
          <w:tcPr>
            <w:tcW w:w="9212" w:type="dxa"/>
            <w:shd w:val="clear" w:color="auto" w:fill="F2F2F2"/>
          </w:tcPr>
          <w:p w:rsidR="006414D4" w:rsidRPr="00917848" w:rsidRDefault="006414D4" w:rsidP="00A11736">
            <w:pPr>
              <w:pStyle w:val="Nadpis1"/>
              <w:rPr>
                <w:lang w:val="cs-CZ"/>
              </w:rPr>
            </w:pPr>
            <w:bookmarkStart w:id="0" w:name="_Toc60905731"/>
            <w:bookmarkStart w:id="1" w:name="_Toc60905965"/>
            <w:bookmarkStart w:id="2" w:name="_Toc60923771"/>
            <w:bookmarkStart w:id="3" w:name="_Toc60924066"/>
            <w:bookmarkStart w:id="4" w:name="_Toc60924195"/>
            <w:bookmarkStart w:id="5" w:name="_Toc61011595"/>
            <w:bookmarkStart w:id="6" w:name="_Toc61012397"/>
            <w:bookmarkStart w:id="7" w:name="_Toc61012430"/>
            <w:bookmarkStart w:id="8" w:name="_Toc61012470"/>
            <w:bookmarkStart w:id="9" w:name="_Toc61012485"/>
            <w:bookmarkStart w:id="10" w:name="_Toc61012527"/>
            <w:bookmarkStart w:id="11" w:name="_Toc61012540"/>
            <w:bookmarkStart w:id="12" w:name="_Toc61012612"/>
            <w:bookmarkStart w:id="13" w:name="_Toc61012643"/>
            <w:bookmarkStart w:id="14" w:name="_Toc61012671"/>
            <w:bookmarkStart w:id="15" w:name="_Toc67325228"/>
            <w:r w:rsidRPr="00575FB9">
              <w:rPr>
                <w:lang w:val="cs-CZ"/>
              </w:rPr>
              <w:lastRenderedPageBreak/>
              <w:t>Ú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F0CBB" w:rsidRPr="00575FB9">
              <w:rPr>
                <w:lang w:val="cs-CZ"/>
              </w:rPr>
              <w:t>vod</w:t>
            </w:r>
            <w:bookmarkEnd w:id="15"/>
          </w:p>
        </w:tc>
      </w:tr>
    </w:tbl>
    <w:p w:rsidR="001D21D4" w:rsidRPr="005E2256" w:rsidRDefault="001D21D4" w:rsidP="001D21D4">
      <w:pPr>
        <w:rPr>
          <w:rFonts w:cs="Arial"/>
        </w:rPr>
      </w:pPr>
    </w:p>
    <w:p w:rsidR="005E2256" w:rsidRDefault="005E2256" w:rsidP="00EF0CBB">
      <w:pPr>
        <w:spacing w:after="160" w:line="259" w:lineRule="auto"/>
        <w:jc w:val="both"/>
      </w:pPr>
      <w:r w:rsidRPr="005E2256">
        <w:rPr>
          <w:rFonts w:cs="Arial"/>
        </w:rPr>
        <w:t xml:space="preserve">Předkládaný materiál </w:t>
      </w:r>
      <w:r>
        <w:rPr>
          <w:rFonts w:cs="Arial"/>
        </w:rPr>
        <w:t xml:space="preserve">představuje návrh </w:t>
      </w:r>
      <w:r w:rsidR="00D4084F">
        <w:rPr>
          <w:rFonts w:cs="Arial"/>
        </w:rPr>
        <w:t>intervenc</w:t>
      </w:r>
      <w:r w:rsidR="00EA12B2">
        <w:rPr>
          <w:rFonts w:cs="Arial"/>
        </w:rPr>
        <w:t>í</w:t>
      </w:r>
      <w:r w:rsidRPr="005E2256">
        <w:rPr>
          <w:rFonts w:cs="Arial"/>
        </w:rPr>
        <w:t xml:space="preserve"> pro </w:t>
      </w:r>
      <w:r w:rsidR="00817459" w:rsidRPr="005E2256">
        <w:rPr>
          <w:rFonts w:cs="Arial"/>
        </w:rPr>
        <w:t xml:space="preserve">nové </w:t>
      </w:r>
      <w:r w:rsidRPr="005E2256">
        <w:rPr>
          <w:rFonts w:cs="Arial"/>
        </w:rPr>
        <w:t xml:space="preserve">období </w:t>
      </w:r>
      <w:r w:rsidR="00817459">
        <w:t>Společné zemědělské politiky</w:t>
      </w:r>
      <w:r w:rsidR="00806A59">
        <w:t xml:space="preserve"> (SZP)</w:t>
      </w:r>
      <w:r w:rsidRPr="005E2256">
        <w:rPr>
          <w:rFonts w:cs="Arial"/>
        </w:rPr>
        <w:t>.</w:t>
      </w:r>
      <w:r w:rsidR="0088123F" w:rsidRPr="0088123F">
        <w:t xml:space="preserve"> </w:t>
      </w:r>
      <w:r w:rsidR="00575FB9" w:rsidRPr="00575FB9">
        <w:t xml:space="preserve">Jedná se o </w:t>
      </w:r>
      <w:r w:rsidR="00F449EE">
        <w:t xml:space="preserve">dvě </w:t>
      </w:r>
      <w:r w:rsidR="00575FB9">
        <w:t>projektové intervence</w:t>
      </w:r>
      <w:r w:rsidR="00575FB9" w:rsidRPr="00575FB9">
        <w:t xml:space="preserve"> zařazen</w:t>
      </w:r>
      <w:r w:rsidR="00F449EE">
        <w:t>é</w:t>
      </w:r>
      <w:r w:rsidR="00575FB9" w:rsidRPr="00575FB9">
        <w:t xml:space="preserve"> do investic</w:t>
      </w:r>
      <w:r w:rsidR="00F449EE">
        <w:t xml:space="preserve"> a</w:t>
      </w:r>
      <w:r w:rsidR="00EC3821">
        <w:t> </w:t>
      </w:r>
      <w:r w:rsidR="00F449EE">
        <w:t>dvě projektové intervence zařazené do spoluprací</w:t>
      </w:r>
      <w:r w:rsidR="00575FB9" w:rsidRPr="00575FB9">
        <w:t xml:space="preserve">. Intervence </w:t>
      </w:r>
      <w:r w:rsidR="00575FB9" w:rsidRPr="00575FB9">
        <w:rPr>
          <w:b/>
        </w:rPr>
        <w:t>Investice do</w:t>
      </w:r>
      <w:r w:rsidR="00EC3821">
        <w:rPr>
          <w:b/>
        </w:rPr>
        <w:t> </w:t>
      </w:r>
      <w:r w:rsidR="00575FB9" w:rsidRPr="00575FB9">
        <w:rPr>
          <w:b/>
        </w:rPr>
        <w:t>zemědělských podniků</w:t>
      </w:r>
      <w:r w:rsidR="00C86411">
        <w:rPr>
          <w:b/>
        </w:rPr>
        <w:t xml:space="preserve">, </w:t>
      </w:r>
      <w:r w:rsidR="00C86411" w:rsidRPr="00C86411">
        <w:rPr>
          <w:b/>
        </w:rPr>
        <w:t>Investice do zpracování zemědělských produktů</w:t>
      </w:r>
      <w:r w:rsidR="00C86411">
        <w:rPr>
          <w:b/>
        </w:rPr>
        <w:t xml:space="preserve">, </w:t>
      </w:r>
      <w:r w:rsidR="00C86411" w:rsidRPr="00C86411">
        <w:rPr>
          <w:b/>
        </w:rPr>
        <w:t>Inovace v</w:t>
      </w:r>
      <w:r w:rsidR="00EC3821">
        <w:rPr>
          <w:b/>
        </w:rPr>
        <w:t> </w:t>
      </w:r>
      <w:r w:rsidR="00C86411" w:rsidRPr="00C86411">
        <w:rPr>
          <w:b/>
        </w:rPr>
        <w:t>zemědělské prvovýrobě</w:t>
      </w:r>
      <w:r w:rsidR="00575FB9" w:rsidRPr="00575FB9">
        <w:t xml:space="preserve"> </w:t>
      </w:r>
      <w:r w:rsidR="00C86411" w:rsidRPr="00C86411">
        <w:rPr>
          <w:b/>
        </w:rPr>
        <w:t>a Inovace při zpracování zemědělských produktů</w:t>
      </w:r>
      <w:r w:rsidR="00C86411">
        <w:t xml:space="preserve"> </w:t>
      </w:r>
      <w:r w:rsidR="00575FB9" w:rsidRPr="00575FB9">
        <w:t>přispívají ke specifickému cíli B - Posílení tržní orientace a zvýšení konkurenceschopnosti, a</w:t>
      </w:r>
      <w:r w:rsidR="00EC3821">
        <w:t> </w:t>
      </w:r>
      <w:r w:rsidR="00575FB9" w:rsidRPr="00575FB9">
        <w:t>to</w:t>
      </w:r>
      <w:r w:rsidR="00EC3821">
        <w:t> </w:t>
      </w:r>
      <w:r w:rsidR="00575FB9" w:rsidRPr="00575FB9">
        <w:t>i</w:t>
      </w:r>
      <w:r w:rsidR="00EC3821">
        <w:t> </w:t>
      </w:r>
      <w:r w:rsidR="00575FB9" w:rsidRPr="00575FB9">
        <w:t xml:space="preserve">prostřednictvím většího zaměření na výzkum, technologii a digitalizaci. </w:t>
      </w:r>
      <w:r w:rsidR="00E8039A">
        <w:t xml:space="preserve">Nejen s ohledem na požadavky Evropské komise vyplývající ze Zelené dohody je třeba brát v potaz pokračující vývoj v oblasti Zemědělství 4.0 a podporovat </w:t>
      </w:r>
      <w:r w:rsidR="0033372C">
        <w:t>nejnovější</w:t>
      </w:r>
      <w:r w:rsidR="00E8039A">
        <w:t xml:space="preserve"> technologické trendy. </w:t>
      </w:r>
      <w:r w:rsidR="000974AB">
        <w:t>Další součástí materiálu je podklad k možnosti využití finančních nástrojů.</w:t>
      </w:r>
    </w:p>
    <w:p w:rsidR="00C86411" w:rsidRPr="00C86411" w:rsidRDefault="00C86411" w:rsidP="00C86411">
      <w:pPr>
        <w:spacing w:after="160" w:line="259" w:lineRule="auto"/>
        <w:jc w:val="both"/>
        <w:rPr>
          <w:rFonts w:cs="Arial"/>
        </w:rPr>
      </w:pPr>
      <w:r w:rsidRPr="00C86411">
        <w:rPr>
          <w:rFonts w:cs="Arial"/>
        </w:rPr>
        <w:t xml:space="preserve">Materiál navazuje na dosavadní projednávání Strategického plánu SZP a obsahuje pro další diskusi návrh těchto </w:t>
      </w:r>
      <w:r>
        <w:rPr>
          <w:rFonts w:cs="Arial"/>
        </w:rPr>
        <w:t>čtyř</w:t>
      </w:r>
      <w:r w:rsidRPr="00C86411">
        <w:rPr>
          <w:rFonts w:cs="Arial"/>
        </w:rPr>
        <w:t xml:space="preserve"> intervencí spolu s cíli, popisem jednotlivých intervenc</w:t>
      </w:r>
      <w:r>
        <w:rPr>
          <w:rFonts w:cs="Arial"/>
        </w:rPr>
        <w:t>í a komentář</w:t>
      </w:r>
      <w:r w:rsidR="00925840">
        <w:rPr>
          <w:rFonts w:cs="Arial"/>
        </w:rPr>
        <w:t>e</w:t>
      </w:r>
      <w:r w:rsidRPr="00C86411">
        <w:rPr>
          <w:rFonts w:cs="Arial"/>
        </w:rPr>
        <w:t xml:space="preserve"> k zaslaným připomínkám. </w:t>
      </w:r>
      <w:r w:rsidR="00AB6F1C">
        <w:rPr>
          <w:rFonts w:cs="Arial"/>
        </w:rPr>
        <w:t>M</w:t>
      </w:r>
      <w:r w:rsidR="00AB6F1C" w:rsidRPr="00931ABD">
        <w:rPr>
          <w:rFonts w:cs="Arial"/>
        </w:rPr>
        <w:t>ateriál navazuje na sérii jednání PS v lednu až dubnu 2021</w:t>
      </w:r>
      <w:r w:rsidR="00AB6F1C">
        <w:rPr>
          <w:rFonts w:cs="Arial"/>
        </w:rPr>
        <w:t>.</w:t>
      </w:r>
      <w:bookmarkStart w:id="16" w:name="_GoBack"/>
      <w:bookmarkEnd w:id="16"/>
    </w:p>
    <w:p w:rsidR="00C86411" w:rsidRPr="005E2256" w:rsidRDefault="00C86411" w:rsidP="00C86411">
      <w:pPr>
        <w:spacing w:after="160" w:line="259" w:lineRule="auto"/>
        <w:jc w:val="both"/>
        <w:rPr>
          <w:rFonts w:cs="Arial"/>
        </w:rPr>
      </w:pPr>
      <w:r w:rsidRPr="00C86411">
        <w:rPr>
          <w:rFonts w:cs="Arial"/>
        </w:rPr>
        <w:t>Obecné a specifické podmínky intervencí budou dále konkretizovány v Pravidlech, kterými</w:t>
      </w:r>
      <w:r w:rsidR="00EC3821">
        <w:rPr>
          <w:rFonts w:cs="Arial"/>
        </w:rPr>
        <w:t> </w:t>
      </w:r>
      <w:r w:rsidRPr="00C86411">
        <w:rPr>
          <w:rFonts w:cs="Arial"/>
        </w:rPr>
        <w:t>se stanovují podmínky pro poskytování dotace.</w:t>
      </w:r>
    </w:p>
    <w:p w:rsidR="00C86411" w:rsidRDefault="00F8735A" w:rsidP="00F8735A">
      <w:pPr>
        <w:spacing w:after="160" w:line="276" w:lineRule="auto"/>
        <w:jc w:val="both"/>
        <w:rPr>
          <w:rFonts w:cs="Arial"/>
        </w:rPr>
      </w:pPr>
      <w:r w:rsidRPr="00C22A76">
        <w:rPr>
          <w:rFonts w:cs="Arial"/>
        </w:rPr>
        <w:t>Intervence j</w:t>
      </w:r>
      <w:r w:rsidR="00EA12B2">
        <w:rPr>
          <w:rFonts w:cs="Arial"/>
        </w:rPr>
        <w:t>sou</w:t>
      </w:r>
      <w:r w:rsidRPr="00C22A76">
        <w:rPr>
          <w:rFonts w:cs="Arial"/>
        </w:rPr>
        <w:t xml:space="preserve"> navrhován</w:t>
      </w:r>
      <w:r w:rsidR="00EA12B2">
        <w:rPr>
          <w:rFonts w:cs="Arial"/>
        </w:rPr>
        <w:t>y</w:t>
      </w:r>
      <w:r w:rsidRPr="00C22A76">
        <w:rPr>
          <w:rFonts w:cs="Arial"/>
        </w:rPr>
        <w:t xml:space="preserve"> v souladu s čl. </w:t>
      </w:r>
      <w:r w:rsidR="000148C4">
        <w:rPr>
          <w:rFonts w:cs="Arial"/>
        </w:rPr>
        <w:t>71</w:t>
      </w:r>
      <w:r w:rsidR="00AF4DB7">
        <w:rPr>
          <w:rFonts w:cs="Arial"/>
        </w:rPr>
        <w:t xml:space="preserve"> (spolupráce)</w:t>
      </w:r>
      <w:r w:rsidR="00A5568C">
        <w:rPr>
          <w:rFonts w:cs="Arial"/>
        </w:rPr>
        <w:t xml:space="preserve"> </w:t>
      </w:r>
      <w:r w:rsidR="00FE6D2F" w:rsidRPr="00314E74">
        <w:rPr>
          <w:rFonts w:cs="Arial"/>
        </w:rPr>
        <w:t>a čl. 68</w:t>
      </w:r>
      <w:r w:rsidR="00A5568C">
        <w:rPr>
          <w:rFonts w:cs="Arial"/>
        </w:rPr>
        <w:t xml:space="preserve"> (investi</w:t>
      </w:r>
      <w:r w:rsidR="001A05AC">
        <w:rPr>
          <w:rFonts w:cs="Arial"/>
        </w:rPr>
        <w:t>ce</w:t>
      </w:r>
      <w:r w:rsidR="00A5568C">
        <w:rPr>
          <w:rFonts w:cs="Arial"/>
        </w:rPr>
        <w:t>)</w:t>
      </w:r>
      <w:r w:rsidR="00FE6D2F">
        <w:rPr>
          <w:rFonts w:cs="Arial"/>
        </w:rPr>
        <w:t xml:space="preserve"> </w:t>
      </w:r>
      <w:r w:rsidRPr="00C22A76">
        <w:rPr>
          <w:rFonts w:cs="Arial"/>
        </w:rPr>
        <w:t>„návrhu nařízení Evropského parlamentu a Rady, kterým se stanoví pravidla podpory pro strategické plány, jež mají být vypracovány členskými státy v rámci společné zemědělské politiky (Strategické plány)“, které</w:t>
      </w:r>
      <w:r>
        <w:rPr>
          <w:rFonts w:cs="Arial"/>
        </w:rPr>
        <w:t xml:space="preserve"> bylo zveřejněno 1. června 2018. </w:t>
      </w:r>
    </w:p>
    <w:p w:rsidR="00F8735A" w:rsidRDefault="00F8735A" w:rsidP="00F8735A">
      <w:pPr>
        <w:spacing w:after="160" w:line="276" w:lineRule="auto"/>
        <w:jc w:val="both"/>
        <w:rPr>
          <w:rFonts w:cs="Arial"/>
        </w:rPr>
      </w:pPr>
      <w:r w:rsidRPr="00C22A76">
        <w:rPr>
          <w:rFonts w:cs="Arial"/>
        </w:rPr>
        <w:t xml:space="preserve">Zařazení </w:t>
      </w:r>
      <w:r w:rsidR="00EA12B2">
        <w:rPr>
          <w:rFonts w:cs="Arial"/>
        </w:rPr>
        <w:t>těchto</w:t>
      </w:r>
      <w:r w:rsidRPr="00C22A76">
        <w:rPr>
          <w:rFonts w:cs="Arial"/>
        </w:rPr>
        <w:t xml:space="preserve"> intervenc</w:t>
      </w:r>
      <w:r w:rsidR="00EA12B2">
        <w:rPr>
          <w:rFonts w:cs="Arial"/>
        </w:rPr>
        <w:t>í</w:t>
      </w:r>
      <w:r w:rsidRPr="00C22A76">
        <w:rPr>
          <w:rFonts w:cs="Arial"/>
        </w:rPr>
        <w:t xml:space="preserve"> do SP vychází z provedené SWOT analýzy a analýzy potřeb.</w:t>
      </w:r>
    </w:p>
    <w:p w:rsidR="00C86411" w:rsidRPr="00C86411" w:rsidRDefault="00C86411" w:rsidP="00C86411">
      <w:pPr>
        <w:spacing w:after="160" w:line="276" w:lineRule="auto"/>
        <w:jc w:val="both"/>
        <w:rPr>
          <w:rFonts w:cs="Arial"/>
        </w:rPr>
      </w:pPr>
      <w:r w:rsidRPr="00C86411">
        <w:rPr>
          <w:rFonts w:cs="Arial"/>
        </w:rPr>
        <w:t xml:space="preserve">Veškeré podmínky těchto navržených intervencí jsou předkládány jako </w:t>
      </w:r>
      <w:r w:rsidRPr="00C86411">
        <w:rPr>
          <w:rFonts w:cs="Arial"/>
          <w:b/>
        </w:rPr>
        <w:t>návrh Ministerstva zemědělství k další diskusi</w:t>
      </w:r>
      <w:r w:rsidRPr="00C86411">
        <w:rPr>
          <w:rFonts w:cs="Arial"/>
        </w:rPr>
        <w:t xml:space="preserve">, jejímž cílem bude </w:t>
      </w:r>
      <w:r w:rsidRPr="00C86411">
        <w:rPr>
          <w:rFonts w:cs="Arial"/>
          <w:b/>
        </w:rPr>
        <w:t xml:space="preserve">dohodnout se v rámci partnerského přístupu přípravy Strategického plánu na jejich finálním nastavení </w:t>
      </w:r>
      <w:r w:rsidR="00EC3821">
        <w:rPr>
          <w:rFonts w:cs="Arial"/>
        </w:rPr>
        <w:t>a toto pak postoupit k </w:t>
      </w:r>
      <w:r w:rsidRPr="00C86411">
        <w:rPr>
          <w:rFonts w:cs="Arial"/>
        </w:rPr>
        <w:t xml:space="preserve">projednávání s Evropskou komisí. </w:t>
      </w:r>
    </w:p>
    <w:p w:rsidR="00C86411" w:rsidRPr="00C22A76" w:rsidRDefault="00C86411" w:rsidP="00C86411">
      <w:pPr>
        <w:spacing w:after="160" w:line="276" w:lineRule="auto"/>
        <w:jc w:val="both"/>
        <w:rPr>
          <w:rFonts w:cs="Arial"/>
        </w:rPr>
      </w:pPr>
      <w:r w:rsidRPr="00C86411">
        <w:rPr>
          <w:rFonts w:cs="Arial"/>
        </w:rPr>
        <w:t>Návrh kontrolního a sankčního systému bude předmětem dalších jednání při přípravě prováděcího právního předpisu.</w:t>
      </w:r>
    </w:p>
    <w:p w:rsidR="00FE6D2F" w:rsidRDefault="00EF0CBB" w:rsidP="00A5568C">
      <w:pPr>
        <w:ind w:left="284"/>
        <w:rPr>
          <w:rFonts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2BAA" w:rsidRPr="00457149" w:rsidTr="00C77EF8">
        <w:tc>
          <w:tcPr>
            <w:tcW w:w="9288" w:type="dxa"/>
            <w:shd w:val="clear" w:color="auto" w:fill="F2F2F2"/>
          </w:tcPr>
          <w:p w:rsidR="00C32BAA" w:rsidRPr="00457149" w:rsidRDefault="00C86411" w:rsidP="00457149">
            <w:pPr>
              <w:pStyle w:val="Nadpis1"/>
            </w:pPr>
            <w:bookmarkStart w:id="17" w:name="_Toc67325229"/>
            <w:r w:rsidRPr="00C86411">
              <w:rPr>
                <w:lang w:val="cs-CZ"/>
              </w:rPr>
              <w:lastRenderedPageBreak/>
              <w:t>Intervence Investice do zemědělských podniků</w:t>
            </w:r>
            <w:bookmarkEnd w:id="17"/>
          </w:p>
        </w:tc>
      </w:tr>
    </w:tbl>
    <w:p w:rsidR="00707BB1" w:rsidRDefault="00707BB1" w:rsidP="00476599"/>
    <w:p w:rsidR="00A465AD" w:rsidRDefault="00A465AD" w:rsidP="00A465AD">
      <w:pPr>
        <w:jc w:val="both"/>
      </w:pPr>
      <w:r w:rsidRPr="00560CC6">
        <w:t xml:space="preserve">Navrhovaná intervence je v souladu se Strategií MZe 2030, konkrétně se strategickým cílem </w:t>
      </w:r>
      <w:proofErr w:type="gramStart"/>
      <w:r w:rsidRPr="00560CC6">
        <w:t>A.2 Zvýšení</w:t>
      </w:r>
      <w:proofErr w:type="gramEnd"/>
      <w:r w:rsidRPr="00560CC6">
        <w:t xml:space="preserve"> efektivnosti a konkurenceschopnosti zemědělských podniků, a dále s cíli EU v</w:t>
      </w:r>
      <w:r w:rsidR="00FB5048">
        <w:t> </w:t>
      </w:r>
      <w:r w:rsidRPr="00560CC6">
        <w:t>SZP k podpoře životaschopnosti a konkurenceschopnosti zemědělců.</w:t>
      </w:r>
      <w:r>
        <w:t xml:space="preserve"> </w:t>
      </w:r>
    </w:p>
    <w:p w:rsidR="00A465AD" w:rsidRDefault="00A465AD" w:rsidP="00A465AD">
      <w:pPr>
        <w:jc w:val="both"/>
      </w:pPr>
    </w:p>
    <w:p w:rsidR="00A465AD" w:rsidRDefault="00A465AD" w:rsidP="00A465AD">
      <w:pPr>
        <w:jc w:val="both"/>
      </w:pPr>
      <w:r>
        <w:t>Podpora je zaměřena na pořízení investic do zemědělské výroby vedoucí ke zvýšení účinnosti využívání výrobních faktorů, modernizaci nebo zlepšení jakosti vyráběných produktů zemědělské prvovýroby a snadnějšímu přístupu k novým technologiím s výrazným inovačním potenciálem tam, kde je obnova zásadní pro další činnost.</w:t>
      </w:r>
    </w:p>
    <w:p w:rsidR="00A465AD" w:rsidRDefault="00A465AD" w:rsidP="00A465AD">
      <w:pPr>
        <w:jc w:val="both"/>
      </w:pPr>
    </w:p>
    <w:p w:rsidR="00A465AD" w:rsidRDefault="00A465AD" w:rsidP="00A465AD">
      <w:pPr>
        <w:jc w:val="both"/>
      </w:pPr>
      <w:r>
        <w:t xml:space="preserve">Intervence bude řešit některé slabé stránky českého zemědělství, především však vyšší nákladovou náročnost výroby, nedostatečnou úroveň stavebních i technologických investic zejména v některých odvětvích citlivých komodit, dále je potřeba vyřešit nedostatek pracovních sil u pracovně náročných komodit a využít potenciálu digitalizace a automatizace v redukci provozních nákladů při aplikaci principů precizního zemědělství. </w:t>
      </w:r>
    </w:p>
    <w:p w:rsidR="00A465AD" w:rsidRDefault="00A465AD" w:rsidP="00A465AD">
      <w:pPr>
        <w:jc w:val="both"/>
      </w:pPr>
    </w:p>
    <w:p w:rsidR="00707BB1" w:rsidRDefault="00A465AD" w:rsidP="00707BB1">
      <w:pPr>
        <w:jc w:val="both"/>
      </w:pPr>
      <w:r w:rsidRPr="004765F3">
        <w:rPr>
          <w:b/>
        </w:rPr>
        <w:t>Vztah k WTO:</w:t>
      </w:r>
      <w:r w:rsidRPr="004765F3">
        <w:t xml:space="preserve"> Intervence je v souladu s bodem 11 přílohy 2 Dohody WTO o zemědělství.</w:t>
      </w:r>
    </w:p>
    <w:p w:rsidR="00C14FCB" w:rsidRDefault="00C14FCB" w:rsidP="00707BB1">
      <w:pPr>
        <w:jc w:val="both"/>
      </w:pPr>
    </w:p>
    <w:p w:rsidR="00A465AD" w:rsidRPr="00C14FCB" w:rsidRDefault="00C14FCB" w:rsidP="00707BB1">
      <w:pPr>
        <w:jc w:val="both"/>
        <w:rPr>
          <w:u w:val="single"/>
        </w:rPr>
      </w:pPr>
      <w:r w:rsidRPr="00C14FCB">
        <w:rPr>
          <w:u w:val="single"/>
        </w:rPr>
        <w:t>Způsobilí příjemci:</w:t>
      </w:r>
    </w:p>
    <w:p w:rsidR="00B634D4" w:rsidRDefault="00B634D4" w:rsidP="00B634D4">
      <w:pPr>
        <w:pStyle w:val="Odstavecseseznamem"/>
        <w:numPr>
          <w:ilvl w:val="0"/>
          <w:numId w:val="20"/>
        </w:numPr>
        <w:jc w:val="both"/>
      </w:pPr>
      <w:r>
        <w:t>Zemědělský podnikatel, který podniká v zemědělské výrobě v souladu se zákonem č.</w:t>
      </w:r>
      <w:r w:rsidR="00C964A0">
        <w:rPr>
          <w:lang w:val="cs-CZ"/>
        </w:rPr>
        <w:t> </w:t>
      </w:r>
      <w:r>
        <w:t xml:space="preserve">252/1997 Sb., o zemědělství, ve znění pozdějších předpisů. </w:t>
      </w:r>
    </w:p>
    <w:p w:rsidR="00C14FCB" w:rsidRDefault="00B634D4" w:rsidP="00B634D4">
      <w:pPr>
        <w:pStyle w:val="Odstavecseseznamem"/>
        <w:numPr>
          <w:ilvl w:val="0"/>
          <w:numId w:val="20"/>
        </w:numPr>
        <w:jc w:val="both"/>
      </w:pPr>
      <w:r>
        <w:t>S</w:t>
      </w:r>
      <w:r w:rsidR="00FB5048">
        <w:t>kupina zemědělců, tj. korporace</w:t>
      </w:r>
      <w:r>
        <w:t>, jejímiž členy jsou výhradně zemědělští prvovýrobci a předmětem její činností je poskytovat práce, výkony nebo služby, které souvisejí se</w:t>
      </w:r>
      <w:r w:rsidR="00C964A0">
        <w:rPr>
          <w:lang w:val="cs-CZ"/>
        </w:rPr>
        <w:t> </w:t>
      </w:r>
      <w:r>
        <w:t>zajištěním odbytu, skladování a posklizňové úpravy a při kterých se využijí prostředky nebo zařízení sloužící zemědělské výrobě. Příjemcem nemůže být organizace producentů, sdružení organizací producentů nebo mezioborová organizace.</w:t>
      </w:r>
    </w:p>
    <w:p w:rsidR="00B634D4" w:rsidRDefault="00B634D4" w:rsidP="00B634D4">
      <w:pPr>
        <w:jc w:val="both"/>
      </w:pPr>
    </w:p>
    <w:p w:rsidR="00A465AD" w:rsidRPr="00C14FCB" w:rsidRDefault="00A465AD" w:rsidP="00A465AD">
      <w:pPr>
        <w:jc w:val="both"/>
        <w:rPr>
          <w:u w:val="single"/>
        </w:rPr>
      </w:pPr>
      <w:r w:rsidRPr="00C14FCB">
        <w:rPr>
          <w:u w:val="single"/>
        </w:rPr>
        <w:t>Výše dotace:</w:t>
      </w:r>
    </w:p>
    <w:p w:rsidR="00A465AD" w:rsidRDefault="00A465AD" w:rsidP="00A465AD">
      <w:pPr>
        <w:jc w:val="both"/>
      </w:pPr>
      <w:r>
        <w:t>40 % způsobilých výdajů. Tato míra podpory může být navýšena o 10 % pro mladé začínající zemědělce a o 10 % pro zemědělce podnikající v ekologickém zemědělství.</w:t>
      </w:r>
    </w:p>
    <w:p w:rsidR="00C14FCB" w:rsidRDefault="00C14FCB" w:rsidP="00A465AD">
      <w:pPr>
        <w:jc w:val="both"/>
      </w:pPr>
    </w:p>
    <w:p w:rsidR="00707BB1" w:rsidRPr="00367A64" w:rsidRDefault="00707BB1" w:rsidP="00707BB1">
      <w:pPr>
        <w:spacing w:before="240"/>
        <w:rPr>
          <w:b/>
        </w:rPr>
      </w:pPr>
      <w:r>
        <w:rPr>
          <w:b/>
        </w:rPr>
        <w:t>Návrh p</w:t>
      </w:r>
      <w:r w:rsidRPr="00367A64">
        <w:rPr>
          <w:b/>
        </w:rPr>
        <w:t>odmín</w:t>
      </w:r>
      <w:r>
        <w:rPr>
          <w:b/>
        </w:rPr>
        <w:t>e</w:t>
      </w:r>
      <w:r w:rsidRPr="00367A64">
        <w:rPr>
          <w:b/>
        </w:rPr>
        <w:t>k</w:t>
      </w:r>
      <w:r w:rsidR="00C14FCB">
        <w:rPr>
          <w:b/>
        </w:rPr>
        <w:t xml:space="preserve"> intervence</w:t>
      </w:r>
      <w:r w:rsidRPr="00367A64">
        <w:rPr>
          <w:b/>
        </w:rPr>
        <w:t xml:space="preserve">: </w:t>
      </w:r>
    </w:p>
    <w:p w:rsidR="00707BB1" w:rsidRDefault="00707BB1" w:rsidP="00707BB1"/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707BB1" w:rsidRPr="003F6089" w:rsidTr="00C77EF8">
        <w:tc>
          <w:tcPr>
            <w:tcW w:w="9212" w:type="dxa"/>
            <w:shd w:val="clear" w:color="auto" w:fill="EAF1DD"/>
          </w:tcPr>
          <w:p w:rsidR="00925840" w:rsidRPr="00925840" w:rsidRDefault="00925840" w:rsidP="00925840">
            <w:pPr>
              <w:pStyle w:val="Odstavecseseznamem"/>
              <w:numPr>
                <w:ilvl w:val="0"/>
                <w:numId w:val="19"/>
              </w:numPr>
            </w:pPr>
            <w:r>
              <w:rPr>
                <w:lang w:val="cs-CZ"/>
              </w:rPr>
              <w:t>P</w:t>
            </w:r>
            <w:proofErr w:type="spellStart"/>
            <w:r w:rsidRPr="00925840">
              <w:t>rojekt</w:t>
            </w:r>
            <w:proofErr w:type="spellEnd"/>
            <w:r w:rsidRPr="00925840">
              <w:t xml:space="preserve"> lze realizovat na území České republiky s</w:t>
            </w:r>
            <w:r>
              <w:t xml:space="preserve"> výjimkou území hl. města Prahy</w:t>
            </w:r>
            <w:r>
              <w:rPr>
                <w:lang w:val="cs-CZ"/>
              </w:rPr>
              <w:t>.</w:t>
            </w:r>
          </w:p>
          <w:p w:rsidR="00C14FCB" w:rsidRPr="003F6089" w:rsidRDefault="00925840" w:rsidP="00C14FCB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rPr>
                <w:lang w:val="cs-CZ"/>
              </w:rPr>
              <w:t>P</w:t>
            </w:r>
            <w:proofErr w:type="spellStart"/>
            <w:r w:rsidR="00C14FCB" w:rsidRPr="003F6089">
              <w:t>rojekt</w:t>
            </w:r>
            <w:proofErr w:type="spellEnd"/>
            <w:r w:rsidR="00C14FCB" w:rsidRPr="003F6089">
              <w:t xml:space="preserve"> se týká staveb a technologií sloužících pro živočišnou výrobu (podpora se týká chovu skotu, prasat, ovcí, koz, drůbeže, králíků a koní), staveb a technologií sloužících pro rostlinnou a školkařskou výrobu, nákupu speciálních mobilních strojů pro zemědělskou výrobu</w:t>
            </w:r>
            <w:r>
              <w:rPr>
                <w:lang w:val="cs-CZ"/>
              </w:rPr>
              <w:t>.</w:t>
            </w:r>
          </w:p>
          <w:p w:rsidR="00707BB1" w:rsidRPr="003F6089" w:rsidRDefault="00707BB1" w:rsidP="00737A24">
            <w:pPr>
              <w:jc w:val="both"/>
            </w:pPr>
          </w:p>
        </w:tc>
      </w:tr>
    </w:tbl>
    <w:p w:rsidR="00707BB1" w:rsidRPr="003F6089" w:rsidRDefault="00707BB1" w:rsidP="00707BB1">
      <w:pPr>
        <w:jc w:val="both"/>
      </w:pPr>
    </w:p>
    <w:p w:rsidR="00B70513" w:rsidRDefault="00B70513">
      <w:pPr>
        <w:rPr>
          <w:rFonts w:cs="Arial"/>
          <w:b/>
          <w:u w:val="single"/>
        </w:rPr>
      </w:pPr>
    </w:p>
    <w:p w:rsidR="00B02D56" w:rsidRDefault="00B02D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149" w:rsidRPr="00CA3540" w:rsidTr="00C77EF8">
        <w:tc>
          <w:tcPr>
            <w:tcW w:w="9288" w:type="dxa"/>
            <w:shd w:val="clear" w:color="auto" w:fill="F2F2F2"/>
          </w:tcPr>
          <w:p w:rsidR="00457149" w:rsidRPr="00EF0CBB" w:rsidRDefault="00F67E4A" w:rsidP="00F67E4A">
            <w:pPr>
              <w:pStyle w:val="Nadpis1"/>
              <w:rPr>
                <w:lang w:val="cs-CZ"/>
              </w:rPr>
            </w:pPr>
            <w:bookmarkStart w:id="18" w:name="_Toc67325230"/>
            <w:r w:rsidRPr="00F67E4A">
              <w:rPr>
                <w:lang w:val="cs-CZ"/>
              </w:rPr>
              <w:lastRenderedPageBreak/>
              <w:t>I</w:t>
            </w:r>
            <w:r w:rsidR="00AE7E42">
              <w:rPr>
                <w:lang w:val="cs-CZ"/>
              </w:rPr>
              <w:t>ntervence I</w:t>
            </w:r>
            <w:r w:rsidRPr="00F67E4A">
              <w:rPr>
                <w:lang w:val="cs-CZ"/>
              </w:rPr>
              <w:t>nvestice do zpracování zemědělských produktů</w:t>
            </w:r>
            <w:bookmarkEnd w:id="18"/>
          </w:p>
        </w:tc>
      </w:tr>
    </w:tbl>
    <w:p w:rsidR="0026676F" w:rsidRDefault="0026676F" w:rsidP="0026676F"/>
    <w:p w:rsidR="008F2988" w:rsidRDefault="008F2988" w:rsidP="008F2988">
      <w:pPr>
        <w:jc w:val="both"/>
      </w:pPr>
      <w:r>
        <w:t>Navrhovaná intervence je zacílena na posílení tržní orientace a zvýšení konkurenceschopnosti, a to i prostřednictvím většího za</w:t>
      </w:r>
      <w:r w:rsidR="00544BCD">
        <w:t>měření na výzkum, technologii a </w:t>
      </w:r>
      <w:r>
        <w:t>digitalizaci. Intervence bude řešit slabé stránky českého potravinářství, kterými jsou především nízká produktivita práce a v té souvislosti i nízké mz</w:t>
      </w:r>
      <w:r w:rsidR="00544BCD">
        <w:t>dy, nízká investiční aktivita a </w:t>
      </w:r>
      <w:r>
        <w:t>nedostatečné technolog</w:t>
      </w:r>
      <w:r w:rsidR="00544BCD">
        <w:t>ické vybavení u některých výrob,</w:t>
      </w:r>
      <w:r>
        <w:t xml:space="preserve"> nedostatečné zpracovatelské kapacity v některých výrobních oborech (ovoce a zelenina), produkce výrobků s nižší přidanou hodnotou, neschopnost zajistit kvalitní a sta</w:t>
      </w:r>
      <w:r w:rsidR="00544BCD">
        <w:t>bilní dodávky výrobků a zboží k </w:t>
      </w:r>
      <w:r>
        <w:t>obchodníkům, nestabilní ekonomický vývoj potravinářských podniků, nízká kapacita využívání lokálních producentsko-spotřebitelských sítí, malé využití poptávky po odpovědné produkci.</w:t>
      </w:r>
    </w:p>
    <w:p w:rsidR="008F2988" w:rsidRDefault="008F2988" w:rsidP="008F2988">
      <w:pPr>
        <w:jc w:val="both"/>
      </w:pPr>
    </w:p>
    <w:p w:rsidR="00AF5216" w:rsidRDefault="00544BCD" w:rsidP="008F2988">
      <w:pPr>
        <w:jc w:val="both"/>
      </w:pPr>
      <w:r>
        <w:t xml:space="preserve">Intervence je </w:t>
      </w:r>
      <w:r w:rsidR="008F2988">
        <w:t xml:space="preserve">zaměřena na zvyšování efektivity výroby </w:t>
      </w:r>
      <w:r>
        <w:t>a konkurenceschopnosti malých a </w:t>
      </w:r>
      <w:r w:rsidR="008F2988">
        <w:t>středních podniků zpracovávajících zemědělské produkty. Budou podporovány investice do zařízení, která souvisejí se zpracováním zemědělských</w:t>
      </w:r>
      <w:r>
        <w:t xml:space="preserve"> produktů a uvedením výrobků na </w:t>
      </w:r>
      <w:r w:rsidR="008F2988">
        <w:t xml:space="preserve">trh, které umožní zpracovatelům využití moderních technologií, přispějí k rozvoji místních trhů a zkrácení dodavatelských řetězců. Konkrétně by </w:t>
      </w:r>
      <w:r>
        <w:t>měly být podpořeny investice do </w:t>
      </w:r>
      <w:r w:rsidR="008F2988">
        <w:t>zařízení pro výrobu potravin a krmiv, pro finální úpravu, b</w:t>
      </w:r>
      <w:r>
        <w:t>alení a označování produktů, do </w:t>
      </w:r>
      <w:r w:rsidR="008F2988">
        <w:t>skladování i investice související s uváděním produktů</w:t>
      </w:r>
      <w:r>
        <w:t xml:space="preserve"> na trh, a to včetně výstavby a </w:t>
      </w:r>
      <w:r w:rsidR="008F2988">
        <w:t>rekonstrukcí budov.</w:t>
      </w:r>
    </w:p>
    <w:p w:rsidR="008F2988" w:rsidRDefault="008F2988" w:rsidP="008F2988">
      <w:pPr>
        <w:jc w:val="both"/>
        <w:rPr>
          <w:b/>
        </w:rPr>
      </w:pPr>
    </w:p>
    <w:p w:rsidR="008F2988" w:rsidRPr="008F2988" w:rsidRDefault="008F2988" w:rsidP="008F2988">
      <w:pPr>
        <w:jc w:val="both"/>
      </w:pPr>
      <w:r w:rsidRPr="008F2988">
        <w:rPr>
          <w:b/>
        </w:rPr>
        <w:t xml:space="preserve">Vztah k WTO: </w:t>
      </w:r>
      <w:r w:rsidRPr="008F2988">
        <w:t>Intervence je v souladu s bodem 11 přílohy 2 Dohody WTO o zemědělství.</w:t>
      </w:r>
    </w:p>
    <w:p w:rsidR="008F2988" w:rsidRPr="008F2988" w:rsidRDefault="008F2988" w:rsidP="008F2988">
      <w:pPr>
        <w:jc w:val="both"/>
        <w:rPr>
          <w:b/>
        </w:rPr>
      </w:pPr>
    </w:p>
    <w:p w:rsidR="008F2988" w:rsidRPr="008F2988" w:rsidRDefault="008F2988" w:rsidP="008F2988">
      <w:pPr>
        <w:jc w:val="both"/>
        <w:rPr>
          <w:u w:val="single"/>
        </w:rPr>
      </w:pPr>
      <w:r w:rsidRPr="008F2988">
        <w:rPr>
          <w:u w:val="single"/>
        </w:rPr>
        <w:t>Způsobilí příjemci:</w:t>
      </w:r>
    </w:p>
    <w:p w:rsidR="008F2988" w:rsidRPr="008F2988" w:rsidRDefault="008F2988" w:rsidP="008F2988">
      <w:pPr>
        <w:jc w:val="both"/>
      </w:pPr>
      <w:r w:rsidRPr="008F2988">
        <w:t>Zemědělský podnikatel, který podniká v zemědělské</w:t>
      </w:r>
      <w:r w:rsidR="00C964A0">
        <w:t xml:space="preserve"> výrobě v souladu se zákonem č. </w:t>
      </w:r>
      <w:r w:rsidRPr="008F2988">
        <w:t>252/1997 Sb., o zemědělství, ve znění pozdějších předpisů, výrobce potravin nebo surovin určených pro lidskou spotřebu, které definuje zákon č. 110/1997 Sb., o potravinách a</w:t>
      </w:r>
      <w:r w:rsidR="00C964A0">
        <w:t> </w:t>
      </w:r>
      <w:r w:rsidRPr="008F2988">
        <w:t>tabákových výrobcích, ve znění pozdějších předpisů, nebo výrobce krmiv, které definuje zákon č. 91/1996 Sb., o krmivech, ve znění pozdějších předpisů, kteří splňují definici mikro, malého, nebo středního podniku.</w:t>
      </w:r>
    </w:p>
    <w:p w:rsidR="008F2988" w:rsidRPr="008F2988" w:rsidRDefault="008F2988" w:rsidP="008F2988">
      <w:pPr>
        <w:jc w:val="both"/>
        <w:rPr>
          <w:b/>
        </w:rPr>
      </w:pPr>
    </w:p>
    <w:p w:rsidR="008F2988" w:rsidRPr="008F2988" w:rsidRDefault="008F2988" w:rsidP="008F2988">
      <w:pPr>
        <w:jc w:val="both"/>
        <w:rPr>
          <w:u w:val="single"/>
        </w:rPr>
      </w:pPr>
      <w:r w:rsidRPr="008F2988">
        <w:rPr>
          <w:u w:val="single"/>
        </w:rPr>
        <w:t>Výše dotace:</w:t>
      </w:r>
    </w:p>
    <w:p w:rsidR="008F2988" w:rsidRPr="008F2988" w:rsidRDefault="008F2988" w:rsidP="008F2988">
      <w:pPr>
        <w:jc w:val="both"/>
      </w:pPr>
      <w:r w:rsidRPr="008F2988">
        <w:t>30 % způsobilých výdajů. Tato míra podpory může být navýšena o 10 % pro mladé začínající zemědělce a o 10 % pro malé podniky.</w:t>
      </w:r>
    </w:p>
    <w:p w:rsidR="008F2988" w:rsidRDefault="008F2988" w:rsidP="009F6632">
      <w:pPr>
        <w:jc w:val="both"/>
        <w:rPr>
          <w:b/>
        </w:rPr>
      </w:pPr>
    </w:p>
    <w:p w:rsidR="0026676F" w:rsidRPr="00367A64" w:rsidRDefault="0026676F" w:rsidP="009F6632">
      <w:pPr>
        <w:jc w:val="both"/>
        <w:rPr>
          <w:b/>
        </w:rPr>
      </w:pPr>
      <w:r>
        <w:rPr>
          <w:b/>
        </w:rPr>
        <w:t>Návrh p</w:t>
      </w:r>
      <w:r w:rsidRPr="00367A64">
        <w:rPr>
          <w:b/>
        </w:rPr>
        <w:t>odmín</w:t>
      </w:r>
      <w:r>
        <w:rPr>
          <w:b/>
        </w:rPr>
        <w:t>e</w:t>
      </w:r>
      <w:r w:rsidRPr="00367A64">
        <w:rPr>
          <w:b/>
        </w:rPr>
        <w:t>k</w:t>
      </w:r>
      <w:r w:rsidR="008F2988">
        <w:rPr>
          <w:b/>
        </w:rPr>
        <w:t xml:space="preserve"> intervence</w:t>
      </w:r>
      <w:r w:rsidRPr="00367A64">
        <w:rPr>
          <w:b/>
        </w:rPr>
        <w:t xml:space="preserve">: </w:t>
      </w:r>
    </w:p>
    <w:p w:rsidR="0026676F" w:rsidRDefault="0026676F" w:rsidP="0026676F"/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26676F" w:rsidRPr="00B80C9B" w:rsidTr="00C77EF8">
        <w:tc>
          <w:tcPr>
            <w:tcW w:w="9212" w:type="dxa"/>
            <w:shd w:val="clear" w:color="auto" w:fill="EAF1DD"/>
          </w:tcPr>
          <w:p w:rsidR="008F2988" w:rsidRPr="008F2988" w:rsidRDefault="008F2988" w:rsidP="008F2988">
            <w:pPr>
              <w:pStyle w:val="Odstavecseseznamem"/>
              <w:numPr>
                <w:ilvl w:val="0"/>
                <w:numId w:val="21"/>
              </w:numPr>
              <w:spacing w:after="160"/>
              <w:ind w:left="709"/>
              <w:jc w:val="both"/>
              <w:rPr>
                <w:rFonts w:cs="Arial"/>
                <w:lang w:val="cs-CZ"/>
              </w:rPr>
            </w:pPr>
            <w:r w:rsidRPr="008F2988">
              <w:rPr>
                <w:rFonts w:cs="Arial"/>
                <w:lang w:val="cs-CZ"/>
              </w:rPr>
              <w:t>Projekt lze realizovat na území České republiky s výjimkou území hl. města Prahy.</w:t>
            </w:r>
          </w:p>
          <w:p w:rsidR="008F2988" w:rsidRPr="008F2988" w:rsidRDefault="008F2988" w:rsidP="008F2988">
            <w:pPr>
              <w:pStyle w:val="Odstavecseseznamem"/>
              <w:numPr>
                <w:ilvl w:val="0"/>
                <w:numId w:val="21"/>
              </w:numPr>
              <w:spacing w:after="160"/>
              <w:ind w:left="709"/>
              <w:jc w:val="both"/>
              <w:rPr>
                <w:rFonts w:cs="Arial"/>
                <w:lang w:val="cs-CZ"/>
              </w:rPr>
            </w:pPr>
            <w:r w:rsidRPr="008F2988">
              <w:rPr>
                <w:rFonts w:cs="Arial"/>
                <w:lang w:val="cs-CZ"/>
              </w:rPr>
              <w:t>Projekt se musí týkat potravin (surovin určených pro lidskou spotřebu) nebo krmiv.</w:t>
            </w:r>
          </w:p>
          <w:p w:rsidR="0026676F" w:rsidRPr="00923D61" w:rsidRDefault="008F2988" w:rsidP="00C964A0">
            <w:pPr>
              <w:pStyle w:val="Odstavecseseznamem"/>
              <w:numPr>
                <w:ilvl w:val="0"/>
                <w:numId w:val="21"/>
              </w:numPr>
              <w:spacing w:after="160"/>
              <w:ind w:left="709"/>
              <w:jc w:val="both"/>
              <w:rPr>
                <w:rFonts w:cs="Arial"/>
                <w:lang w:val="cs-CZ"/>
              </w:rPr>
            </w:pPr>
            <w:r w:rsidRPr="008F2988">
              <w:rPr>
                <w:rFonts w:cs="Arial"/>
                <w:lang w:val="cs-CZ"/>
              </w:rPr>
              <w:t>Projekt se musí týkat zpracování nebo uvádění na trh zemědělských produktů, přičemž výstupní produkt musí být uveden v Příloze I Smlouvy o fungování EU, v</w:t>
            </w:r>
            <w:r w:rsidR="00C964A0">
              <w:rPr>
                <w:rFonts w:cs="Arial"/>
                <w:lang w:val="cs-CZ"/>
              </w:rPr>
              <w:t> </w:t>
            </w:r>
            <w:r w:rsidRPr="008F2988">
              <w:rPr>
                <w:rFonts w:cs="Arial"/>
                <w:lang w:val="cs-CZ"/>
              </w:rPr>
              <w:t>případě výroby krmiv je výstupní produkt navíc omezen na krmiva určená pro</w:t>
            </w:r>
            <w:r w:rsidR="00C964A0">
              <w:rPr>
                <w:rFonts w:cs="Arial"/>
                <w:lang w:val="cs-CZ"/>
              </w:rPr>
              <w:t> </w:t>
            </w:r>
            <w:r w:rsidRPr="008F2988">
              <w:rPr>
                <w:rFonts w:cs="Arial"/>
                <w:lang w:val="cs-CZ"/>
              </w:rPr>
              <w:t>hospodářská zvířata (s výjimkou ryb) – ne však pouze pro přímou spotřebu v</w:t>
            </w:r>
            <w:r w:rsidR="00C964A0">
              <w:rPr>
                <w:rFonts w:cs="Arial"/>
                <w:lang w:val="cs-CZ"/>
              </w:rPr>
              <w:t> </w:t>
            </w:r>
            <w:r w:rsidRPr="008F2988">
              <w:rPr>
                <w:rFonts w:cs="Arial"/>
                <w:lang w:val="cs-CZ"/>
              </w:rPr>
              <w:t>podniku žadatele.</w:t>
            </w:r>
          </w:p>
        </w:tc>
      </w:tr>
    </w:tbl>
    <w:p w:rsidR="00693FC1" w:rsidRDefault="00693FC1" w:rsidP="00EF0CBB">
      <w:pPr>
        <w:jc w:val="both"/>
      </w:pPr>
    </w:p>
    <w:p w:rsidR="00B02D56" w:rsidRDefault="00B02D56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>
      <w:pPr>
        <w:rPr>
          <w:b/>
          <w:u w:val="single"/>
        </w:rPr>
      </w:pPr>
    </w:p>
    <w:p w:rsidR="00B70513" w:rsidRDefault="00B70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149" w:rsidRPr="00CA3540" w:rsidTr="00C77EF8">
        <w:tc>
          <w:tcPr>
            <w:tcW w:w="9288" w:type="dxa"/>
            <w:shd w:val="clear" w:color="auto" w:fill="F2F2F2"/>
          </w:tcPr>
          <w:p w:rsidR="00457149" w:rsidRPr="00A11736" w:rsidRDefault="00D61172" w:rsidP="00457149">
            <w:pPr>
              <w:pStyle w:val="Nadpis1"/>
              <w:rPr>
                <w:b w:val="0"/>
                <w:szCs w:val="28"/>
              </w:rPr>
            </w:pPr>
            <w:bookmarkStart w:id="19" w:name="_Toc67325231"/>
            <w:r w:rsidRPr="00D61172">
              <w:rPr>
                <w:lang w:val="cs-CZ"/>
              </w:rPr>
              <w:lastRenderedPageBreak/>
              <w:t>Intervence</w:t>
            </w:r>
            <w:r>
              <w:rPr>
                <w:lang w:val="cs-CZ"/>
              </w:rPr>
              <w:t xml:space="preserve"> </w:t>
            </w:r>
            <w:r w:rsidR="00920058" w:rsidRPr="00920058">
              <w:rPr>
                <w:lang w:val="cs-CZ"/>
              </w:rPr>
              <w:t>Inovace v zemědělské prvovýrob</w:t>
            </w:r>
            <w:r w:rsidR="00920058">
              <w:rPr>
                <w:lang w:val="cs-CZ"/>
              </w:rPr>
              <w:t>ě</w:t>
            </w:r>
            <w:bookmarkEnd w:id="19"/>
          </w:p>
        </w:tc>
      </w:tr>
    </w:tbl>
    <w:p w:rsidR="00021587" w:rsidRDefault="00021587" w:rsidP="00021587"/>
    <w:p w:rsidR="00656079" w:rsidRDefault="00656079" w:rsidP="00656079">
      <w:pPr>
        <w:jc w:val="both"/>
        <w:rPr>
          <w:bCs/>
        </w:rPr>
      </w:pPr>
      <w:r w:rsidRPr="00656079">
        <w:rPr>
          <w:bCs/>
        </w:rPr>
        <w:t xml:space="preserve">Navrhovaná intervence je v souladu se Strategií </w:t>
      </w:r>
      <w:proofErr w:type="spellStart"/>
      <w:r w:rsidRPr="00656079">
        <w:rPr>
          <w:bCs/>
        </w:rPr>
        <w:t>MZe</w:t>
      </w:r>
      <w:proofErr w:type="spellEnd"/>
      <w:r w:rsidRPr="00656079">
        <w:rPr>
          <w:bCs/>
        </w:rPr>
        <w:t xml:space="preserve"> 2030 a s cíli EU v SZP k podpoře životaschopnosti a konkurenceschopnosti zemědělců. </w:t>
      </w:r>
    </w:p>
    <w:p w:rsidR="00656079" w:rsidRDefault="00656079" w:rsidP="00656079">
      <w:pPr>
        <w:jc w:val="both"/>
        <w:rPr>
          <w:bCs/>
        </w:rPr>
      </w:pPr>
    </w:p>
    <w:p w:rsidR="00656079" w:rsidRPr="00656079" w:rsidRDefault="00656079" w:rsidP="00656079">
      <w:pPr>
        <w:jc w:val="both"/>
        <w:rPr>
          <w:bCs/>
        </w:rPr>
      </w:pPr>
      <w:r w:rsidRPr="00656079">
        <w:rPr>
          <w:bCs/>
        </w:rPr>
        <w:t>Intervence je zacílena na vybrané slabé stránky přenosu znalostí, jako je především nedostatečný přenos výsledků výzkumu do praxe, nedostatečná podpora rozšiřování některých inovací a nedostatečně pružná reakce současného znalostního systému na výrazné změny v zemědělském hospodaření vyvolané klimatickou změnou a novými požadavky společnosti na udržitelnost zemědělské výroby. Budou podporovány projekty, které představují inovativní řešení, spadající svým zaměřením do vybraných specifických cílů a vedou k naplňování i obecných cílů SZP.</w:t>
      </w:r>
    </w:p>
    <w:p w:rsidR="00656079" w:rsidRDefault="00656079" w:rsidP="00656079">
      <w:pPr>
        <w:jc w:val="both"/>
        <w:rPr>
          <w:bCs/>
        </w:rPr>
      </w:pPr>
    </w:p>
    <w:p w:rsidR="00656079" w:rsidRPr="00656079" w:rsidRDefault="00656079" w:rsidP="00656079">
      <w:pPr>
        <w:jc w:val="both"/>
        <w:rPr>
          <w:bCs/>
        </w:rPr>
      </w:pPr>
      <w:r w:rsidRPr="00656079">
        <w:rPr>
          <w:bCs/>
        </w:rPr>
        <w:t xml:space="preserve">Intervence je zaměřena na rozvoj inovací v zemědělské prvovýrobě. Jedná se o projekty, které zavádějí nové nebo významně zlepšené produkty, postupy, nebo technologie s ohledem na jejich charakteristiky nebo zamýšlené užití. Technologie, produkty nebo procesy musí být minimálně pro odvětví v ČR nové (nebo podstatně zdokonalené). To zahrnuje významná zlepšení technických vlastností, komponentů a materiálů, software, uživatelské vstřícnosti nebo jiných funkčních charakteristik. Nová technologie, produkt nebo proces musí být vyvinuty ve spolupráci s výzkumným subjektem. </w:t>
      </w:r>
    </w:p>
    <w:p w:rsidR="00656079" w:rsidRDefault="00656079" w:rsidP="00656079">
      <w:pPr>
        <w:jc w:val="both"/>
        <w:rPr>
          <w:bCs/>
        </w:rPr>
      </w:pPr>
    </w:p>
    <w:p w:rsidR="00F0292B" w:rsidRPr="006B44E0" w:rsidRDefault="00656079" w:rsidP="00656079">
      <w:pPr>
        <w:jc w:val="both"/>
        <w:rPr>
          <w:bCs/>
        </w:rPr>
      </w:pPr>
      <w:r w:rsidRPr="00656079">
        <w:rPr>
          <w:bCs/>
        </w:rPr>
        <w:t>Podpora se bude vztahovat na pokrytí provozních výdajů spolupráce s možností úhrady pouze nezbytně nutných investičních výdajů souvisejících s podstatou spolupráce.</w:t>
      </w:r>
      <w:r w:rsidR="00F0292B" w:rsidRPr="006B44E0">
        <w:rPr>
          <w:bCs/>
        </w:rPr>
        <w:t xml:space="preserve"> </w:t>
      </w:r>
    </w:p>
    <w:p w:rsidR="00C22F7D" w:rsidRDefault="00C22F7D" w:rsidP="00D40043">
      <w:pPr>
        <w:jc w:val="both"/>
        <w:rPr>
          <w:b/>
          <w:bCs/>
        </w:rPr>
      </w:pPr>
    </w:p>
    <w:p w:rsidR="00D40043" w:rsidRDefault="00C22F7D" w:rsidP="00D40043">
      <w:pPr>
        <w:jc w:val="both"/>
        <w:rPr>
          <w:bCs/>
        </w:rPr>
      </w:pPr>
      <w:r w:rsidRPr="00075783">
        <w:rPr>
          <w:b/>
          <w:bCs/>
        </w:rPr>
        <w:t xml:space="preserve">Vztah k WTO: </w:t>
      </w:r>
      <w:r w:rsidRPr="004765F3">
        <w:rPr>
          <w:bCs/>
        </w:rPr>
        <w:t xml:space="preserve">Tato intervence není v souladu s WTO, protože bod 2 přílohy 2 zakazuje přímou platbu zemědělci. </w:t>
      </w:r>
      <w:r w:rsidR="00E912BC">
        <w:rPr>
          <w:bCs/>
        </w:rPr>
        <w:t>Situace bude dále řešena s EK, alternativně lze zvážit přesun</w:t>
      </w:r>
      <w:r w:rsidRPr="004765F3">
        <w:rPr>
          <w:bCs/>
        </w:rPr>
        <w:t xml:space="preserve"> pod čl. 68.</w:t>
      </w:r>
    </w:p>
    <w:p w:rsidR="00D40043" w:rsidRDefault="00D40043" w:rsidP="00D40043">
      <w:pPr>
        <w:jc w:val="both"/>
        <w:rPr>
          <w:bCs/>
        </w:rPr>
      </w:pPr>
    </w:p>
    <w:p w:rsidR="00561515" w:rsidRPr="00643344" w:rsidRDefault="00D40043" w:rsidP="00643344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Způsobilí příjemci:</w:t>
      </w:r>
    </w:p>
    <w:p w:rsidR="00561515" w:rsidRPr="00561515" w:rsidRDefault="00561515" w:rsidP="00561515">
      <w:pPr>
        <w:tabs>
          <w:tab w:val="left" w:pos="4260"/>
        </w:tabs>
        <w:spacing w:before="120" w:after="120" w:line="276" w:lineRule="auto"/>
        <w:contextualSpacing/>
        <w:jc w:val="both"/>
        <w:rPr>
          <w:rFonts w:eastAsia="Arial Unicode MS" w:cs="Arial"/>
          <w:u w:color="000000"/>
        </w:rPr>
      </w:pPr>
      <w:r w:rsidRPr="00561515">
        <w:rPr>
          <w:rFonts w:eastAsia="Arial Unicode MS" w:cs="Arial"/>
          <w:u w:color="000000"/>
        </w:rPr>
        <w:t xml:space="preserve">Uskupení minimálně dvou subjektů, kdy </w:t>
      </w:r>
    </w:p>
    <w:p w:rsidR="00561515" w:rsidRPr="00561515" w:rsidRDefault="00561515" w:rsidP="00561515">
      <w:pPr>
        <w:numPr>
          <w:ilvl w:val="0"/>
          <w:numId w:val="23"/>
        </w:numPr>
        <w:tabs>
          <w:tab w:val="left" w:pos="4260"/>
        </w:tabs>
        <w:spacing w:before="120" w:after="120" w:line="276" w:lineRule="auto"/>
        <w:ind w:left="567" w:hanging="283"/>
        <w:contextualSpacing/>
        <w:jc w:val="both"/>
        <w:rPr>
          <w:rFonts w:eastAsia="Arial Unicode MS" w:cs="Arial"/>
          <w:u w:color="000000"/>
          <w:lang w:val="x-none"/>
        </w:rPr>
      </w:pPr>
      <w:r w:rsidRPr="00561515">
        <w:rPr>
          <w:rFonts w:eastAsia="Arial Unicode MS" w:cs="Arial"/>
          <w:u w:color="000000"/>
          <w:lang w:val="x-none"/>
        </w:rPr>
        <w:t xml:space="preserve">minimálně jeden subjekt splňuje definici zemědělského podnikatele, který podniká v zemědělské výrobě v souladu se zákonem č. 252/1997 Sb., o zemědělství, ve znění pozdějších předpisů nebo se jedná o skupinu zemědělců, tj. korporaci, jejichž členy jsou výhradně zemědělští prvovýrobci a předmětem jejich činnosti je poskytovat práce, výkony nebo služby, které souvisejí se zajištěním odbytu, skladování a posklizňové úpravy, a při kterých se využijí prostředky nebo zařízení sloužící zemědělské výrobě, </w:t>
      </w:r>
    </w:p>
    <w:p w:rsidR="00F432D0" w:rsidRPr="00056007" w:rsidRDefault="00561515" w:rsidP="00056007">
      <w:pPr>
        <w:numPr>
          <w:ilvl w:val="0"/>
          <w:numId w:val="23"/>
        </w:numPr>
        <w:tabs>
          <w:tab w:val="left" w:pos="4260"/>
        </w:tabs>
        <w:spacing w:before="120" w:after="120" w:line="276" w:lineRule="auto"/>
        <w:ind w:left="567" w:hanging="283"/>
        <w:contextualSpacing/>
        <w:jc w:val="both"/>
        <w:rPr>
          <w:rFonts w:eastAsia="Arial Unicode MS" w:cs="Arial"/>
          <w:u w:color="000000"/>
          <w:lang w:val="x-none"/>
        </w:rPr>
      </w:pPr>
      <w:r w:rsidRPr="00561515">
        <w:rPr>
          <w:rFonts w:eastAsia="Arial Unicode MS" w:cs="Arial"/>
          <w:u w:color="000000"/>
          <w:lang w:val="x-none"/>
        </w:rPr>
        <w:t xml:space="preserve">a minimálně jeden subjekt z uskupení je výzkumnou institucí. </w:t>
      </w:r>
      <w:r w:rsidR="00F432D0" w:rsidRPr="00056007">
        <w:rPr>
          <w:rFonts w:eastAsia="Arial Unicode MS" w:cs="Arial"/>
          <w:u w:color="000000"/>
        </w:rPr>
        <w:t xml:space="preserve"> </w:t>
      </w:r>
    </w:p>
    <w:p w:rsidR="00F432D0" w:rsidRDefault="00F432D0" w:rsidP="00F432D0">
      <w:pPr>
        <w:jc w:val="both"/>
        <w:rPr>
          <w:rFonts w:eastAsia="Arial Unicode MS" w:cs="Arial"/>
          <w:u w:color="000000"/>
        </w:rPr>
      </w:pPr>
    </w:p>
    <w:p w:rsidR="00D40043" w:rsidRDefault="00F432D0" w:rsidP="00F432D0">
      <w:pPr>
        <w:jc w:val="both"/>
        <w:rPr>
          <w:bCs/>
        </w:rPr>
      </w:pPr>
      <w:r w:rsidRPr="00F432D0">
        <w:rPr>
          <w:rFonts w:eastAsia="Arial Unicode MS" w:cs="Arial"/>
          <w:u w:color="000000"/>
        </w:rPr>
        <w:t>Uskupení žádá o podporu prostřednictvím zemědělského podnikatele nebo skupiny zemědělců.</w:t>
      </w:r>
    </w:p>
    <w:p w:rsidR="00D40043" w:rsidRDefault="00D40043" w:rsidP="00D40043">
      <w:pPr>
        <w:jc w:val="both"/>
        <w:rPr>
          <w:bCs/>
        </w:rPr>
      </w:pPr>
    </w:p>
    <w:p w:rsidR="00D40043" w:rsidRPr="00D40043" w:rsidRDefault="00D40043" w:rsidP="00D40043">
      <w:pPr>
        <w:jc w:val="both"/>
        <w:rPr>
          <w:u w:val="single"/>
        </w:rPr>
      </w:pPr>
      <w:r w:rsidRPr="00D40043">
        <w:rPr>
          <w:u w:val="single"/>
        </w:rPr>
        <w:t>Výše dotace:</w:t>
      </w:r>
    </w:p>
    <w:p w:rsidR="00D40043" w:rsidRPr="00D40043" w:rsidRDefault="00E443A4" w:rsidP="00D40043">
      <w:pPr>
        <w:jc w:val="both"/>
        <w:rPr>
          <w:bCs/>
        </w:rPr>
      </w:pPr>
      <w:r>
        <w:t>60 % způsobilých výdajů</w:t>
      </w:r>
      <w:r w:rsidR="00481809">
        <w:t>.</w:t>
      </w:r>
    </w:p>
    <w:p w:rsidR="00D40043" w:rsidRPr="00D40043" w:rsidRDefault="00D40043" w:rsidP="00D40043">
      <w:pPr>
        <w:spacing w:before="240"/>
        <w:jc w:val="both"/>
        <w:rPr>
          <w:b/>
        </w:rPr>
      </w:pPr>
      <w:r w:rsidRPr="00D40043">
        <w:rPr>
          <w:b/>
        </w:rPr>
        <w:t xml:space="preserve">Návrh podmínek intervence: </w:t>
      </w:r>
    </w:p>
    <w:p w:rsidR="00D40043" w:rsidRPr="00D40043" w:rsidRDefault="00D40043" w:rsidP="00D40043">
      <w:pPr>
        <w:jc w:val="both"/>
        <w:rPr>
          <w:b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D40043" w:rsidRPr="00D40043" w:rsidTr="002B73C8">
        <w:tc>
          <w:tcPr>
            <w:tcW w:w="9072" w:type="dxa"/>
            <w:shd w:val="clear" w:color="auto" w:fill="EAF1DD"/>
          </w:tcPr>
          <w:p w:rsidR="002B73C8" w:rsidRPr="002B73C8" w:rsidRDefault="002B73C8" w:rsidP="002B73C8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 w:rsidRPr="00367A64">
              <w:rPr>
                <w:rFonts w:eastAsia="Times New Roman"/>
              </w:rPr>
              <w:t xml:space="preserve">Projekt lze realizovat na území České republiky s výjimkou </w:t>
            </w:r>
            <w:r>
              <w:rPr>
                <w:rFonts w:eastAsia="Times New Roman"/>
              </w:rPr>
              <w:t xml:space="preserve">území </w:t>
            </w:r>
            <w:r w:rsidRPr="00367A64">
              <w:rPr>
                <w:rFonts w:eastAsia="Times New Roman"/>
              </w:rPr>
              <w:t>hl. města Prahy</w:t>
            </w:r>
            <w:r>
              <w:rPr>
                <w:rFonts w:eastAsia="Times New Roman"/>
              </w:rPr>
              <w:t>.</w:t>
            </w:r>
          </w:p>
          <w:p w:rsidR="00D40043" w:rsidRPr="002B73C8" w:rsidRDefault="002B73C8" w:rsidP="002B73C8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 w:rsidRPr="0017426E">
              <w:rPr>
                <w:rFonts w:cs="Arial"/>
              </w:rPr>
              <w:t>Projekt se musí týkat zemědělské prvovýroby, tj. rostlinné výroby nebo chovu hospodářských zvířat.</w:t>
            </w:r>
          </w:p>
          <w:p w:rsidR="002B73C8" w:rsidRPr="00D40043" w:rsidRDefault="002B73C8" w:rsidP="002B73C8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>
              <w:rPr>
                <w:rFonts w:cs="Arial"/>
              </w:rPr>
              <w:t xml:space="preserve">Žadatel </w:t>
            </w:r>
            <w:r w:rsidRPr="0017426E">
              <w:rPr>
                <w:rFonts w:cs="Arial"/>
              </w:rPr>
              <w:t>zveřejní výsledky projektu a zajistí jejich šíření.</w:t>
            </w:r>
          </w:p>
        </w:tc>
      </w:tr>
      <w:tr w:rsidR="00D40043" w:rsidRPr="00D40043" w:rsidTr="002B73C8">
        <w:tc>
          <w:tcPr>
            <w:tcW w:w="9072" w:type="dxa"/>
            <w:shd w:val="clear" w:color="auto" w:fill="EAF1DD"/>
          </w:tcPr>
          <w:p w:rsidR="00D40043" w:rsidRPr="00D40043" w:rsidRDefault="002B73C8" w:rsidP="00D400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14"/>
              <w:contextualSpacing/>
              <w:jc w:val="both"/>
              <w:rPr>
                <w:rFonts w:cs="Arial"/>
                <w:lang w:val="x-none"/>
              </w:rPr>
            </w:pPr>
            <w:r w:rsidRPr="0017426E">
              <w:rPr>
                <w:rFonts w:eastAsia="Times New Roman" w:cs="Arial"/>
              </w:rPr>
              <w:t>Příjemcem nemůže být organizace producentů, sdružení organizací producentů nebo mezioborová organizace.</w:t>
            </w:r>
          </w:p>
        </w:tc>
      </w:tr>
      <w:tr w:rsidR="00656079" w:rsidRPr="00D40043" w:rsidTr="002B73C8">
        <w:tc>
          <w:tcPr>
            <w:tcW w:w="9072" w:type="dxa"/>
            <w:shd w:val="clear" w:color="auto" w:fill="EAF1DD"/>
          </w:tcPr>
          <w:p w:rsidR="00656079" w:rsidRPr="0017426E" w:rsidRDefault="00656079" w:rsidP="00656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Arial"/>
              </w:rPr>
            </w:pPr>
          </w:p>
        </w:tc>
      </w:tr>
      <w:tr w:rsidR="00457149" w:rsidRPr="00CA3540" w:rsidTr="00B7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9062" w:type="dxa"/>
            <w:shd w:val="clear" w:color="auto" w:fill="F2F2F2"/>
          </w:tcPr>
          <w:p w:rsidR="00457149" w:rsidRPr="00A11736" w:rsidRDefault="00D61172" w:rsidP="00457149">
            <w:pPr>
              <w:pStyle w:val="Nadpis1"/>
              <w:rPr>
                <w:b w:val="0"/>
                <w:szCs w:val="28"/>
              </w:rPr>
            </w:pPr>
            <w:bookmarkStart w:id="20" w:name="_Toc67325232"/>
            <w:r w:rsidRPr="00D61172">
              <w:rPr>
                <w:lang w:val="cs-CZ"/>
              </w:rPr>
              <w:lastRenderedPageBreak/>
              <w:t>Intervence</w:t>
            </w:r>
            <w:r>
              <w:rPr>
                <w:lang w:val="cs-CZ"/>
              </w:rPr>
              <w:t xml:space="preserve"> </w:t>
            </w:r>
            <w:r w:rsidR="00920058" w:rsidRPr="00920058">
              <w:rPr>
                <w:lang w:val="cs-CZ"/>
              </w:rPr>
              <w:t>Inovace při zpracování zemědělských produktů</w:t>
            </w:r>
            <w:bookmarkEnd w:id="20"/>
            <w:r w:rsidR="00457149" w:rsidRPr="00021587">
              <w:rPr>
                <w:iCs/>
                <w:szCs w:val="28"/>
              </w:rPr>
              <w:t xml:space="preserve"> </w:t>
            </w:r>
          </w:p>
        </w:tc>
      </w:tr>
    </w:tbl>
    <w:p w:rsidR="00DA43A4" w:rsidRDefault="00DA43A4" w:rsidP="00DA43A4"/>
    <w:p w:rsidR="00852865" w:rsidRPr="00852865" w:rsidRDefault="00852865" w:rsidP="00852865">
      <w:pPr>
        <w:jc w:val="both"/>
        <w:rPr>
          <w:bCs/>
        </w:rPr>
      </w:pPr>
      <w:r w:rsidRPr="00852865">
        <w:rPr>
          <w:bCs/>
        </w:rPr>
        <w:t>Intervence bude řešit slabé stránky českého potravinářství, kterými jsou hlavně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Nízká míra integrace a kooperace; 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Nízká investiční aktivita a nedostatečné technologické vybavení u některých výrob; 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Nízká míra marketingových a organizačních inovací; 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Nedostatečný transfer znalostí, zejména využívání výsledků vědy a výzkumu v praxi; 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Produkce výrobků s nižší přidanou hodnotou; </w:t>
      </w:r>
    </w:p>
    <w:p w:rsidR="00852865" w:rsidRPr="00852865" w:rsidRDefault="00852865" w:rsidP="00852865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52865">
        <w:rPr>
          <w:bCs/>
        </w:rPr>
        <w:t xml:space="preserve">Nestabilní ekonomický vývoj potravinářských podniků; </w:t>
      </w:r>
    </w:p>
    <w:p w:rsidR="00852865" w:rsidRDefault="00852865" w:rsidP="00852865">
      <w:pPr>
        <w:jc w:val="both"/>
        <w:rPr>
          <w:bCs/>
        </w:rPr>
      </w:pPr>
    </w:p>
    <w:p w:rsidR="00656079" w:rsidRPr="00656079" w:rsidRDefault="00656079" w:rsidP="00656079">
      <w:pPr>
        <w:jc w:val="both"/>
        <w:rPr>
          <w:bCs/>
        </w:rPr>
      </w:pPr>
      <w:r w:rsidRPr="00656079">
        <w:rPr>
          <w:bCs/>
        </w:rPr>
        <w:t xml:space="preserve">Intervence je zaměřena na rozvoj inovací při zpracování zemědělských produktů a jejich uvádění na trh. Jedná se o projekty, které zavádějí nové nebo významně zlepšené produkty, postupy, nebo technologie s ohledem na jejich charakteristiky nebo zamýšlené užití. Technologie, produkty nebo procesy musí být minimálně pro odvětví v ČR nové (nebo podstatně zdokonalené). To zahrnuje významná zlepšení technických vlastností, komponentů a materiálů, software, uživatelské vstřícnosti nebo jiných funkčních charakteristik. Nová technologie, produkt nebo proces musí být vyvinuty ve spolupráci s výzkumným subjektem. </w:t>
      </w:r>
    </w:p>
    <w:p w:rsidR="00656079" w:rsidRDefault="00656079" w:rsidP="00656079">
      <w:pPr>
        <w:jc w:val="both"/>
        <w:rPr>
          <w:bCs/>
        </w:rPr>
      </w:pPr>
    </w:p>
    <w:p w:rsidR="00CF452C" w:rsidRDefault="00656079" w:rsidP="00656079">
      <w:pPr>
        <w:jc w:val="both"/>
        <w:rPr>
          <w:b/>
          <w:bCs/>
        </w:rPr>
      </w:pPr>
      <w:r w:rsidRPr="00656079">
        <w:rPr>
          <w:bCs/>
        </w:rPr>
        <w:t>Podpora se bude vztahovat na pokrytí provozních výdajů spolupráce s možností úhrady pouze nezbytně nutných investičních výdajů souvisejících s podstatou spolupráce.</w:t>
      </w:r>
    </w:p>
    <w:p w:rsidR="00656079" w:rsidRDefault="00656079" w:rsidP="00852865">
      <w:pPr>
        <w:jc w:val="both"/>
        <w:rPr>
          <w:b/>
          <w:bCs/>
        </w:rPr>
      </w:pPr>
    </w:p>
    <w:p w:rsidR="00075783" w:rsidRDefault="00656079" w:rsidP="0085286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075783" w:rsidRPr="00075783">
        <w:rPr>
          <w:b/>
          <w:bCs/>
        </w:rPr>
        <w:t xml:space="preserve">Vztah k WTO: </w:t>
      </w:r>
      <w:r w:rsidR="00075783" w:rsidRPr="00B02D56">
        <w:rPr>
          <w:bCs/>
        </w:rPr>
        <w:t xml:space="preserve">Tato intervence není v souladu s WTO, protože bod 2 přílohy 2 zakazuje přímou platbu zemědělci. </w:t>
      </w:r>
      <w:r w:rsidR="00E912BC">
        <w:rPr>
          <w:bCs/>
        </w:rPr>
        <w:t>Situace bude dále řešena s EK, alternativně lze zvážit přesun</w:t>
      </w:r>
      <w:r w:rsidR="00E912BC" w:rsidRPr="004765F3">
        <w:rPr>
          <w:bCs/>
        </w:rPr>
        <w:t xml:space="preserve"> </w:t>
      </w:r>
      <w:r w:rsidR="00075783" w:rsidRPr="00B02D56">
        <w:rPr>
          <w:bCs/>
        </w:rPr>
        <w:t>pod čl. 68.</w:t>
      </w:r>
    </w:p>
    <w:p w:rsidR="00852865" w:rsidRDefault="00852865" w:rsidP="00EF0CBB">
      <w:pPr>
        <w:jc w:val="both"/>
        <w:rPr>
          <w:b/>
        </w:rPr>
      </w:pPr>
    </w:p>
    <w:p w:rsidR="00056007" w:rsidRPr="00643344" w:rsidRDefault="00EE505F" w:rsidP="00643344">
      <w:pPr>
        <w:rPr>
          <w:rFonts w:cs="Arial"/>
          <w:u w:val="single"/>
        </w:rPr>
      </w:pPr>
      <w:r>
        <w:rPr>
          <w:rFonts w:cs="Arial"/>
          <w:u w:val="single"/>
        </w:rPr>
        <w:t>Způsobilí příjemci:</w:t>
      </w:r>
    </w:p>
    <w:p w:rsidR="00056007" w:rsidRPr="00056007" w:rsidRDefault="00056007" w:rsidP="00056007">
      <w:pPr>
        <w:tabs>
          <w:tab w:val="left" w:pos="4260"/>
        </w:tabs>
        <w:contextualSpacing/>
        <w:jc w:val="both"/>
        <w:rPr>
          <w:bCs/>
        </w:rPr>
      </w:pPr>
      <w:r w:rsidRPr="00056007">
        <w:rPr>
          <w:bCs/>
        </w:rPr>
        <w:t xml:space="preserve">Uskupení minimálně dvou subjektů, kdy </w:t>
      </w:r>
    </w:p>
    <w:p w:rsidR="00056007" w:rsidRPr="00056007" w:rsidRDefault="00056007" w:rsidP="00056007">
      <w:pPr>
        <w:numPr>
          <w:ilvl w:val="0"/>
          <w:numId w:val="24"/>
        </w:numPr>
        <w:tabs>
          <w:tab w:val="left" w:pos="567"/>
          <w:tab w:val="left" w:pos="4260"/>
        </w:tabs>
        <w:ind w:left="567" w:hanging="283"/>
        <w:contextualSpacing/>
        <w:jc w:val="both"/>
        <w:rPr>
          <w:rFonts w:eastAsia="Arial Unicode MS" w:cs="Arial"/>
          <w:u w:color="000000"/>
          <w:lang w:val="x-none"/>
        </w:rPr>
      </w:pPr>
      <w:r w:rsidRPr="00056007">
        <w:rPr>
          <w:bCs/>
        </w:rPr>
        <w:t xml:space="preserve">minimálně jeden subjekt splňuje definici výrobce potravin, nebo surovin určených </w:t>
      </w:r>
      <w:r w:rsidRPr="00056007">
        <w:rPr>
          <w:rFonts w:eastAsia="Arial Unicode MS" w:cs="Arial"/>
          <w:u w:color="000000"/>
          <w:lang w:val="x-none"/>
        </w:rPr>
        <w:t xml:space="preserve">pro lidskou spotřebu, nebo výrobce krmiv, </w:t>
      </w:r>
    </w:p>
    <w:p w:rsidR="00EE505F" w:rsidRPr="00056007" w:rsidRDefault="00056007" w:rsidP="00056007">
      <w:pPr>
        <w:numPr>
          <w:ilvl w:val="0"/>
          <w:numId w:val="24"/>
        </w:numPr>
        <w:tabs>
          <w:tab w:val="left" w:pos="567"/>
          <w:tab w:val="left" w:pos="4260"/>
        </w:tabs>
        <w:ind w:left="567" w:hanging="283"/>
        <w:contextualSpacing/>
        <w:jc w:val="both"/>
        <w:rPr>
          <w:bCs/>
        </w:rPr>
      </w:pPr>
      <w:r w:rsidRPr="00056007">
        <w:rPr>
          <w:bCs/>
        </w:rPr>
        <w:t>a minimálně jeden subjekt z uskupení je výzkumnou institucí.</w:t>
      </w:r>
    </w:p>
    <w:p w:rsidR="00EE505F" w:rsidRDefault="00EE505F" w:rsidP="00EE505F">
      <w:pPr>
        <w:jc w:val="both"/>
        <w:rPr>
          <w:bCs/>
        </w:rPr>
      </w:pPr>
    </w:p>
    <w:p w:rsidR="00EE505F" w:rsidRPr="00EE505F" w:rsidRDefault="00EE505F" w:rsidP="00EE505F">
      <w:pPr>
        <w:jc w:val="both"/>
        <w:rPr>
          <w:bCs/>
        </w:rPr>
      </w:pPr>
      <w:r w:rsidRPr="00EE505F">
        <w:rPr>
          <w:bCs/>
        </w:rPr>
        <w:t>Uskupení žádá o podporu prostřednictvím výrobce potr</w:t>
      </w:r>
      <w:r w:rsidR="00056007">
        <w:rPr>
          <w:bCs/>
        </w:rPr>
        <w:t>avin, nebo surovin určených pro </w:t>
      </w:r>
      <w:r w:rsidRPr="00EE505F">
        <w:rPr>
          <w:bCs/>
        </w:rPr>
        <w:t>lidskou spotřebu, nebo výrobce krmiv.</w:t>
      </w:r>
    </w:p>
    <w:p w:rsidR="00EE505F" w:rsidRDefault="00EE505F" w:rsidP="00DA43A4">
      <w:pPr>
        <w:rPr>
          <w:rFonts w:cs="Arial"/>
          <w:u w:val="single"/>
        </w:rPr>
      </w:pPr>
    </w:p>
    <w:p w:rsidR="001B3605" w:rsidRPr="00D40043" w:rsidRDefault="001B3605" w:rsidP="001B3605">
      <w:pPr>
        <w:jc w:val="both"/>
        <w:rPr>
          <w:u w:val="single"/>
        </w:rPr>
      </w:pPr>
      <w:r w:rsidRPr="00D40043">
        <w:rPr>
          <w:u w:val="single"/>
        </w:rPr>
        <w:t>Výše dotace:</w:t>
      </w:r>
    </w:p>
    <w:p w:rsidR="001B3605" w:rsidRPr="00D40043" w:rsidRDefault="001B3605" w:rsidP="001B3605">
      <w:pPr>
        <w:jc w:val="both"/>
        <w:rPr>
          <w:bCs/>
        </w:rPr>
      </w:pPr>
      <w:r w:rsidRPr="00D40043">
        <w:t xml:space="preserve">60 % </w:t>
      </w:r>
      <w:r w:rsidR="00544BCD">
        <w:t>způsobilých výdajů</w:t>
      </w:r>
      <w:r w:rsidR="00481809">
        <w:t>.</w:t>
      </w:r>
    </w:p>
    <w:p w:rsidR="001B3605" w:rsidRDefault="001B3605" w:rsidP="001B3605">
      <w:pPr>
        <w:rPr>
          <w:b/>
        </w:rPr>
      </w:pPr>
    </w:p>
    <w:p w:rsidR="00EE505F" w:rsidRDefault="001B3605" w:rsidP="001B3605">
      <w:pPr>
        <w:rPr>
          <w:rFonts w:cs="Arial"/>
          <w:u w:val="single"/>
        </w:rPr>
      </w:pPr>
      <w:r w:rsidRPr="00D40043">
        <w:rPr>
          <w:b/>
        </w:rPr>
        <w:t>Návrh podmínek intervence:</w:t>
      </w:r>
    </w:p>
    <w:p w:rsidR="00EE505F" w:rsidRDefault="00EE505F" w:rsidP="00DA43A4">
      <w:pPr>
        <w:rPr>
          <w:rFonts w:cs="Arial"/>
          <w:u w:val="single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1B3605" w:rsidRPr="00D40043" w:rsidTr="000935D0">
        <w:tc>
          <w:tcPr>
            <w:tcW w:w="9072" w:type="dxa"/>
            <w:shd w:val="clear" w:color="auto" w:fill="EAF1DD"/>
          </w:tcPr>
          <w:p w:rsidR="001B3605" w:rsidRPr="002B73C8" w:rsidRDefault="001B3605" w:rsidP="000935D0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 w:rsidRPr="00367A64">
              <w:rPr>
                <w:rFonts w:eastAsia="Times New Roman"/>
              </w:rPr>
              <w:t xml:space="preserve">Projekt lze realizovat na území České republiky s výjimkou </w:t>
            </w:r>
            <w:r>
              <w:rPr>
                <w:rFonts w:eastAsia="Times New Roman"/>
              </w:rPr>
              <w:t xml:space="preserve">území </w:t>
            </w:r>
            <w:r w:rsidRPr="00367A64">
              <w:rPr>
                <w:rFonts w:eastAsia="Times New Roman"/>
              </w:rPr>
              <w:t>hl. města Prahy</w:t>
            </w:r>
            <w:r>
              <w:rPr>
                <w:rFonts w:eastAsia="Times New Roman"/>
              </w:rPr>
              <w:t>.</w:t>
            </w:r>
          </w:p>
          <w:p w:rsidR="003A2AF2" w:rsidRPr="003A2AF2" w:rsidRDefault="003A2AF2" w:rsidP="003A2AF2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 w:rsidRPr="0017426E">
              <w:rPr>
                <w:rFonts w:cs="Arial"/>
              </w:rPr>
              <w:t>Projekt se musí týkat výroby potravin (surovin určených pro lidskou spotřebu) nebo krmiv; výrobní proces se pak musí týkat zpracování a uvádění na trh zemědělských produktů, kde výstupní produkt musí být uveden v Příloze I Smlouvy o fungování EU, v případě výroby krmiv je výstupní produkt omezen na krmiva určená pro hospodářská zvířata (s výjimkou ryb) – ne však pouze pro přímou spotřebu v podniku žadatele.</w:t>
            </w:r>
          </w:p>
          <w:p w:rsidR="001B3605" w:rsidRPr="00D40043" w:rsidRDefault="001B3605" w:rsidP="003A2AF2">
            <w:pPr>
              <w:numPr>
                <w:ilvl w:val="0"/>
                <w:numId w:val="17"/>
              </w:numPr>
              <w:spacing w:before="60"/>
              <w:ind w:hanging="214"/>
              <w:jc w:val="both"/>
              <w:rPr>
                <w:rFonts w:eastAsia="Times New Roman"/>
              </w:rPr>
            </w:pPr>
            <w:r>
              <w:rPr>
                <w:rFonts w:cs="Arial"/>
              </w:rPr>
              <w:t xml:space="preserve">Žadatel </w:t>
            </w:r>
            <w:r w:rsidRPr="0017426E">
              <w:rPr>
                <w:rFonts w:cs="Arial"/>
              </w:rPr>
              <w:t>zveřejní výsledky projektu a zajistí jejich šíření.</w:t>
            </w:r>
          </w:p>
        </w:tc>
      </w:tr>
      <w:tr w:rsidR="001B3605" w:rsidRPr="00D40043" w:rsidTr="000935D0">
        <w:tc>
          <w:tcPr>
            <w:tcW w:w="9072" w:type="dxa"/>
            <w:shd w:val="clear" w:color="auto" w:fill="EAF1DD"/>
          </w:tcPr>
          <w:p w:rsidR="001B3605" w:rsidRPr="00D40043" w:rsidRDefault="001B3605" w:rsidP="000935D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14"/>
              <w:contextualSpacing/>
              <w:jc w:val="both"/>
              <w:rPr>
                <w:rFonts w:cs="Arial"/>
                <w:lang w:val="x-none"/>
              </w:rPr>
            </w:pPr>
            <w:r w:rsidRPr="0017426E">
              <w:rPr>
                <w:rFonts w:eastAsia="Times New Roman" w:cs="Arial"/>
              </w:rPr>
              <w:t>Příjemcem nemůže být organizace producentů, sdružení organizací producentů nebo mezioborová organizace.</w:t>
            </w:r>
          </w:p>
        </w:tc>
      </w:tr>
    </w:tbl>
    <w:p w:rsidR="00B634D4" w:rsidRDefault="00B634D4" w:rsidP="00707BB1">
      <w:pPr>
        <w:jc w:val="both"/>
      </w:pPr>
    </w:p>
    <w:p w:rsidR="002E2434" w:rsidRPr="002E2434" w:rsidRDefault="002E2434" w:rsidP="002E2434"/>
    <w:p w:rsidR="00B634D4" w:rsidRDefault="00B634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34D4" w:rsidRPr="00CA3540" w:rsidTr="004A1A10">
        <w:tc>
          <w:tcPr>
            <w:tcW w:w="9288" w:type="dxa"/>
            <w:shd w:val="clear" w:color="auto" w:fill="F2F2F2"/>
          </w:tcPr>
          <w:p w:rsidR="00B634D4" w:rsidRPr="00A11736" w:rsidRDefault="00B634D4" w:rsidP="004A1A10">
            <w:pPr>
              <w:pStyle w:val="Nadpis1"/>
              <w:rPr>
                <w:b w:val="0"/>
                <w:szCs w:val="28"/>
              </w:rPr>
            </w:pPr>
            <w:bookmarkStart w:id="21" w:name="_Toc67325233"/>
            <w:r>
              <w:rPr>
                <w:lang w:val="cs-CZ"/>
              </w:rPr>
              <w:lastRenderedPageBreak/>
              <w:t>Finanční nástroje</w:t>
            </w:r>
            <w:bookmarkEnd w:id="21"/>
            <w:r w:rsidRPr="00021587">
              <w:rPr>
                <w:iCs/>
                <w:szCs w:val="28"/>
              </w:rPr>
              <w:t xml:space="preserve"> </w:t>
            </w:r>
          </w:p>
        </w:tc>
      </w:tr>
    </w:tbl>
    <w:p w:rsidR="00A465AD" w:rsidRPr="00A465AD" w:rsidRDefault="00A465AD" w:rsidP="00A465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65AD" w:rsidRPr="00A465AD" w:rsidTr="004A1A10">
        <w:tc>
          <w:tcPr>
            <w:tcW w:w="9288" w:type="dxa"/>
            <w:shd w:val="clear" w:color="auto" w:fill="F2F2F2"/>
          </w:tcPr>
          <w:p w:rsidR="00A465AD" w:rsidRPr="00A465AD" w:rsidRDefault="00A465AD" w:rsidP="00A465AD">
            <w:pPr>
              <w:jc w:val="both"/>
              <w:rPr>
                <w:b/>
                <w:bCs/>
              </w:rPr>
            </w:pPr>
            <w:r w:rsidRPr="00A465AD">
              <w:rPr>
                <w:b/>
                <w:bCs/>
              </w:rPr>
              <w:t>Půjčka či záruka jako nová forma podpory</w:t>
            </w:r>
          </w:p>
        </w:tc>
      </w:tr>
    </w:tbl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Vysvětlení a zdůvodnění</w:t>
      </w:r>
    </w:p>
    <w:p w:rsidR="00A465AD" w:rsidRPr="004511FD" w:rsidRDefault="005D56D3" w:rsidP="00A465AD">
      <w:pPr>
        <w:jc w:val="both"/>
      </w:pPr>
      <w:r w:rsidRPr="004511FD">
        <w:t>Z</w:t>
      </w:r>
      <w:r w:rsidR="00A465AD" w:rsidRPr="004511FD">
        <w:t>avedení vratné formy podpory v podobě zvýhodněných půjček (úvěrů) či záruk (garancí) u několika vybraných intervencí namísto podpory nevratnou formou podpory, tedy dotací. V některých případech je možná i kombinace pro mladé začínající zemědělce (viz níže).</w:t>
      </w:r>
    </w:p>
    <w:p w:rsidR="00A465AD" w:rsidRPr="004511FD" w:rsidRDefault="00A465AD" w:rsidP="00A465AD">
      <w:pPr>
        <w:jc w:val="both"/>
      </w:pPr>
      <w:r w:rsidRPr="004511FD">
        <w:t>Primární využití by bylo na ty investice, které přinášejí zvýšení zisku či tržeb, úspory nákladů, zkrátka větší efektivitu výroby či rozvoj podnikání.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 xml:space="preserve">Hlavními důvody jsou: </w:t>
      </w:r>
    </w:p>
    <w:p w:rsidR="00A465AD" w:rsidRPr="00A465AD" w:rsidRDefault="00A465AD" w:rsidP="00A465AD">
      <w:pPr>
        <w:numPr>
          <w:ilvl w:val="0"/>
          <w:numId w:val="7"/>
        </w:numPr>
        <w:jc w:val="both"/>
        <w:rPr>
          <w:lang w:val="x-none"/>
        </w:rPr>
      </w:pPr>
      <w:r w:rsidRPr="00A465AD">
        <w:rPr>
          <w:lang w:val="x-none"/>
        </w:rPr>
        <w:t>nedostatečný rozpočet EZFRV v kombinaci s vyššími potřebami (mnohem více navržených intervencí) a nejistým kofinancováním ze st. rozpočtu</w:t>
      </w:r>
      <w:r w:rsidRPr="00A465AD">
        <w:t xml:space="preserve"> 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 xml:space="preserve">tlak </w:t>
      </w:r>
      <w:r w:rsidR="004511FD">
        <w:t xml:space="preserve">EK </w:t>
      </w:r>
      <w:r w:rsidRPr="00A465AD">
        <w:t>na efektivnějš</w:t>
      </w:r>
      <w:r w:rsidR="004511FD">
        <w:t xml:space="preserve">í čerpání </w:t>
      </w:r>
      <w:proofErr w:type="spellStart"/>
      <w:r w:rsidR="004511FD">
        <w:t>fin</w:t>
      </w:r>
      <w:proofErr w:type="spellEnd"/>
      <w:r w:rsidR="004511FD">
        <w:t xml:space="preserve">. </w:t>
      </w:r>
      <w:proofErr w:type="gramStart"/>
      <w:r w:rsidR="004511FD">
        <w:t>prostředků</w:t>
      </w:r>
      <w:proofErr w:type="gramEnd"/>
      <w:r w:rsidR="004511FD">
        <w:t xml:space="preserve"> z EU</w:t>
      </w:r>
      <w:r w:rsidRPr="00A465AD">
        <w:t xml:space="preserve"> fondů (v některých oblastech bude nevratná dotační podpora jen těžko zdůvodnitelná), podporu životaschopných projektů, pozitivní dopad na chování příjemců, snížení administrativy atd.</w:t>
      </w:r>
    </w:p>
    <w:p w:rsidR="00A465AD" w:rsidRPr="00A465AD" w:rsidRDefault="00A465AD" w:rsidP="00A465AD">
      <w:pPr>
        <w:numPr>
          <w:ilvl w:val="1"/>
          <w:numId w:val="7"/>
        </w:numPr>
        <w:jc w:val="both"/>
      </w:pPr>
      <w:r w:rsidRPr="00A465AD">
        <w:t xml:space="preserve">některé zem. </w:t>
      </w:r>
      <w:proofErr w:type="gramStart"/>
      <w:r w:rsidRPr="00A465AD">
        <w:t>organizace</w:t>
      </w:r>
      <w:proofErr w:type="gramEnd"/>
      <w:r w:rsidRPr="00A465AD">
        <w:t xml:space="preserve"> se již vyjádřily v tomto ohledu pozitivně (</w:t>
      </w:r>
      <w:proofErr w:type="spellStart"/>
      <w:r w:rsidRPr="00A465AD">
        <w:t>European</w:t>
      </w:r>
      <w:proofErr w:type="spellEnd"/>
      <w:r w:rsidRPr="00A465AD">
        <w:t xml:space="preserve"> </w:t>
      </w:r>
      <w:proofErr w:type="spellStart"/>
      <w:r w:rsidRPr="00A465AD">
        <w:t>council</w:t>
      </w:r>
      <w:proofErr w:type="spellEnd"/>
      <w:r w:rsidRPr="00A465AD">
        <w:t xml:space="preserve"> </w:t>
      </w:r>
      <w:proofErr w:type="spellStart"/>
      <w:r w:rsidRPr="00A465AD">
        <w:t>of</w:t>
      </w:r>
      <w:proofErr w:type="spellEnd"/>
      <w:r w:rsidRPr="00A465AD">
        <w:t xml:space="preserve"> </w:t>
      </w:r>
      <w:proofErr w:type="spellStart"/>
      <w:r w:rsidRPr="00A465AD">
        <w:t>young</w:t>
      </w:r>
      <w:proofErr w:type="spellEnd"/>
      <w:r w:rsidRPr="00A465AD">
        <w:t xml:space="preserve"> </w:t>
      </w:r>
      <w:proofErr w:type="spellStart"/>
      <w:r w:rsidRPr="00A465AD">
        <w:t>farmers</w:t>
      </w:r>
      <w:proofErr w:type="spellEnd"/>
      <w:r w:rsidRPr="00A465AD">
        <w:t>, COPA-COGECA aj.)</w:t>
      </w:r>
    </w:p>
    <w:p w:rsidR="00A465AD" w:rsidRPr="00A465AD" w:rsidRDefault="00A465AD" w:rsidP="00A465AD">
      <w:pPr>
        <w:numPr>
          <w:ilvl w:val="1"/>
          <w:numId w:val="7"/>
        </w:numPr>
        <w:jc w:val="both"/>
      </w:pPr>
      <w:r w:rsidRPr="00A465AD">
        <w:t>tento tlak není jen v zemědělství, ale i v ostatních operačních programech</w:t>
      </w:r>
    </w:p>
    <w:p w:rsidR="00A465AD" w:rsidRPr="00A465AD" w:rsidRDefault="00A465AD" w:rsidP="00A465AD">
      <w:pPr>
        <w:numPr>
          <w:ilvl w:val="0"/>
          <w:numId w:val="8"/>
        </w:numPr>
        <w:jc w:val="both"/>
        <w:rPr>
          <w:lang w:val="x-none"/>
        </w:rPr>
      </w:pPr>
      <w:r w:rsidRPr="00A465AD">
        <w:rPr>
          <w:lang w:val="x-none"/>
        </w:rPr>
        <w:t>negativa dotací a vysoká dotační závislost celého sektoru</w:t>
      </w:r>
      <w:r w:rsidRPr="00A465AD">
        <w:t xml:space="preserve"> (viz níže) a zároveň </w:t>
      </w:r>
      <w:r w:rsidRPr="00A465AD">
        <w:rPr>
          <w:lang w:val="x-none"/>
        </w:rPr>
        <w:t xml:space="preserve">výhody </w:t>
      </w:r>
      <w:r w:rsidRPr="00A465AD">
        <w:t>(např. opakované použití prostředků po roce 2027)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</w:p>
    <w:p w:rsidR="00A465AD" w:rsidRPr="00A465AD" w:rsidRDefault="00155E93" w:rsidP="00A465AD">
      <w:pPr>
        <w:jc w:val="both"/>
      </w:pPr>
      <w:r>
        <w:t>V</w:t>
      </w:r>
      <w:r w:rsidR="00A465AD" w:rsidRPr="00A465AD">
        <w:t xml:space="preserve">ratnou formou podporuje zemědělce PGRLF (viz níže), </w:t>
      </w:r>
      <w:r w:rsidR="001804AF">
        <w:t xml:space="preserve">ostatní </w:t>
      </w:r>
      <w:r w:rsidR="00A465AD" w:rsidRPr="00A465AD">
        <w:t xml:space="preserve">podnikatele ČMZRB (viz </w:t>
      </w:r>
      <w:hyperlink r:id="rId9" w:history="1">
        <w:r w:rsidR="00A465AD" w:rsidRPr="00A465AD">
          <w:rPr>
            <w:rStyle w:val="Hypertextovodkaz"/>
          </w:rPr>
          <w:t>nabídka jejich programů</w:t>
        </w:r>
      </w:hyperlink>
      <w:r w:rsidR="00A465AD" w:rsidRPr="00A465AD">
        <w:t xml:space="preserve"> pod </w:t>
      </w:r>
      <w:r w:rsidR="009B5B55">
        <w:t>EU</w:t>
      </w:r>
      <w:r w:rsidR="00A465AD" w:rsidRPr="00A465AD">
        <w:t xml:space="preserve"> fondy vč. </w:t>
      </w:r>
      <w:proofErr w:type="spellStart"/>
      <w:r w:rsidR="00A465AD" w:rsidRPr="00A465AD">
        <w:t>Covidových</w:t>
      </w:r>
      <w:proofErr w:type="spellEnd"/>
      <w:r w:rsidR="00A465AD" w:rsidRPr="00A465AD">
        <w:t xml:space="preserve"> záruk) a</w:t>
      </w:r>
      <w:r w:rsidR="00AF4DB7">
        <w:t> </w:t>
      </w:r>
      <w:r w:rsidR="00A465AD" w:rsidRPr="00A465AD">
        <w:t>každá komerční banka, leasingové společnosti i finanční nebankovní instituce. Tyto</w:t>
      </w:r>
      <w:r w:rsidR="00AF4DB7">
        <w:t> </w:t>
      </w:r>
      <w:r w:rsidR="00A465AD" w:rsidRPr="00A465AD">
        <w:t>tzv.</w:t>
      </w:r>
      <w:r w:rsidR="00AF4DB7">
        <w:t> </w:t>
      </w:r>
      <w:hyperlink r:id="rId10" w:history="1">
        <w:r w:rsidR="00A465AD" w:rsidRPr="00A465AD">
          <w:rPr>
            <w:rStyle w:val="Hypertextovodkaz"/>
            <w:b/>
          </w:rPr>
          <w:t>finanční nástroje</w:t>
        </w:r>
      </w:hyperlink>
      <w:r w:rsidR="00A465AD" w:rsidRPr="00A465AD">
        <w:t xml:space="preserve"> (dále jen FN) zavedly i jiné </w:t>
      </w:r>
      <w:hyperlink r:id="rId11" w:history="1">
        <w:r w:rsidR="00A465AD" w:rsidRPr="00A465AD">
          <w:rPr>
            <w:rStyle w:val="Hypertextovodkaz"/>
          </w:rPr>
          <w:t>operační programy v </w:t>
        </w:r>
        <w:proofErr w:type="spellStart"/>
        <w:r w:rsidR="00A465AD" w:rsidRPr="00A465AD">
          <w:rPr>
            <w:rStyle w:val="Hypertextovodkaz"/>
          </w:rPr>
          <w:t>obd</w:t>
        </w:r>
        <w:proofErr w:type="spellEnd"/>
        <w:r w:rsidR="00A465AD" w:rsidRPr="00A465AD">
          <w:rPr>
            <w:rStyle w:val="Hypertextovodkaz"/>
          </w:rPr>
          <w:t>. 2014-20</w:t>
        </w:r>
      </w:hyperlink>
      <w:r w:rsidR="00A465AD" w:rsidRPr="00A465AD">
        <w:t xml:space="preserve"> a dále je budou rozšiřovat v </w:t>
      </w:r>
      <w:proofErr w:type="spellStart"/>
      <w:r w:rsidR="00A465AD" w:rsidRPr="00A465AD">
        <w:t>obd</w:t>
      </w:r>
      <w:proofErr w:type="spellEnd"/>
      <w:r w:rsidR="00A465AD" w:rsidRPr="00A465AD">
        <w:t xml:space="preserve">. 2021-27. 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Programy PGRLF využitelné pro žadatele jako alternativa k SP SZP nyní: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2" w:tooltip="Zemědělec" w:history="1">
        <w:r w:rsidR="00A465AD" w:rsidRPr="00A465AD">
          <w:rPr>
            <w:rStyle w:val="Hypertextovodkaz"/>
            <w:lang w:val="x-none"/>
          </w:rPr>
          <w:t>Zemědělec</w:t>
        </w:r>
      </w:hyperlink>
      <w:r w:rsidR="00A465AD" w:rsidRPr="00A465AD">
        <w:rPr>
          <w:lang w:val="x-none"/>
        </w:rPr>
        <w:t xml:space="preserve"> – hlavní program formou úrokové podpory komerčních úvěrů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3" w:tooltip="Podpora pojištění" w:history="1">
        <w:r w:rsidR="00A465AD" w:rsidRPr="00A465AD">
          <w:rPr>
            <w:rStyle w:val="Hypertextovodkaz"/>
            <w:lang w:val="x-none"/>
          </w:rPr>
          <w:t>Podpora pojištění</w:t>
        </w:r>
      </w:hyperlink>
      <w:r w:rsidR="00A465AD" w:rsidRPr="00A465AD">
        <w:rPr>
          <w:lang w:val="x-none"/>
        </w:rPr>
        <w:t xml:space="preserve"> – v rámci řízení rizik 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4" w:tooltip="Podpora pojištění lesních školek" w:history="1">
        <w:r w:rsidR="00A465AD" w:rsidRPr="00A465AD">
          <w:rPr>
            <w:rStyle w:val="Hypertextovodkaz"/>
            <w:lang w:val="x-none"/>
          </w:rPr>
          <w:t>Podpora pojištění lesních školek</w:t>
        </w:r>
      </w:hyperlink>
      <w:r w:rsidR="00A465AD" w:rsidRPr="00A465AD">
        <w:rPr>
          <w:lang w:val="x-none"/>
        </w:rPr>
        <w:t xml:space="preserve"> – v rámci řízení rizik 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5" w:tooltip="Podpora nákupu půdy" w:history="1">
        <w:r w:rsidR="00A465AD" w:rsidRPr="00A465AD">
          <w:rPr>
            <w:rStyle w:val="Hypertextovodkaz"/>
            <w:lang w:val="x-none"/>
          </w:rPr>
          <w:t>Podpora nákupu půdy </w:t>
        </w:r>
      </w:hyperlink>
      <w:r w:rsidR="00A465AD" w:rsidRPr="00A465AD">
        <w:rPr>
          <w:lang w:val="x-none"/>
        </w:rPr>
        <w:t xml:space="preserve"> –</w:t>
      </w:r>
      <w:r w:rsidR="00A465AD" w:rsidRPr="00A465AD">
        <w:t xml:space="preserve"> </w:t>
      </w:r>
      <w:r w:rsidR="00A465AD" w:rsidRPr="00A465AD">
        <w:rPr>
          <w:lang w:val="x-none"/>
        </w:rPr>
        <w:t>kombinace FN a dotace pro mladé začínající zem</w:t>
      </w:r>
      <w:r w:rsidR="00AF4DB7">
        <w:t>ědělce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6" w:tooltip="Technika pro hospodaření v lesích" w:history="1">
        <w:r w:rsidR="00A465AD" w:rsidRPr="00A465AD">
          <w:rPr>
            <w:rStyle w:val="Hypertextovodkaz"/>
            <w:lang w:val="x-none"/>
          </w:rPr>
          <w:t>Lesní hospodář</w:t>
        </w:r>
      </w:hyperlink>
      <w:r w:rsidR="00A465AD" w:rsidRPr="00A465AD">
        <w:rPr>
          <w:lang w:val="x-none"/>
        </w:rPr>
        <w:t xml:space="preserve"> – technika a technologie v lesním hospodářství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7" w:tooltip="Dřevozpracující provozovny" w:history="1">
        <w:r w:rsidR="00A465AD" w:rsidRPr="00A465AD">
          <w:rPr>
            <w:rStyle w:val="Hypertextovodkaz"/>
            <w:lang w:val="x-none"/>
          </w:rPr>
          <w:t>Zpracovatel dřeva</w:t>
        </w:r>
      </w:hyperlink>
      <w:r w:rsidR="00A465AD" w:rsidRPr="00A465AD">
        <w:rPr>
          <w:lang w:val="x-none"/>
        </w:rPr>
        <w:t xml:space="preserve"> – technické vybavení pro zpracování dřeva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8" w:tooltip="Pojištění lesních porostů" w:history="1">
        <w:r w:rsidR="00A465AD" w:rsidRPr="00A465AD">
          <w:rPr>
            <w:rStyle w:val="Hypertextovodkaz"/>
            <w:lang w:val="x-none"/>
          </w:rPr>
          <w:t>Pojištění lesních porostů</w:t>
        </w:r>
      </w:hyperlink>
      <w:r w:rsidR="00A465AD" w:rsidRPr="00A465AD">
        <w:rPr>
          <w:lang w:val="x-none"/>
        </w:rPr>
        <w:t> – v rámci řízení rizik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19" w:tooltip="Zpracovatel" w:history="1">
        <w:r w:rsidR="00A465AD" w:rsidRPr="00A465AD">
          <w:rPr>
            <w:rStyle w:val="Hypertextovodkaz"/>
            <w:lang w:val="x-none"/>
          </w:rPr>
          <w:t>Zpracovatel</w:t>
        </w:r>
      </w:hyperlink>
      <w:r w:rsidR="00A465AD" w:rsidRPr="00A465AD">
        <w:rPr>
          <w:lang w:val="x-none"/>
        </w:rPr>
        <w:t xml:space="preserve"> – zpracování zemědělských produktů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20" w:tgtFrame="_blank" w:history="1">
        <w:r w:rsidR="00A465AD" w:rsidRPr="00A465AD">
          <w:rPr>
            <w:rStyle w:val="Hypertextovodkaz"/>
            <w:lang w:val="x-none"/>
          </w:rPr>
          <w:t>Investiční úvěry Zemědělec</w:t>
        </w:r>
      </w:hyperlink>
      <w:r w:rsidR="00A465AD" w:rsidRPr="00A465AD">
        <w:rPr>
          <w:lang w:val="x-none"/>
        </w:rPr>
        <w:t xml:space="preserve"> – kombinace úvěru a dotace formou snížení jistiny 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21" w:tgtFrame="_blank" w:history="1">
        <w:r w:rsidR="00A465AD" w:rsidRPr="00A465AD">
          <w:rPr>
            <w:rStyle w:val="Hypertextovodkaz"/>
            <w:lang w:val="x-none"/>
          </w:rPr>
          <w:t>Investiční úvěry Lesnictví</w:t>
        </w:r>
      </w:hyperlink>
      <w:r w:rsidR="00A465AD" w:rsidRPr="00A465AD">
        <w:rPr>
          <w:lang w:val="x-none"/>
        </w:rPr>
        <w:t xml:space="preserve"> – kombinace úvěru a dotace formou snížení jistiny </w:t>
      </w:r>
    </w:p>
    <w:p w:rsidR="00A465AD" w:rsidRPr="00A465AD" w:rsidRDefault="00C1496B" w:rsidP="00A465AD">
      <w:pPr>
        <w:numPr>
          <w:ilvl w:val="0"/>
          <w:numId w:val="14"/>
        </w:numPr>
        <w:jc w:val="both"/>
        <w:rPr>
          <w:lang w:val="x-none"/>
        </w:rPr>
      </w:pPr>
      <w:hyperlink r:id="rId22" w:tgtFrame="_blank" w:history="1">
        <w:r w:rsidR="00A465AD" w:rsidRPr="00A465AD">
          <w:rPr>
            <w:rStyle w:val="Hypertextovodkaz"/>
            <w:lang w:val="x-none"/>
          </w:rPr>
          <w:t>PROVOZ 2020</w:t>
        </w:r>
      </w:hyperlink>
      <w:r w:rsidR="00A465AD" w:rsidRPr="00A465AD">
        <w:rPr>
          <w:lang w:val="x-none"/>
        </w:rPr>
        <w:t xml:space="preserve"> – mimořádný program podpory provozních úvěrů </w:t>
      </w:r>
    </w:p>
    <w:p w:rsidR="00A465AD" w:rsidRPr="00A465AD" w:rsidRDefault="00A465AD" w:rsidP="00A465AD">
      <w:pPr>
        <w:numPr>
          <w:ilvl w:val="0"/>
          <w:numId w:val="14"/>
        </w:numPr>
        <w:jc w:val="both"/>
        <w:rPr>
          <w:lang w:val="x-none"/>
        </w:rPr>
      </w:pPr>
      <w:r w:rsidRPr="00A465AD">
        <w:rPr>
          <w:lang w:val="x-none"/>
        </w:rPr>
        <w:t>a případné nové programy od roku 2022 resp. 2023.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>Dle dostupných analýz je poptávka po dotacích násobně vyšší než možnosti rozpočtů a</w:t>
      </w:r>
      <w:r w:rsidR="00AF4DB7">
        <w:t> </w:t>
      </w:r>
      <w:r w:rsidRPr="00A465AD">
        <w:t>zároveň dochází k tzv. tržnímu selhání a mezerám při financování subjektů (např.</w:t>
      </w:r>
      <w:r w:rsidR="00AF4DB7">
        <w:t> </w:t>
      </w:r>
      <w:r w:rsidRPr="00A465AD">
        <w:t>na</w:t>
      </w:r>
      <w:r w:rsidR="00AF4DB7">
        <w:t> </w:t>
      </w:r>
      <w:r w:rsidRPr="00A465AD">
        <w:t>bankovním trhu). Doporučení k zavedení této formy podpory vychází z těchto analýz:</w:t>
      </w:r>
    </w:p>
    <w:p w:rsidR="00A465AD" w:rsidRPr="00A465AD" w:rsidRDefault="00A465AD" w:rsidP="00A465AD">
      <w:pPr>
        <w:numPr>
          <w:ilvl w:val="0"/>
          <w:numId w:val="16"/>
        </w:numPr>
        <w:jc w:val="both"/>
        <w:rPr>
          <w:lang w:val="x-none"/>
        </w:rPr>
      </w:pPr>
      <w:r w:rsidRPr="00A465AD">
        <w:rPr>
          <w:lang w:val="x-none"/>
        </w:rPr>
        <w:t xml:space="preserve">ex-ante hodnocení FN: </w:t>
      </w:r>
      <w:hyperlink r:id="rId23" w:history="1">
        <w:r w:rsidRPr="00A465AD">
          <w:rPr>
            <w:rStyle w:val="Hypertextovodkaz"/>
            <w:lang w:val="x-none"/>
          </w:rPr>
          <w:t>1. část</w:t>
        </w:r>
      </w:hyperlink>
      <w:r w:rsidRPr="00A465AD">
        <w:rPr>
          <w:lang w:val="x-none"/>
        </w:rPr>
        <w:t xml:space="preserve"> (2019) a </w:t>
      </w:r>
      <w:hyperlink r:id="rId24" w:history="1">
        <w:r w:rsidRPr="00A465AD">
          <w:rPr>
            <w:rStyle w:val="Hypertextovodkaz"/>
            <w:lang w:val="x-none"/>
          </w:rPr>
          <w:t>2. část</w:t>
        </w:r>
      </w:hyperlink>
      <w:r w:rsidRPr="00A465AD">
        <w:rPr>
          <w:lang w:val="x-none"/>
        </w:rPr>
        <w:t xml:space="preserve"> (2020)</w:t>
      </w:r>
    </w:p>
    <w:p w:rsidR="00A465AD" w:rsidRPr="00A465AD" w:rsidRDefault="00A465AD" w:rsidP="00A465AD">
      <w:pPr>
        <w:numPr>
          <w:ilvl w:val="0"/>
          <w:numId w:val="16"/>
        </w:numPr>
        <w:jc w:val="both"/>
        <w:rPr>
          <w:lang w:val="x-none"/>
        </w:rPr>
      </w:pPr>
      <w:r w:rsidRPr="00A465AD">
        <w:rPr>
          <w:lang w:val="x-none"/>
        </w:rPr>
        <w:t>potvrzení výstupů i v rámci ex-ante hodnocení SP SZP (3. průběžná zpráva z června 2020) i SWOT analýza SP SZP</w:t>
      </w:r>
    </w:p>
    <w:p w:rsidR="00A465AD" w:rsidRPr="00A465AD" w:rsidRDefault="00C1496B" w:rsidP="00A465AD">
      <w:pPr>
        <w:numPr>
          <w:ilvl w:val="0"/>
          <w:numId w:val="16"/>
        </w:numPr>
        <w:jc w:val="both"/>
        <w:rPr>
          <w:lang w:val="x-none"/>
        </w:rPr>
      </w:pPr>
      <w:hyperlink r:id="rId25" w:history="1">
        <w:r w:rsidR="00A465AD" w:rsidRPr="00A465AD">
          <w:rPr>
            <w:rStyle w:val="Hypertextovodkaz"/>
            <w:lang w:val="x-none"/>
          </w:rPr>
          <w:t>posouzení MMR-NOK</w:t>
        </w:r>
      </w:hyperlink>
      <w:r w:rsidR="00A465AD" w:rsidRPr="00A465AD">
        <w:rPr>
          <w:lang w:val="x-none"/>
        </w:rPr>
        <w:t xml:space="preserve"> (2019)</w:t>
      </w:r>
    </w:p>
    <w:p w:rsidR="00A465AD" w:rsidRPr="00A465AD" w:rsidRDefault="00A465AD" w:rsidP="00A465AD">
      <w:pPr>
        <w:numPr>
          <w:ilvl w:val="0"/>
          <w:numId w:val="16"/>
        </w:numPr>
        <w:jc w:val="both"/>
        <w:rPr>
          <w:lang w:val="x-none"/>
        </w:rPr>
      </w:pPr>
      <w:r w:rsidRPr="00A465AD">
        <w:rPr>
          <w:lang w:val="x-none"/>
        </w:rPr>
        <w:t xml:space="preserve">analýzy EK a EIB: </w:t>
      </w:r>
      <w:hyperlink r:id="rId26" w:history="1">
        <w:r w:rsidRPr="00A465AD">
          <w:rPr>
            <w:rStyle w:val="Hypertextovodkaz"/>
            <w:lang w:val="x-none"/>
          </w:rPr>
          <w:t xml:space="preserve">zhodnocení </w:t>
        </w:r>
        <w:proofErr w:type="spellStart"/>
        <w:r w:rsidRPr="00A465AD">
          <w:rPr>
            <w:rStyle w:val="Hypertextovodkaz"/>
            <w:lang w:val="x-none"/>
          </w:rPr>
          <w:t>fin</w:t>
        </w:r>
        <w:proofErr w:type="spellEnd"/>
        <w:r w:rsidRPr="00A465AD">
          <w:rPr>
            <w:rStyle w:val="Hypertextovodkaz"/>
            <w:lang w:val="x-none"/>
          </w:rPr>
          <w:t>. potřeb ČR</w:t>
        </w:r>
      </w:hyperlink>
      <w:r w:rsidRPr="00A465AD">
        <w:rPr>
          <w:lang w:val="x-none"/>
        </w:rPr>
        <w:t xml:space="preserve"> (2020), </w:t>
      </w:r>
      <w:hyperlink r:id="rId27" w:history="1">
        <w:r w:rsidRPr="00A465AD">
          <w:rPr>
            <w:rStyle w:val="Hypertextovodkaz"/>
            <w:lang w:val="x-none"/>
          </w:rPr>
          <w:t xml:space="preserve">zhodnocení </w:t>
        </w:r>
        <w:proofErr w:type="spellStart"/>
        <w:r w:rsidRPr="00A465AD">
          <w:rPr>
            <w:rStyle w:val="Hypertextovodkaz"/>
            <w:lang w:val="x-none"/>
          </w:rPr>
          <w:t>fin</w:t>
        </w:r>
        <w:proofErr w:type="spellEnd"/>
        <w:r w:rsidRPr="00A465AD">
          <w:rPr>
            <w:rStyle w:val="Hypertextovodkaz"/>
            <w:lang w:val="x-none"/>
          </w:rPr>
          <w:t>. mezery celé EU</w:t>
        </w:r>
      </w:hyperlink>
      <w:r w:rsidRPr="00A465AD">
        <w:rPr>
          <w:lang w:val="x-none"/>
        </w:rPr>
        <w:t xml:space="preserve"> (2018), </w:t>
      </w:r>
    </w:p>
    <w:p w:rsidR="00A465AD" w:rsidRPr="00A465AD" w:rsidRDefault="00A465AD" w:rsidP="00A465AD">
      <w:pPr>
        <w:numPr>
          <w:ilvl w:val="0"/>
          <w:numId w:val="16"/>
        </w:numPr>
        <w:jc w:val="both"/>
        <w:rPr>
          <w:lang w:val="x-none"/>
        </w:rPr>
      </w:pPr>
      <w:r w:rsidRPr="00A465AD">
        <w:rPr>
          <w:lang w:val="x-none"/>
        </w:rPr>
        <w:t>předběžné analýzy UZEI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Dopad na rozpočet SP SZP</w:t>
      </w:r>
    </w:p>
    <w:p w:rsidR="00A465AD" w:rsidRPr="00A465AD" w:rsidRDefault="00A465AD" w:rsidP="00A465AD">
      <w:pPr>
        <w:jc w:val="both"/>
      </w:pPr>
      <w:r w:rsidRPr="00A465AD">
        <w:lastRenderedPageBreak/>
        <w:t xml:space="preserve">Celkově jde o prostředky ve výši 3,3-4,4 mld. Kč oproti potřebám ve výši 16 mld. Kč, lze jimi ovšem podpořit projekty v hodnotě až 15-45 mld. Kč (přepočteno na 5leté období). </w:t>
      </w:r>
    </w:p>
    <w:p w:rsidR="00A465AD" w:rsidRPr="00A465AD" w:rsidRDefault="00A465AD" w:rsidP="00A465AD">
      <w:pPr>
        <w:jc w:val="both"/>
      </w:pPr>
      <w:r w:rsidRPr="00A465AD">
        <w:t>Při vyjádření vůči celkovému rozpočtu SP SZP jde o 1 až 2 %, tedy 98-99 % stále zůstává pro žadatele dotační formou.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>Dotační forma podpory má také své nevýhody: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>větší administrativní náročnost, hrozba kontrol a sankcí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>doba udržitelnosti a nakládání s majetkem v jejím průběhu dle pravidel (nemožnost/omezení prodeje, pronájmu či poskytování služeb)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>povinnost výběrových řízení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>prosakování těchto podpor směrem k dodavatelům investic a služeb, a tím zvyšování cen zboží a služeb pro zem.</w:t>
      </w:r>
    </w:p>
    <w:p w:rsidR="00A465AD" w:rsidRPr="00A465AD" w:rsidRDefault="00A465AD" w:rsidP="00A465AD">
      <w:pPr>
        <w:numPr>
          <w:ilvl w:val="0"/>
          <w:numId w:val="7"/>
        </w:numPr>
        <w:jc w:val="both"/>
      </w:pPr>
      <w:r w:rsidRPr="00A465AD">
        <w:t>odpisy pouze části pořízeného majetku apod.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>Popsaný stav, tedy výrazně vyšší požadavky na financování než je navrhovaný rozpočet, by při podpoře pouze dotační formou nutně vedl k </w:t>
      </w:r>
      <w:r w:rsidRPr="00A465AD">
        <w:rPr>
          <w:b/>
        </w:rPr>
        <w:t xml:space="preserve">omezení podpor </w:t>
      </w:r>
      <w:r w:rsidRPr="00A465AD">
        <w:t xml:space="preserve">ve srovnání s PRV 2014-20 (omezení výše podpor – snížením maximální výše dotace; snížení % dotace – např. na 30 % ze </w:t>
      </w:r>
      <w:proofErr w:type="spellStart"/>
      <w:r w:rsidRPr="00A465AD">
        <w:t>způs</w:t>
      </w:r>
      <w:proofErr w:type="spellEnd"/>
      <w:r w:rsidRPr="00A465AD">
        <w:t xml:space="preserve">. výdajů; omezení žadatelů – dle různých kategorií; redukce způsobilých výdajů; přesun podpory na jiný subjekt – stroje a technika do programů PGRLF; nespuštění intervencí s nižší prioritou, na které nezbude rozpočet SP SZP atd.). 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Výhody zavedení vratné formy podpory oproti dotacím</w:t>
      </w:r>
    </w:p>
    <w:p w:rsidR="00A465AD" w:rsidRPr="00F77A23" w:rsidRDefault="00A465AD" w:rsidP="00A465AD">
      <w:pPr>
        <w:jc w:val="both"/>
      </w:pPr>
      <w:r w:rsidRPr="00F77A23">
        <w:t xml:space="preserve">Výhodou půjček a záruk (= vratné formy podpory) je, že problém limitovaného rozpočtu dokáží částečně řešit právě díky návratnosti prostředků a opakovanému použití těchto prostředků, stejně jako přilákání a využití dalších prostředků od bank. Je tedy možné z určené alokace podpořit výrazně více projektů a žadatelů než prostřednictvím dotací, anebo snížit požadavky na rozpočet. 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>Je tedy možné podpořit i ty, kteří neuspějí při žádání o dotaci (ať už kvůli nedostatečné alokaci nebo administrativní náročnosti celého procesu) či nabídka na bankovním trhu by</w:t>
      </w:r>
      <w:r w:rsidR="00AF4DB7">
        <w:t> </w:t>
      </w:r>
      <w:r w:rsidRPr="00A465AD">
        <w:t>pro</w:t>
      </w:r>
      <w:r w:rsidR="00AF4DB7">
        <w:t> </w:t>
      </w:r>
      <w:r w:rsidRPr="00A465AD">
        <w:t>ně byla příliš drahá/nevýhodná. Ovšem ani touto formou nemůže být podpořen každý žadatel, stejně jako je tomu u všech podpor – ať už z PRV či jiných zdrojů.</w:t>
      </w:r>
    </w:p>
    <w:p w:rsidR="00A465AD" w:rsidRPr="00A465AD" w:rsidRDefault="00A465AD" w:rsidP="00A465AD">
      <w:pPr>
        <w:jc w:val="both"/>
      </w:pPr>
    </w:p>
    <w:p w:rsidR="00A465AD" w:rsidRPr="00EB4892" w:rsidRDefault="00F77A23" w:rsidP="00A465AD">
      <w:pPr>
        <w:jc w:val="both"/>
      </w:pPr>
      <w:r w:rsidRPr="00EB4892">
        <w:t>S</w:t>
      </w:r>
      <w:r w:rsidR="00A465AD" w:rsidRPr="00EB4892">
        <w:t xml:space="preserve">nazší a rychlejší administrace žádostí (bez bod. kritérií, bez indikátorů nestanovených EK, bez výběrových řízení, jednodušší pravidla). </w:t>
      </w:r>
    </w:p>
    <w:p w:rsidR="00A465AD" w:rsidRPr="00EB4892" w:rsidRDefault="00A465AD" w:rsidP="00A465AD">
      <w:pPr>
        <w:jc w:val="both"/>
      </w:pPr>
      <w:r w:rsidRPr="00EB4892">
        <w:t xml:space="preserve">Větší flexibilita podmínek i nástroje jako takového a výplata </w:t>
      </w:r>
      <w:proofErr w:type="spellStart"/>
      <w:r w:rsidRPr="00EB4892">
        <w:t>fin</w:t>
      </w:r>
      <w:proofErr w:type="spellEnd"/>
      <w:r w:rsidRPr="00EB4892">
        <w:t xml:space="preserve">. </w:t>
      </w:r>
      <w:proofErr w:type="gramStart"/>
      <w:r w:rsidRPr="00EB4892">
        <w:t>prostředků</w:t>
      </w:r>
      <w:proofErr w:type="gramEnd"/>
      <w:r w:rsidRPr="00EB4892">
        <w:t xml:space="preserve"> před realizací projektu, bez doby udržitelnosti, možnost nákupu „z druhé ruky“ i následné volné nakládání (prodej, pronájem, sdílení), tj. efektivnější využívání majetku</w:t>
      </w:r>
      <w:r w:rsidR="003829D5" w:rsidRPr="00EB4892">
        <w:t>.</w:t>
      </w:r>
      <w:r w:rsidRPr="00EB4892">
        <w:t xml:space="preserve"> 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Nevýhody a rizika zavedení vratné formy podpory</w:t>
      </w:r>
    </w:p>
    <w:p w:rsidR="00A465AD" w:rsidRPr="00A465AD" w:rsidRDefault="00A465AD" w:rsidP="00A465AD">
      <w:pPr>
        <w:jc w:val="both"/>
      </w:pPr>
      <w:r w:rsidRPr="002E07D0">
        <w:t>Negativy zavedení FN pod SP SZP (z EZFRV)</w:t>
      </w:r>
      <w:r w:rsidRPr="00A465AD">
        <w:rPr>
          <w:b/>
        </w:rPr>
        <w:t xml:space="preserve"> </w:t>
      </w:r>
      <w:r w:rsidRPr="00A465AD">
        <w:t xml:space="preserve">jsou zejména potřeba nastavení nových finančních a datových toků, nastavení nových procesů, zásah do některého ze současných fungujících programů doporučeného správce (tedy PGRLF) a jeho možné znepřehlednění. Obavy z nedovolené podpory a nevole bankovního trhu v případě velmi nízkých úrokových měr a v neposlední řadě i potřeba posílení kapacit PGRLF. </w:t>
      </w:r>
    </w:p>
    <w:p w:rsidR="00A465AD" w:rsidRPr="00A465AD" w:rsidRDefault="00A465AD" w:rsidP="00A465AD">
      <w:pPr>
        <w:jc w:val="both"/>
      </w:pPr>
      <w:r w:rsidRPr="00A465AD">
        <w:t xml:space="preserve">Současné období, kdy je na trhu dostatek finančních prostředků a tržní úrokové míry jsou relativně nízké, nenabízí tak </w:t>
      </w:r>
      <w:r w:rsidR="001F6FCF">
        <w:t xml:space="preserve">FN </w:t>
      </w:r>
      <w:r w:rsidRPr="00A465AD">
        <w:t>zřetelné výhody pro zemědělce. Pokud se situace změní a</w:t>
      </w:r>
      <w:r w:rsidR="00AF4DB7">
        <w:t> </w:t>
      </w:r>
      <w:r w:rsidRPr="00A465AD">
        <w:t>bankovní úvěry a garance podraží, či banky budou méně ochotné úvěrovat zemědělský sektor, bude kladný efekt zvýhodněných FN financovaných z EZFRV pro každého žadatele výraznější.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 xml:space="preserve">Rizikem by mohla být i snaha přiblížit se administrativně dosavadním dotačním postupům. Např. z </w:t>
      </w:r>
      <w:r w:rsidR="001804AF">
        <w:t>obavy</w:t>
      </w:r>
      <w:r w:rsidR="001804AF" w:rsidRPr="00A465AD">
        <w:t xml:space="preserve"> </w:t>
      </w:r>
      <w:r w:rsidRPr="00A465AD">
        <w:t xml:space="preserve">z kontrol NKÚ a EÚD na straně správce, </w:t>
      </w:r>
      <w:proofErr w:type="spellStart"/>
      <w:r w:rsidRPr="00A465AD">
        <w:t>SZIFu</w:t>
      </w:r>
      <w:proofErr w:type="spellEnd"/>
      <w:r w:rsidRPr="00A465AD">
        <w:t xml:space="preserve"> či Řídicího orgánu. To</w:t>
      </w:r>
      <w:r w:rsidR="00AF4DB7">
        <w:t> </w:t>
      </w:r>
      <w:r w:rsidRPr="00A465AD">
        <w:t>by</w:t>
      </w:r>
      <w:r w:rsidR="00AF4DB7">
        <w:t> </w:t>
      </w:r>
      <w:r w:rsidRPr="00A465AD">
        <w:t>následně mohlo vést ke zbytečnému ztížení a prodloužení lhůt u těchto nových programů financovaných z EZFRV ve srovnání s nyní fungujícími národními programy PGRLF. Zároveň současné programy PGRLF dobře fungují, jak ukázal např. příjem v novém programu Provoz 2020 a tak by větší změny či úpravy kvůli pravidlům EZFRV mohly být kontraproduktivní.</w:t>
      </w:r>
    </w:p>
    <w:p w:rsidR="00A465AD" w:rsidRPr="00A465AD" w:rsidRDefault="00A465AD" w:rsidP="00A465AD">
      <w:pPr>
        <w:jc w:val="both"/>
      </w:pPr>
      <w:r w:rsidRPr="00A465AD">
        <w:lastRenderedPageBreak/>
        <w:t>Toto riziko je možné vyřešit posílením aktuálních programů a kapacit PGRLF.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u w:val="single"/>
        </w:rPr>
      </w:pPr>
      <w:r w:rsidRPr="00A465AD">
        <w:rPr>
          <w:u w:val="single"/>
        </w:rPr>
        <w:t>Jak by takový nástroj mohl vypadat</w:t>
      </w:r>
    </w:p>
    <w:p w:rsidR="00A465AD" w:rsidRPr="00A465AD" w:rsidRDefault="00A465AD" w:rsidP="00A465AD">
      <w:pPr>
        <w:jc w:val="both"/>
      </w:pPr>
      <w:r w:rsidRPr="00A465AD">
        <w:t>Zvýhodněný dlouhodobý úvěr, jednoduchý a srozumitelný nástroj bez dalších poplatků. Výše</w:t>
      </w:r>
      <w:r w:rsidR="00AF4DB7">
        <w:t> </w:t>
      </w:r>
      <w:r w:rsidRPr="00A465AD">
        <w:t>zvýhodněného úvěru max. 25 mil. Kč, minimální výše nemusí být stanovena, ale musí dávat ekonomicky smysl i pro správce – typicky 0,5 mil. Kč. Úroková míra stanovena na</w:t>
      </w:r>
      <w:r w:rsidR="00AF4DB7">
        <w:t> </w:t>
      </w:r>
      <w:r w:rsidRPr="00A465AD">
        <w:t>základě rizikového hodnocení žadatele, bez poplatků na správu či marže jako u bank.</w:t>
      </w:r>
    </w:p>
    <w:p w:rsidR="00A465AD" w:rsidRPr="00A465AD" w:rsidRDefault="00A465AD" w:rsidP="00A465AD">
      <w:pPr>
        <w:jc w:val="both"/>
      </w:pPr>
      <w:r w:rsidRPr="00A465AD">
        <w:t xml:space="preserve">Flexibilní podmínky v jednotlivých kolech, která budou delší či častější, než 1x za rok. 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  <w:r w:rsidRPr="00A465AD">
        <w:t>V případě mladých začínajících zemědělců je možná i kombinace dotace a záruky. Místo dotační podpory ve výši 1,5 mil. Kč (resp. 2,3 mil. pro zpracovatele, jak je navrženo v SP SZP), by mladý začínající zemědělec mohl získat do 1 mil. Kč dotaci a k tomu záruku až</w:t>
      </w:r>
      <w:r w:rsidR="00AF4DB7">
        <w:t> </w:t>
      </w:r>
      <w:r w:rsidRPr="00A465AD">
        <w:t>5</w:t>
      </w:r>
      <w:r w:rsidR="00AF4DB7">
        <w:t> </w:t>
      </w:r>
      <w:r w:rsidRPr="00A465AD">
        <w:t>mil. (zpracovatel i 10 mil. – záleží čistě na rozložení s tím, že záruka může být až 8x vyšší oproti dotaci).</w:t>
      </w:r>
    </w:p>
    <w:p w:rsidR="00A465AD" w:rsidRPr="00A465AD" w:rsidRDefault="00A465AD" w:rsidP="00A465AD">
      <w:pPr>
        <w:jc w:val="both"/>
      </w:pPr>
      <w:r w:rsidRPr="00A465AD">
        <w:t xml:space="preserve">Vše jednoduše formou tzv. </w:t>
      </w:r>
      <w:proofErr w:type="spellStart"/>
      <w:r w:rsidRPr="00A465AD">
        <w:t>capital</w:t>
      </w:r>
      <w:proofErr w:type="spellEnd"/>
      <w:r w:rsidRPr="00A465AD">
        <w:t xml:space="preserve"> </w:t>
      </w:r>
      <w:proofErr w:type="spellStart"/>
      <w:r w:rsidRPr="00A465AD">
        <w:t>rebate</w:t>
      </w:r>
      <w:proofErr w:type="spellEnd"/>
      <w:r w:rsidRPr="00A465AD">
        <w:t>, tj. odpuštění splátek ke konci úvěru, za podmínek oné záruky u PGRLF a nikoli dotačních podmínek. Doplněno poradenstvím a vzděláváním z prostředků SP SZP.</w:t>
      </w: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  <w:rPr>
          <w:b/>
          <w:u w:val="single"/>
        </w:rPr>
      </w:pPr>
      <w:r w:rsidRPr="00A465AD">
        <w:rPr>
          <w:b/>
          <w:u w:val="single"/>
        </w:rPr>
        <w:t xml:space="preserve">Navržené varianty: </w:t>
      </w:r>
    </w:p>
    <w:p w:rsidR="00A465AD" w:rsidRPr="00A465AD" w:rsidRDefault="00A465AD" w:rsidP="00A465AD">
      <w:pPr>
        <w:jc w:val="both"/>
      </w:pPr>
      <w:r w:rsidRPr="00A465AD">
        <w:rPr>
          <w:b/>
        </w:rPr>
        <w:t>Provedené ex-ante hodnocení doporučilo jako nejvhodnější</w:t>
      </w:r>
      <w:r w:rsidRPr="00A465AD">
        <w:t xml:space="preserve"> </w:t>
      </w:r>
      <w:r w:rsidRPr="00A465AD">
        <w:rPr>
          <w:b/>
        </w:rPr>
        <w:t>4 intervence</w:t>
      </w:r>
      <w:r w:rsidRPr="00A465AD">
        <w:t xml:space="preserve">: </w:t>
      </w:r>
    </w:p>
    <w:p w:rsidR="00A465AD" w:rsidRPr="00A465AD" w:rsidRDefault="00A465AD" w:rsidP="00A465AD">
      <w:pPr>
        <w:numPr>
          <w:ilvl w:val="0"/>
          <w:numId w:val="2"/>
        </w:numPr>
        <w:jc w:val="both"/>
        <w:rPr>
          <w:b/>
          <w:u w:val="single"/>
          <w:lang w:val="x-none"/>
        </w:rPr>
      </w:pPr>
      <w:r w:rsidRPr="00A465AD">
        <w:rPr>
          <w:b/>
          <w:lang w:val="x-none"/>
        </w:rPr>
        <w:t xml:space="preserve">Investice do zem. podniků, </w:t>
      </w:r>
    </w:p>
    <w:p w:rsidR="00A465AD" w:rsidRPr="00A465AD" w:rsidRDefault="00A465AD" w:rsidP="00A465AD">
      <w:pPr>
        <w:numPr>
          <w:ilvl w:val="0"/>
          <w:numId w:val="2"/>
        </w:numPr>
        <w:jc w:val="both"/>
        <w:rPr>
          <w:b/>
          <w:u w:val="single"/>
          <w:lang w:val="x-none"/>
        </w:rPr>
      </w:pPr>
      <w:r w:rsidRPr="00A465AD">
        <w:rPr>
          <w:b/>
          <w:lang w:val="x-none"/>
        </w:rPr>
        <w:t xml:space="preserve">Zpracování zem. produktů, </w:t>
      </w:r>
    </w:p>
    <w:p w:rsidR="00A465AD" w:rsidRPr="00A465AD" w:rsidRDefault="00A465AD" w:rsidP="00A465AD">
      <w:pPr>
        <w:numPr>
          <w:ilvl w:val="0"/>
          <w:numId w:val="2"/>
        </w:numPr>
        <w:jc w:val="both"/>
        <w:rPr>
          <w:b/>
          <w:u w:val="single"/>
          <w:lang w:val="x-none"/>
        </w:rPr>
      </w:pPr>
      <w:r w:rsidRPr="00A465AD">
        <w:rPr>
          <w:b/>
          <w:lang w:val="x-none"/>
        </w:rPr>
        <w:t xml:space="preserve">Zahájení činnosti mladých zemědělců, </w:t>
      </w:r>
    </w:p>
    <w:p w:rsidR="00A465AD" w:rsidRPr="00A465AD" w:rsidRDefault="00A465AD" w:rsidP="00A465AD">
      <w:pPr>
        <w:numPr>
          <w:ilvl w:val="0"/>
          <w:numId w:val="2"/>
        </w:numPr>
        <w:jc w:val="both"/>
        <w:rPr>
          <w:b/>
          <w:u w:val="single"/>
          <w:lang w:val="x-none"/>
        </w:rPr>
      </w:pPr>
      <w:r w:rsidRPr="00A465AD">
        <w:rPr>
          <w:b/>
          <w:lang w:val="x-none"/>
        </w:rPr>
        <w:t xml:space="preserve">Investice do nezemědělských činností </w:t>
      </w:r>
    </w:p>
    <w:p w:rsidR="00A465AD" w:rsidRPr="00A465AD" w:rsidRDefault="00A465AD" w:rsidP="00A465AD">
      <w:pPr>
        <w:jc w:val="both"/>
        <w:rPr>
          <w:u w:val="single"/>
        </w:rPr>
      </w:pPr>
    </w:p>
    <w:p w:rsidR="00A465AD" w:rsidRPr="00A465AD" w:rsidRDefault="00A465AD" w:rsidP="00A465AD">
      <w:pPr>
        <w:jc w:val="both"/>
      </w:pPr>
    </w:p>
    <w:p w:rsidR="00A465AD" w:rsidRPr="00A465AD" w:rsidRDefault="00A465AD" w:rsidP="00A465AD">
      <w:pPr>
        <w:jc w:val="both"/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A465AD" w:rsidRPr="00A465AD" w:rsidTr="004A1A10">
        <w:tc>
          <w:tcPr>
            <w:tcW w:w="9212" w:type="dxa"/>
            <w:shd w:val="clear" w:color="auto" w:fill="EAF1DD"/>
          </w:tcPr>
          <w:p w:rsidR="00A465AD" w:rsidRPr="00A465AD" w:rsidRDefault="00A465AD" w:rsidP="00A465AD">
            <w:pPr>
              <w:jc w:val="both"/>
              <w:rPr>
                <w:b/>
              </w:rPr>
            </w:pPr>
            <w:r w:rsidRPr="00A465AD">
              <w:rPr>
                <w:b/>
              </w:rPr>
              <w:t>Varianta A – Spuštění FN dle doporučení od začátku SP SZP (2023)</w:t>
            </w:r>
          </w:p>
          <w:p w:rsidR="0086030B" w:rsidRDefault="00A465AD" w:rsidP="00A465AD">
            <w:pPr>
              <w:jc w:val="both"/>
            </w:pPr>
            <w:r w:rsidRPr="00A465AD">
              <w:t xml:space="preserve">Až 4 intervence: Investice do zem. podniků, Zpracování zem. </w:t>
            </w:r>
            <w:proofErr w:type="gramStart"/>
            <w:r w:rsidRPr="00A465AD">
              <w:t>produktů</w:t>
            </w:r>
            <w:proofErr w:type="gramEnd"/>
            <w:r w:rsidRPr="00A465AD">
              <w:t>, Zahájení činnosti mladých zemědělců, Investice do nezemědělských činností pod správou PGRLF.</w:t>
            </w:r>
          </w:p>
          <w:p w:rsidR="0086030B" w:rsidRDefault="0086030B" w:rsidP="00A465AD">
            <w:pPr>
              <w:jc w:val="both"/>
            </w:pP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Výhody</w:t>
            </w:r>
            <w:r w:rsidRPr="00A465AD">
              <w:t xml:space="preserve"> – Maximalizace výše zmíněných efektů a pozitiv, synergické efekty se současnými programy PGRLF. Přechodné období pro přípravu a komunikaci FN s veřejností.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Potřeby</w:t>
            </w:r>
            <w:r w:rsidRPr="00A465AD">
              <w:t xml:space="preserve"> – Uzavření </w:t>
            </w:r>
            <w:r w:rsidRPr="00A465AD">
              <w:rPr>
                <w:i/>
              </w:rPr>
              <w:t>Dohody o správě FN</w:t>
            </w:r>
            <w:r w:rsidRPr="00A465AD">
              <w:t xml:space="preserve"> mezi MZe a PGRLF, nastavení kontrolního a</w:t>
            </w:r>
            <w:r w:rsidR="00AF4DB7">
              <w:t> </w:t>
            </w:r>
            <w:r w:rsidRPr="00A465AD">
              <w:t>monitorovacího systému mezi SZIF a PGRLF, posílení rozpočtu a kapacit PGRLF, nastavení finančních a datových toků, zahájit komunikační kampaň.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Rizika</w:t>
            </w:r>
            <w:r w:rsidRPr="00A465AD">
              <w:t xml:space="preserve"> – Nestihneme nastavit a připravit vše potřebné do začátku 2023.</w:t>
            </w:r>
          </w:p>
          <w:p w:rsidR="00A465AD" w:rsidRPr="00A465AD" w:rsidRDefault="00A465AD" w:rsidP="00A465AD">
            <w:pPr>
              <w:jc w:val="both"/>
              <w:rPr>
                <w:b/>
              </w:rPr>
            </w:pPr>
          </w:p>
          <w:p w:rsidR="00A465AD" w:rsidRPr="00A465AD" w:rsidRDefault="00A465AD" w:rsidP="00A465AD">
            <w:pPr>
              <w:jc w:val="both"/>
              <w:rPr>
                <w:b/>
              </w:rPr>
            </w:pPr>
            <w:r w:rsidRPr="00A465AD">
              <w:rPr>
                <w:b/>
              </w:rPr>
              <w:t xml:space="preserve">Varianta B – Podpora národních FN a pozdější spuštění FN pod SP SZP (např. od 2025) </w:t>
            </w:r>
          </w:p>
          <w:p w:rsidR="00A465AD" w:rsidRPr="00A465AD" w:rsidRDefault="00A465AD" w:rsidP="00A465AD">
            <w:pPr>
              <w:jc w:val="both"/>
            </w:pPr>
            <w:r w:rsidRPr="00A465AD">
              <w:t>B1: Přesun některých oblastí (stroje a technika) do národních programů PGRLF a zároveň omezení dotační podpory v rámci SP SZP. Souběžně s tím posílení rozpočtu a zejména kapacit PGRLF</w:t>
            </w:r>
            <w:r w:rsidR="001804AF">
              <w:t>.</w:t>
            </w:r>
          </w:p>
          <w:p w:rsidR="00A465AD" w:rsidRPr="00A465AD" w:rsidRDefault="00A465AD" w:rsidP="00A465AD">
            <w:pPr>
              <w:jc w:val="both"/>
            </w:pPr>
            <w:r w:rsidRPr="00A465AD">
              <w:t xml:space="preserve">B2: Pozdější spuštění FN pod SP SZP v průběhu programového období např. od 2025. </w:t>
            </w:r>
          </w:p>
          <w:p w:rsidR="0086030B" w:rsidRDefault="0086030B" w:rsidP="00A465AD">
            <w:pPr>
              <w:jc w:val="both"/>
              <w:rPr>
                <w:u w:val="single"/>
              </w:rPr>
            </w:pP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Výhody</w:t>
            </w:r>
            <w:r w:rsidRPr="00A465AD">
              <w:t xml:space="preserve"> – Jako u varianty 1, ovšem obtížnější komunikace této „hybridní“ varianty – 2 roky dotace, 2 roky FN, která může být pro zemědělce méně přehledná.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Potřeby</w:t>
            </w:r>
            <w:r w:rsidRPr="00A465AD">
              <w:t xml:space="preserve"> – Jako u varianty 1. Oproti variantě 1 by komunikační kampaň musela být více fragmentovaná, lépe cílená a delší.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Rizika</w:t>
            </w:r>
            <w:r w:rsidRPr="00A465AD">
              <w:t xml:space="preserve"> – Obtížnější přechod z dotací na FN v průběhu programového období. A z toho vyplývající změna systému,</w:t>
            </w:r>
            <w:r w:rsidRPr="00A465AD" w:rsidDel="001977B0">
              <w:t xml:space="preserve"> </w:t>
            </w:r>
            <w:r w:rsidRPr="00A465AD">
              <w:t xml:space="preserve">myšlení a podmínek v průběhu implementace. Nižší disponibilní rozpočet pro FN (o dotačně vyplacenou část), a tedy menší rozsah podpory a menší objem znovupoužitelných </w:t>
            </w:r>
            <w:proofErr w:type="spellStart"/>
            <w:r w:rsidRPr="00A465AD">
              <w:t>fin</w:t>
            </w:r>
            <w:proofErr w:type="spellEnd"/>
            <w:r w:rsidRPr="00A465AD">
              <w:t xml:space="preserve">. </w:t>
            </w:r>
            <w:proofErr w:type="gramStart"/>
            <w:r w:rsidRPr="00A465AD">
              <w:t>prostředků</w:t>
            </w:r>
            <w:proofErr w:type="gramEnd"/>
            <w:r w:rsidRPr="00A465AD">
              <w:t xml:space="preserve">. 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Nevýhody</w:t>
            </w:r>
            <w:r w:rsidRPr="00A465AD">
              <w:t xml:space="preserve"> - Spojené náklady na úpravu a provoz obou systémů vč. nároků na kapacity </w:t>
            </w:r>
            <w:proofErr w:type="spellStart"/>
            <w:r w:rsidRPr="00A465AD">
              <w:t>SZIFu</w:t>
            </w:r>
            <w:proofErr w:type="spellEnd"/>
            <w:r w:rsidRPr="00A465AD">
              <w:t>.</w:t>
            </w:r>
          </w:p>
          <w:p w:rsidR="00A465AD" w:rsidRPr="00A465AD" w:rsidRDefault="00A465AD" w:rsidP="00A465AD">
            <w:pPr>
              <w:jc w:val="both"/>
              <w:rPr>
                <w:b/>
              </w:rPr>
            </w:pPr>
          </w:p>
          <w:p w:rsidR="00A465AD" w:rsidRPr="00A465AD" w:rsidRDefault="00A465AD" w:rsidP="00A465AD">
            <w:pPr>
              <w:jc w:val="both"/>
              <w:rPr>
                <w:b/>
              </w:rPr>
            </w:pPr>
            <w:r w:rsidRPr="00A465AD">
              <w:rPr>
                <w:b/>
              </w:rPr>
              <w:t xml:space="preserve">Varianta C – </w:t>
            </w:r>
            <w:proofErr w:type="spellStart"/>
            <w:r w:rsidRPr="00A465AD">
              <w:rPr>
                <w:b/>
              </w:rPr>
              <w:t>Neimplementace</w:t>
            </w:r>
            <w:proofErr w:type="spellEnd"/>
            <w:r w:rsidRPr="00A465AD">
              <w:rPr>
                <w:b/>
              </w:rPr>
              <w:t xml:space="preserve"> FN a zachování pouze dotační formy podpory z EZFRV</w:t>
            </w:r>
          </w:p>
          <w:p w:rsidR="00A465AD" w:rsidRPr="00A465AD" w:rsidRDefault="00A465AD" w:rsidP="00A465AD">
            <w:pPr>
              <w:jc w:val="both"/>
            </w:pPr>
            <w:r w:rsidRPr="00A465AD">
              <w:lastRenderedPageBreak/>
              <w:t xml:space="preserve">Výrazné omezení dotační podpory (dle </w:t>
            </w:r>
            <w:proofErr w:type="spellStart"/>
            <w:r w:rsidRPr="00A465AD">
              <w:t>prioritizace</w:t>
            </w:r>
            <w:proofErr w:type="spellEnd"/>
            <w:r w:rsidRPr="00A465AD">
              <w:t xml:space="preserve"> a možností rozpočtu, což by vedlo k vyškrtnutí některých navržených intervencí a snížení % dotace); přesun některých oblastí (stroje a technika) do národních programů PGRLF (financování pouze z kapitoly MZe bez podílu z EZFRV). Vysvětlení EK proč jsme</w:t>
            </w:r>
            <w:r w:rsidR="00BC4CC9">
              <w:t xml:space="preserve"> </w:t>
            </w:r>
            <w:r w:rsidRPr="00A465AD">
              <w:t>k implementaci nepřistoupili.</w:t>
            </w:r>
          </w:p>
          <w:p w:rsidR="00A465AD" w:rsidRPr="00A465AD" w:rsidRDefault="00A465AD" w:rsidP="00A465AD">
            <w:pPr>
              <w:jc w:val="both"/>
              <w:rPr>
                <w:u w:val="single"/>
              </w:rPr>
            </w:pP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Nevýhody</w:t>
            </w:r>
            <w:r w:rsidRPr="00A465AD">
              <w:t xml:space="preserve"> – Neudržitelnost financování, omezení podpory při zachování velké administrativní náročnosti a vysoké nákladovosti současného administrativního a</w:t>
            </w:r>
            <w:r w:rsidR="00AF4DB7">
              <w:t> </w:t>
            </w:r>
            <w:r w:rsidRPr="00A465AD">
              <w:t xml:space="preserve">kontrolního systému. </w:t>
            </w:r>
          </w:p>
          <w:p w:rsidR="00A465AD" w:rsidRPr="00A465AD" w:rsidRDefault="00A465AD" w:rsidP="00A465AD">
            <w:pPr>
              <w:jc w:val="both"/>
            </w:pPr>
            <w:r w:rsidRPr="00A465AD">
              <w:rPr>
                <w:u w:val="single"/>
              </w:rPr>
              <w:t>Potřeby</w:t>
            </w:r>
            <w:r w:rsidRPr="00A465AD">
              <w:t xml:space="preserve"> – Zajistit financování pro relevantní intervence z jiných zdrojů, např. zajistit dostatečný převod z I. pilíře či zvýšené kofinancování ze SR.</w:t>
            </w:r>
          </w:p>
          <w:p w:rsidR="00A465AD" w:rsidRPr="00A465AD" w:rsidRDefault="00A465AD" w:rsidP="00E36082">
            <w:pPr>
              <w:jc w:val="both"/>
            </w:pPr>
            <w:r w:rsidRPr="00A465AD">
              <w:rPr>
                <w:u w:val="single"/>
              </w:rPr>
              <w:t>Rizika</w:t>
            </w:r>
            <w:r w:rsidRPr="00A465AD">
              <w:t xml:space="preserve"> –</w:t>
            </w:r>
            <w:r w:rsidR="00E36082">
              <w:t xml:space="preserve"> N</w:t>
            </w:r>
            <w:r w:rsidRPr="00A465AD">
              <w:t>edostatečná podpora investičních potřeb a</w:t>
            </w:r>
            <w:r w:rsidR="00AF4DB7">
              <w:t> </w:t>
            </w:r>
            <w:r w:rsidRPr="00A465AD">
              <w:t>nespokojenost žadatelů plynoucí z nižších investičních podpor při zachování administrativních požadavků, kontrol a délky administrace.</w:t>
            </w:r>
          </w:p>
        </w:tc>
      </w:tr>
    </w:tbl>
    <w:p w:rsidR="00707BB1" w:rsidRDefault="00707BB1" w:rsidP="00707BB1">
      <w:pPr>
        <w:jc w:val="both"/>
      </w:pPr>
    </w:p>
    <w:p w:rsidR="00C62BEF" w:rsidRDefault="00C62BEF" w:rsidP="00707BB1">
      <w:pPr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73142" w:rsidRPr="00CA3540" w:rsidTr="009A0074">
        <w:tc>
          <w:tcPr>
            <w:tcW w:w="9782" w:type="dxa"/>
            <w:shd w:val="clear" w:color="auto" w:fill="F2F2F2"/>
          </w:tcPr>
          <w:p w:rsidR="00673142" w:rsidRPr="00A11736" w:rsidRDefault="0019410A" w:rsidP="0019410A">
            <w:pPr>
              <w:pStyle w:val="Nadpis1"/>
              <w:jc w:val="center"/>
              <w:rPr>
                <w:b w:val="0"/>
                <w:szCs w:val="28"/>
              </w:rPr>
            </w:pPr>
            <w:r>
              <w:rPr>
                <w:lang w:val="cs-CZ"/>
              </w:rPr>
              <w:t>Vypořádání připomínek k Intervenci Investice</w:t>
            </w:r>
          </w:p>
        </w:tc>
      </w:tr>
    </w:tbl>
    <w:p w:rsidR="009A0074" w:rsidRDefault="009A0074" w:rsidP="00707BB1">
      <w:pPr>
        <w:jc w:val="both"/>
      </w:pPr>
    </w:p>
    <w:tbl>
      <w:tblPr>
        <w:tblStyle w:val="Mkatabulky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679"/>
        <w:gridCol w:w="2976"/>
      </w:tblGrid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Č.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proofErr w:type="spellStart"/>
            <w:r w:rsidRPr="001762E2">
              <w:rPr>
                <w:rFonts w:cs="Arial"/>
              </w:rPr>
              <w:t>Připom</w:t>
            </w:r>
            <w:proofErr w:type="spellEnd"/>
            <w:r>
              <w:rPr>
                <w:rFonts w:cs="Arial"/>
              </w:rPr>
              <w:t>.</w:t>
            </w:r>
            <w:r w:rsidRPr="001762E2">
              <w:rPr>
                <w:rFonts w:cs="Arial"/>
              </w:rPr>
              <w:t xml:space="preserve"> místo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Připomínka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ind w:right="601"/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 xml:space="preserve">Vypořádání </w:t>
            </w:r>
            <w:proofErr w:type="spellStart"/>
            <w:r w:rsidRPr="001762E2">
              <w:rPr>
                <w:rFonts w:cs="Arial"/>
              </w:rPr>
              <w:t>MZe</w:t>
            </w:r>
            <w:proofErr w:type="spellEnd"/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1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AK ČR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SCHP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Ovocnářská unie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PRO-BIO</w:t>
            </w:r>
          </w:p>
        </w:tc>
        <w:tc>
          <w:tcPr>
            <w:tcW w:w="467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>Investice do zem. podniků</w:t>
            </w:r>
            <w:r w:rsidRPr="001762E2">
              <w:rPr>
                <w:rFonts w:cs="Arial"/>
              </w:rPr>
              <w:t xml:space="preserve"> 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AK ČR</w:t>
            </w:r>
            <w:r w:rsidRPr="001762E2">
              <w:rPr>
                <w:rFonts w:cs="Arial"/>
              </w:rPr>
              <w:t xml:space="preserve"> - pro běžné investice </w:t>
            </w:r>
            <w:r>
              <w:rPr>
                <w:rFonts w:cs="Arial"/>
              </w:rPr>
              <w:t xml:space="preserve">je </w:t>
            </w:r>
            <w:r w:rsidRPr="001762E2">
              <w:rPr>
                <w:rFonts w:cs="Arial"/>
              </w:rPr>
              <w:t>sníž</w:t>
            </w:r>
            <w:r>
              <w:rPr>
                <w:rFonts w:cs="Arial"/>
              </w:rPr>
              <w:t>ení</w:t>
            </w:r>
            <w:r w:rsidRPr="001762E2">
              <w:rPr>
                <w:rFonts w:cs="Arial"/>
              </w:rPr>
              <w:t xml:space="preserve"> % dotace na 30 % + 10 % mladí – v současné době pochopitelné, ale je třeba o tom v souvislosti s</w:t>
            </w:r>
            <w:r>
              <w:rPr>
                <w:rFonts w:cs="Arial"/>
              </w:rPr>
              <w:t> </w:t>
            </w:r>
            <w:r w:rsidRPr="001762E2">
              <w:rPr>
                <w:rFonts w:cs="Arial"/>
              </w:rPr>
              <w:t>dalším</w:t>
            </w:r>
            <w:r>
              <w:rPr>
                <w:rFonts w:cs="Arial"/>
              </w:rPr>
              <w:t> </w:t>
            </w:r>
            <w:r w:rsidRPr="001762E2">
              <w:rPr>
                <w:rFonts w:cs="Arial"/>
              </w:rPr>
              <w:t>potenciálním zhoršením</w:t>
            </w:r>
            <w:r>
              <w:rPr>
                <w:rFonts w:cs="Arial"/>
              </w:rPr>
              <w:t xml:space="preserve"> </w:t>
            </w:r>
            <w:r w:rsidRPr="001762E2">
              <w:rPr>
                <w:rFonts w:cs="Arial"/>
              </w:rPr>
              <w:t>ekonomické</w:t>
            </w:r>
            <w:r>
              <w:rPr>
                <w:rFonts w:cs="Arial"/>
              </w:rPr>
              <w:t xml:space="preserve"> </w:t>
            </w:r>
            <w:r w:rsidRPr="001762E2">
              <w:rPr>
                <w:rFonts w:cs="Arial"/>
              </w:rPr>
              <w:t>situace</w:t>
            </w:r>
            <w:r>
              <w:rPr>
                <w:rFonts w:cs="Arial"/>
              </w:rPr>
              <w:t xml:space="preserve"> v </w:t>
            </w:r>
            <w:r w:rsidRPr="001762E2">
              <w:rPr>
                <w:rFonts w:cs="Arial"/>
              </w:rPr>
              <w:t>zemědělství ještě diskutovat.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ASZ ČR</w:t>
            </w:r>
            <w:r w:rsidRPr="001762E2">
              <w:rPr>
                <w:rFonts w:cs="Arial"/>
              </w:rPr>
              <w:t xml:space="preserve"> k tomu doplňuje, že vzhledem k tomu, že se jedná o hlavní investiční dotační titul, který může využít velká většina zemědělských</w:t>
            </w:r>
            <w:r>
              <w:rPr>
                <w:rFonts w:cs="Arial"/>
              </w:rPr>
              <w:t xml:space="preserve"> </w:t>
            </w:r>
            <w:r w:rsidRPr="001762E2">
              <w:rPr>
                <w:rFonts w:cs="Arial"/>
              </w:rPr>
              <w:t>podnikatelů,</w:t>
            </w:r>
            <w:r>
              <w:rPr>
                <w:rFonts w:cs="Arial"/>
              </w:rPr>
              <w:t xml:space="preserve"> </w:t>
            </w:r>
            <w:r w:rsidRPr="001762E2">
              <w:rPr>
                <w:rFonts w:cs="Arial"/>
              </w:rPr>
              <w:t>považujeme navrženou míru podpory za velmi nízkou, obzvlášť v porovnání s jinými dotačními tituly (např. investice do bioplynových stanic či lesnictví). Zásadně</w:t>
            </w:r>
            <w:r>
              <w:rPr>
                <w:rFonts w:cs="Arial"/>
              </w:rPr>
              <w:t> </w:t>
            </w:r>
            <w:r w:rsidRPr="001762E2">
              <w:rPr>
                <w:rFonts w:cs="Arial"/>
              </w:rPr>
              <w:t>proto</w:t>
            </w:r>
            <w:r>
              <w:rPr>
                <w:rFonts w:cs="Arial"/>
              </w:rPr>
              <w:t> </w:t>
            </w:r>
            <w:r w:rsidRPr="001762E2">
              <w:rPr>
                <w:rFonts w:cs="Arial"/>
              </w:rPr>
              <w:t>požadujeme navýšení míry podpory na 40 % + 10 % pro farmy v režimu EZ a v ANC oblastech.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SCHP</w:t>
            </w:r>
            <w:r w:rsidRPr="001762E2">
              <w:rPr>
                <w:rFonts w:cs="Arial"/>
              </w:rPr>
              <w:t xml:space="preserve"> navrhl navýšit míru podpory v sektoru prasat na 50 %.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Ovocnářská unie</w:t>
            </w:r>
            <w:r w:rsidRPr="001762E2">
              <w:rPr>
                <w:rFonts w:cs="Arial"/>
              </w:rPr>
              <w:t xml:space="preserve"> požádala pro oblast citlivých komodit a dalších pracovně náročných komodit, jako je např. školkařtví, které využívají řadu specifických a jednoúčelových technologií, které se v těchto oborech uplatňují zejména v úspoře pracovních sil, navýšit u těchto oborů základní míru podpory na 50%.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E82DE1">
              <w:rPr>
                <w:rFonts w:cs="Arial"/>
                <w:u w:val="single"/>
              </w:rPr>
              <w:t>PRO-BIO</w:t>
            </w:r>
            <w:r w:rsidRPr="001762E2">
              <w:rPr>
                <w:rFonts w:cs="Arial"/>
              </w:rPr>
              <w:t xml:space="preserve"> považuje za nutné doplnit vyšší míru podpory pro mladé a ekologické zemědělce, jako motivaci pro vstup do EZ/začátek hospodaření, podmíněnou dodržením adekvátních podmínek (setrvání v EZ apod.), aby nedocházelo k účelovému zneužívání těchto podpor. Stejně tak žádáme doplnění technologií pro ekologické zemědělce (zejména posklizňové technologie), které jsou specifické pro EZ.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Na základě podnětů byla výše dotace navýšena na 40 % způsobilých výdajů s možností navýšení pro mladé začínající zemědělce a ekologické zemědělce. K navýšení pro ANC oblasti, jak navrhovala Asociace soukromých zemědělců, nebylo přistoupeno, a to i s ohledem na to, že tyto oblasti mají celou řadu výhod v jiných intervencích.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>Investice do zem. podniků</w:t>
            </w:r>
            <w:r w:rsidRPr="001762E2">
              <w:rPr>
                <w:rFonts w:cs="Arial"/>
              </w:rPr>
              <w:t xml:space="preserve"> - V rámci podmínek způsobilosti požadujeme vypuštění vyjmenování jednotlivých druhů zvířat, kterých </w:t>
            </w:r>
            <w:r w:rsidRPr="001762E2">
              <w:rPr>
                <w:rFonts w:cs="Arial"/>
              </w:rPr>
              <w:lastRenderedPageBreak/>
              <w:t>se může týkat podpora. Není uveden žádný relevantní důvod, proč jsou z této podpory vyřazeni chovatelé jiných druhů hospodářských zvířat.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lastRenderedPageBreak/>
              <w:t xml:space="preserve">Podporovaná zvířata je v podmínkách intervence a následně v Pravidlech třeba </w:t>
            </w:r>
            <w:r w:rsidRPr="001762E2">
              <w:rPr>
                <w:rFonts w:cs="Arial"/>
              </w:rPr>
              <w:lastRenderedPageBreak/>
              <w:t>specifikovat, protože od nich se budou odvíjet způsobilé výdaje, pro které je třeba stanovit limity. O vyjmenovaných druzích zvířat lze však dále diskutovat.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  <w:r w:rsidRPr="001762E2">
              <w:rPr>
                <w:rFonts w:cs="Arial"/>
                <w:b/>
                <w:u w:val="single"/>
              </w:rPr>
              <w:t>Investice do zem. podniků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OUČR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ZUČM</w:t>
            </w:r>
          </w:p>
        </w:tc>
        <w:tc>
          <w:tcPr>
            <w:tcW w:w="4679" w:type="dxa"/>
          </w:tcPr>
          <w:p w:rsidR="009A0074" w:rsidRPr="006F13CE" w:rsidRDefault="009A0074" w:rsidP="00FB465C">
            <w:pPr>
              <w:spacing w:after="160"/>
              <w:jc w:val="both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Navrhují</w:t>
            </w:r>
            <w:r w:rsidRPr="006F13CE">
              <w:rPr>
                <w:rFonts w:eastAsiaTheme="minorHAnsi" w:cs="Arial"/>
              </w:rPr>
              <w:t xml:space="preserve">, aby byly závlahy jednou z priorit investic v PRV, a to obzvláště v případě, že na ně nebudou zdroje z jiných dotačních programů. Na to navazují i další zemědělské technologie a stroje, které souvisí s klimatickými změnami. Upozornil, že ovoce, zelenina, réva vinná a trvalé kultury jsou podstatně náchylnější na stále častější mrazy. K eliminaci těchto negativních vnějších vlivů jsou však potřeba technologie, stroje a </w:t>
            </w:r>
            <w:proofErr w:type="spellStart"/>
            <w:r w:rsidRPr="006F13CE">
              <w:rPr>
                <w:rFonts w:eastAsiaTheme="minorHAnsi" w:cs="Arial"/>
              </w:rPr>
              <w:t>protimrazové</w:t>
            </w:r>
            <w:proofErr w:type="spellEnd"/>
            <w:r w:rsidRPr="006F13CE">
              <w:rPr>
                <w:rFonts w:eastAsiaTheme="minorHAnsi" w:cs="Arial"/>
              </w:rPr>
              <w:t xml:space="preserve"> závlahy, které v ČR (oproti ostatním státům) nejsou (hlavně u ovoce a vinné révy) vůbec podporovány. Z toho důvodu vznesl požadavek, aby i tyto investice byly jednou z priorit PRV. Stejně tak i investice do posklizňové úpravy, které jsou velmi investičně náročné.</w:t>
            </w:r>
          </w:p>
          <w:p w:rsidR="009A0074" w:rsidRPr="001762E2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2D7DDA">
              <w:rPr>
                <w:rFonts w:cs="Arial"/>
              </w:rPr>
              <w:t xml:space="preserve">oto téma proběhlo na jednání k Plánu obnovy s EK, která je nechce podpořit. </w:t>
            </w:r>
            <w:r>
              <w:rPr>
                <w:rFonts w:cs="Arial"/>
              </w:rPr>
              <w:t>Z</w:t>
            </w:r>
            <w:r w:rsidRPr="002D7DDA">
              <w:rPr>
                <w:rFonts w:cs="Arial"/>
              </w:rPr>
              <w:t xml:space="preserve">ávlahy jsou zakomponovány jako důležitý segment udržitelnosti a konkurenceschopnosti u ovoce i zeleniny, ale EK neustále namítá, že nesmí být při využití závlah ohroženy přírodní zdroje vod. I když bylo EK vysvětleno, že závlahy by byly vytvořeny z umělých zdrojů, jako retenční nádrže, EK je i nadále proti. </w:t>
            </w:r>
            <w:r>
              <w:rPr>
                <w:rFonts w:cs="Arial"/>
              </w:rPr>
              <w:t>Uvítali bychom v této věci</w:t>
            </w:r>
            <w:r w:rsidRPr="002D7DDA">
              <w:rPr>
                <w:rFonts w:cs="Arial"/>
              </w:rPr>
              <w:t xml:space="preserve"> podporu organizací.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E82DE1">
              <w:rPr>
                <w:rFonts w:cs="Arial"/>
                <w:b/>
                <w:u w:val="single"/>
              </w:rPr>
              <w:t>Investice do zem. podniků a zpracování</w:t>
            </w:r>
            <w:r w:rsidRPr="00E82DE1">
              <w:rPr>
                <w:rFonts w:cs="Arial"/>
              </w:rPr>
              <w:t xml:space="preserve"> - V rámci inves</w:t>
            </w:r>
            <w:r>
              <w:rPr>
                <w:rFonts w:cs="Arial"/>
              </w:rPr>
              <w:t>tičních opatření požadujeme</w:t>
            </w:r>
            <w:r w:rsidRPr="00E82DE1">
              <w:rPr>
                <w:rFonts w:cs="Arial"/>
              </w:rPr>
              <w:t xml:space="preserve"> zcela zásadně zachovat a finančně posílit obálku do 1 a 5 mil. Kč a zároveň snížit hranici maximální velikosti projektu, a to na 30 mil. Kč. Tuto připomínku vznáší naše organizace opakovaně, protože se v uplynulém období jasně potvrdilo, že obří projekty ve svém důsledku venkovu nic nepřinášejí a často jej naopak spíše poškozují.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Detailní popis intervence, resp. specifické podmínky, způsobilé výdaje, rozdělení finančních obálek či limit na maximální výši způsobilých výdajů budou diskutovány na jednání pracovní skupiny a upraveny v Pravidlech, kterými se stanovují podmínky pro poskytování dotací na projekty. K tomuto vztažené připomínky zde proto neuvádíme.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PK</w:t>
            </w:r>
          </w:p>
        </w:tc>
        <w:tc>
          <w:tcPr>
            <w:tcW w:w="467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>Investice do zpracování</w:t>
            </w:r>
            <w:r>
              <w:rPr>
                <w:rFonts w:cs="Arial"/>
                <w:b/>
                <w:u w:val="single"/>
              </w:rPr>
              <w:t> </w:t>
            </w:r>
            <w:r w:rsidRPr="00E82DE1">
              <w:rPr>
                <w:rFonts w:cs="Arial"/>
                <w:b/>
                <w:u w:val="single"/>
              </w:rPr>
              <w:t>zem.</w:t>
            </w:r>
            <w:r>
              <w:rPr>
                <w:rFonts w:cs="Arial"/>
                <w:b/>
                <w:u w:val="single"/>
              </w:rPr>
              <w:t xml:space="preserve"> </w:t>
            </w:r>
            <w:proofErr w:type="gramStart"/>
            <w:r>
              <w:rPr>
                <w:rFonts w:cs="Arial"/>
                <w:b/>
                <w:u w:val="single"/>
              </w:rPr>
              <w:t>pro</w:t>
            </w:r>
            <w:r w:rsidRPr="00E82DE1">
              <w:rPr>
                <w:rFonts w:cs="Arial"/>
                <w:b/>
                <w:u w:val="single"/>
              </w:rPr>
              <w:t>duktů</w:t>
            </w:r>
            <w:proofErr w:type="gramEnd"/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ASZ ČR</w:t>
            </w:r>
            <w:r w:rsidRPr="00176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Pr="001762E2">
              <w:rPr>
                <w:rFonts w:cs="Arial"/>
              </w:rPr>
              <w:t>avrhuje výrazně navýšit míru podpory, zejména pro menší subjekty, které potřebují zpracování produkce k zajištění příjmové stability a pro něž není v rámci zpracování produkce určen žádný jiný titul. Cíl této intervence navíc velmi dobře zapadá do aktuálních priorit na zvyšování soběstačnosti a rozvoj lokálních trhů, které se v době krize způsobené pandemií ukázaly jako velmi potřebné.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u w:val="single"/>
              </w:rPr>
              <w:t>PK</w:t>
            </w:r>
            <w:r w:rsidRPr="001762E2">
              <w:rPr>
                <w:rFonts w:cs="Arial"/>
              </w:rPr>
              <w:t xml:space="preserve"> navrhla zachovat míru podpory na stávajících 50% a zaměřit se (například formou preferenčních kritérií) na projekty v souladu se strategií Průmyslu 4.0, které přinesou rozvoj v oblasti digitální transformace společnosti prostřednictvím pořízení nových technologických zařízení a vybavení, která </w:t>
            </w:r>
            <w:r w:rsidRPr="001762E2">
              <w:rPr>
                <w:rFonts w:cs="Arial"/>
              </w:rPr>
              <w:lastRenderedPageBreak/>
              <w:t>jsou propojena se stávajícími nebo nově pořizovanými technologiemi informačním systémem (IS či ERP, MES, MIS).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lastRenderedPageBreak/>
              <w:t xml:space="preserve">Výše podpory v rámci investic do zpracování činila dlouhodobě 40 %, a to již od roku 2007. V souvislosti s pokračujícím trendem omezovat míru investičních dotací napříč všemi politikami EU, a rovněž v korelaci s mírou podpory ostatních odvětví, např. v rámci kohezní politiky, navrhujeme tuto podporu o 10 % snížit, jelikož se jedná o běžné produktivní investice. Nižší míra podpory přispěje i k vyšší hospodárnosti ze strany žadatelů. Navrhujeme, však </w:t>
            </w:r>
            <w:r w:rsidRPr="001762E2">
              <w:rPr>
                <w:rFonts w:cs="Arial"/>
              </w:rPr>
              <w:lastRenderedPageBreak/>
              <w:t xml:space="preserve">navýšení o 10 % pro mladé začínající zemědělce a malé podniky. Preferenční kritéria budou řešena až v rámci národních prováděcích předpisů. 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6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 xml:space="preserve">Investice do </w:t>
            </w:r>
            <w:proofErr w:type="spellStart"/>
            <w:r w:rsidRPr="001762E2">
              <w:rPr>
                <w:rFonts w:cs="Arial"/>
                <w:b/>
                <w:u w:val="single"/>
              </w:rPr>
              <w:t>zprac</w:t>
            </w:r>
            <w:proofErr w:type="spellEnd"/>
            <w:r w:rsidRPr="001762E2">
              <w:rPr>
                <w:rFonts w:cs="Arial"/>
                <w:b/>
                <w:u w:val="single"/>
              </w:rPr>
              <w:t>.</w:t>
            </w:r>
            <w:r>
              <w:rPr>
                <w:rFonts w:cs="Arial"/>
                <w:b/>
                <w:u w:val="single"/>
              </w:rPr>
              <w:t xml:space="preserve"> zem. </w:t>
            </w:r>
            <w:proofErr w:type="gramStart"/>
            <w:r>
              <w:rPr>
                <w:rFonts w:cs="Arial"/>
                <w:b/>
                <w:u w:val="single"/>
              </w:rPr>
              <w:t>produktů</w:t>
            </w:r>
            <w:proofErr w:type="gramEnd"/>
            <w:r w:rsidRPr="001762E2">
              <w:rPr>
                <w:rFonts w:cs="Arial"/>
              </w:rPr>
              <w:t xml:space="preserve"> - Rozpor zaměstnanosti na venkově versus automatizace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Rozporu zaměstnanosti a automatizace jsme si vědomi, tato intervence ji však nemůže řešit.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55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PRO-BIO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ZS 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Regionální agrární komora</w:t>
            </w:r>
          </w:p>
        </w:tc>
        <w:tc>
          <w:tcPr>
            <w:tcW w:w="4679" w:type="dxa"/>
          </w:tcPr>
          <w:p w:rsidR="009A0074" w:rsidRPr="00462CEA" w:rsidRDefault="009A0074" w:rsidP="00FB465C">
            <w:pPr>
              <w:jc w:val="both"/>
              <w:rPr>
                <w:rFonts w:cs="Arial"/>
              </w:rPr>
            </w:pPr>
            <w:r w:rsidRPr="00462CEA">
              <w:rPr>
                <w:rFonts w:cs="Arial"/>
                <w:b/>
                <w:u w:val="single"/>
              </w:rPr>
              <w:t xml:space="preserve">Investice do zpracování zem. </w:t>
            </w:r>
            <w:proofErr w:type="gramStart"/>
            <w:r w:rsidRPr="00462CEA">
              <w:rPr>
                <w:rFonts w:cs="Arial"/>
                <w:b/>
                <w:u w:val="single"/>
              </w:rPr>
              <w:t>produktů</w:t>
            </w:r>
            <w:proofErr w:type="gramEnd"/>
            <w:r>
              <w:rPr>
                <w:rFonts w:cs="Arial"/>
              </w:rPr>
              <w:t xml:space="preserve"> - C</w:t>
            </w:r>
            <w:r w:rsidRPr="00462CEA">
              <w:rPr>
                <w:rFonts w:cs="Arial"/>
              </w:rPr>
              <w:t>hybí investice na sdružování, potažmo krátké dodavatelské řetězce. Obzvláště u ekologické produkce dodávané pro školky a školy. Šlo by především o investice na pořízení skladů a technologií na zpracování ovoce a zeleniny.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 w:rsidRPr="00462CEA">
              <w:rPr>
                <w:rFonts w:cs="Arial"/>
              </w:rPr>
              <w:t>Dále také chybí odbytová družstva jako způsobilý příjemce. Je pro, aby si tato družstva mohla pořídit vlastní zpracovatelskou kapacitu a logistiku. Cílem je snížení závislosti na velkoproducentech.</w:t>
            </w:r>
          </w:p>
          <w:p w:rsidR="009A0074" w:rsidRPr="00462CEA" w:rsidRDefault="009A0074" w:rsidP="00FB465C">
            <w:pPr>
              <w:jc w:val="both"/>
              <w:rPr>
                <w:rFonts w:cs="Arial"/>
              </w:rPr>
            </w:pPr>
            <w:proofErr w:type="spellStart"/>
            <w:r w:rsidRPr="00141834">
              <w:rPr>
                <w:rFonts w:cs="Arial"/>
                <w:u w:val="single"/>
              </w:rPr>
              <w:t>Regionáloní</w:t>
            </w:r>
            <w:proofErr w:type="spellEnd"/>
            <w:r w:rsidRPr="00141834">
              <w:rPr>
                <w:rFonts w:cs="Arial"/>
                <w:u w:val="single"/>
              </w:rPr>
              <w:t xml:space="preserve"> agrární komora</w:t>
            </w:r>
            <w:r>
              <w:rPr>
                <w:rFonts w:cs="Arial"/>
              </w:rPr>
              <w:t>, t</w:t>
            </w:r>
            <w:r w:rsidRPr="00D532B1">
              <w:rPr>
                <w:rFonts w:cs="Arial"/>
              </w:rPr>
              <w:t>aké podpořil</w:t>
            </w:r>
            <w:r>
              <w:rPr>
                <w:rFonts w:cs="Arial"/>
              </w:rPr>
              <w:t>a</w:t>
            </w:r>
            <w:r w:rsidRPr="00D532B1">
              <w:rPr>
                <w:rFonts w:cs="Arial"/>
              </w:rPr>
              <w:t xml:space="preserve"> názor podpory organizace producentů neboli odbytových družstev. Uvedl</w:t>
            </w:r>
            <w:r>
              <w:rPr>
                <w:rFonts w:cs="Arial"/>
              </w:rPr>
              <w:t>a</w:t>
            </w:r>
            <w:r w:rsidRPr="00D532B1">
              <w:rPr>
                <w:rFonts w:cs="Arial"/>
              </w:rPr>
              <w:t>, že je to klíčová záležitost</w:t>
            </w:r>
            <w:r>
              <w:rPr>
                <w:rFonts w:cs="Arial"/>
              </w:rPr>
              <w:t>,</w:t>
            </w:r>
            <w:r w:rsidRPr="00D532B1">
              <w:rPr>
                <w:rFonts w:cs="Arial"/>
              </w:rPr>
              <w:t xml:space="preserve"> jak změnit jejich postavení na trhu. </w:t>
            </w:r>
            <w:r>
              <w:rPr>
                <w:rFonts w:cs="Arial"/>
              </w:rPr>
              <w:t xml:space="preserve">Navrhuje, že by se u tohoto typu projektů </w:t>
            </w:r>
            <w:r w:rsidRPr="00D532B1">
              <w:rPr>
                <w:rFonts w:cs="Arial"/>
              </w:rPr>
              <w:t xml:space="preserve">měla zvýšit </w:t>
            </w:r>
            <w:r>
              <w:rPr>
                <w:rFonts w:cs="Arial"/>
              </w:rPr>
              <w:t>míra podpory</w:t>
            </w:r>
            <w:r w:rsidRPr="00D532B1">
              <w:rPr>
                <w:rFonts w:cs="Arial"/>
              </w:rPr>
              <w:t xml:space="preserve"> na 60</w:t>
            </w:r>
            <w:r>
              <w:rPr>
                <w:rFonts w:cs="Arial"/>
              </w:rPr>
              <w:t xml:space="preserve"> % - </w:t>
            </w:r>
            <w:r w:rsidRPr="00D532B1">
              <w:rPr>
                <w:rFonts w:cs="Arial"/>
              </w:rPr>
              <w:t>70 %.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385477">
              <w:rPr>
                <w:rFonts w:cs="Arial"/>
              </w:rPr>
              <w:t>Sdružení organizace producentů nemůže být příjemcem s ohledem na rozhraní s podporami v rámci společné organizace trhu. U investic do zpracování může být příjemcem i družstvo. Lokální uplatnění produkce a KDŘ bude ještě řešeno</w:t>
            </w:r>
            <w:r>
              <w:rPr>
                <w:rFonts w:cs="Arial"/>
              </w:rPr>
              <w:t>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ASZ ČR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 xml:space="preserve">Inovace v zem. </w:t>
            </w:r>
            <w:proofErr w:type="gramStart"/>
            <w:r w:rsidRPr="001762E2">
              <w:rPr>
                <w:rFonts w:cs="Arial"/>
                <w:b/>
                <w:u w:val="single"/>
              </w:rPr>
              <w:t>prvovýrobě</w:t>
            </w:r>
            <w:proofErr w:type="gramEnd"/>
            <w:r w:rsidRPr="001762E2">
              <w:rPr>
                <w:rFonts w:cs="Arial"/>
              </w:rPr>
              <w:t xml:space="preserve"> - V rámci podmínek způsobilosti požadujeme vypuštění vyjmenování jednotlivých druhů zvířat, kterých se může týkat podpora. Není uveden žádný relevantní důvod, proč jsou z této podpory vyřazeni chovatelé jiných druhů hospodářských zvířat, včetně například jelenovitých a hmyzu, což jsou dvě dynamicky se rozvíjející komodity, kde je nutné inovace podporovat.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Na podnět bylo z podmínek způsobilosti vypuštěno vyjmenování jednotlivých druhů zvířat, kterých se může podpora týkat.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55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AK ČR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ASZ ČR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OUČR</w:t>
            </w:r>
          </w:p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Regionální agrární komora</w:t>
            </w:r>
          </w:p>
        </w:tc>
        <w:tc>
          <w:tcPr>
            <w:tcW w:w="4679" w:type="dxa"/>
          </w:tcPr>
          <w:p w:rsidR="009A0074" w:rsidRPr="006F13CE" w:rsidRDefault="009A0074" w:rsidP="00FB465C">
            <w:pPr>
              <w:spacing w:after="160"/>
              <w:jc w:val="both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Navrhují</w:t>
            </w:r>
            <w:r w:rsidRPr="006F13CE">
              <w:rPr>
                <w:rFonts w:eastAsiaTheme="minorHAnsi" w:cs="Arial"/>
              </w:rPr>
              <w:t xml:space="preserve"> stanovit metodiku, která by vysvětlovala, co lze zařadit k intervenci Investice do zemědělských podniků a co k Inovaci v zemědělské prvovýrobě. </w:t>
            </w:r>
          </w:p>
        </w:tc>
        <w:tc>
          <w:tcPr>
            <w:tcW w:w="2976" w:type="dxa"/>
          </w:tcPr>
          <w:p w:rsidR="009A0074" w:rsidRPr="001762E2" w:rsidRDefault="00944086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Bude předmětem prováděcích předpisů.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PK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 xml:space="preserve">Inovace v zem. </w:t>
            </w:r>
            <w:proofErr w:type="gramStart"/>
            <w:r w:rsidRPr="001762E2">
              <w:rPr>
                <w:rFonts w:cs="Arial"/>
                <w:b/>
                <w:u w:val="single"/>
              </w:rPr>
              <w:t>prvovýrobě</w:t>
            </w:r>
            <w:proofErr w:type="gramEnd"/>
            <w:r w:rsidRPr="001762E2">
              <w:rPr>
                <w:rFonts w:cs="Arial"/>
                <w:b/>
                <w:u w:val="single"/>
              </w:rPr>
              <w:t xml:space="preserve"> a zpracování zem. produktů </w:t>
            </w:r>
            <w:r w:rsidRPr="001762E2">
              <w:rPr>
                <w:rFonts w:cs="Arial"/>
              </w:rPr>
              <w:t>- Navrhuj</w:t>
            </w:r>
            <w:r>
              <w:rPr>
                <w:rFonts w:cs="Arial"/>
              </w:rPr>
              <w:t>e</w:t>
            </w:r>
            <w:r w:rsidRPr="001762E2">
              <w:rPr>
                <w:rFonts w:cs="Arial"/>
              </w:rPr>
              <w:t xml:space="preserve"> podpory vztáhnout nejenom na náklady na spolupráci, ale i na přímé náklady na projekt, v opačném případě se obáváme toho, že vzhledem k administrativní náročnosti projektů bude zájem ze strany zpracovatelů o spolupráci s výzkumnými subjekty minimální a zastavíme tím oblast podpory </w:t>
            </w:r>
            <w:proofErr w:type="spellStart"/>
            <w:r w:rsidRPr="001762E2">
              <w:rPr>
                <w:rFonts w:cs="Arial"/>
              </w:rPr>
              <w:t>VaV</w:t>
            </w:r>
            <w:proofErr w:type="spellEnd"/>
            <w:r w:rsidRPr="001762E2">
              <w:rPr>
                <w:rFonts w:cs="Arial"/>
              </w:rPr>
              <w:t xml:space="preserve"> do potravinářství.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Vzhledem ke zkušenostem z již dvou programových období a k auditním zjištěním považujeme nadále za neudržitelné financovat přímé náklady na projekt v dosavadním rozsahu. Inovace zároveň budou muset být na úrovni odvětví a nikoli pouze podniků.</w:t>
            </w:r>
          </w:p>
        </w:tc>
      </w:tr>
      <w:tr w:rsidR="009A0074" w:rsidTr="00FB465C">
        <w:tc>
          <w:tcPr>
            <w:tcW w:w="568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t>AK ČR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  <w:b/>
                <w:u w:val="single"/>
              </w:rPr>
              <w:t xml:space="preserve">Inovace v zem. </w:t>
            </w:r>
            <w:proofErr w:type="gramStart"/>
            <w:r w:rsidRPr="001762E2">
              <w:rPr>
                <w:rFonts w:cs="Arial"/>
                <w:b/>
                <w:u w:val="single"/>
              </w:rPr>
              <w:t>prvovýrobě</w:t>
            </w:r>
            <w:proofErr w:type="gramEnd"/>
            <w:r w:rsidRPr="001762E2">
              <w:rPr>
                <w:rFonts w:cs="Arial"/>
                <w:b/>
                <w:u w:val="single"/>
              </w:rPr>
              <w:t xml:space="preserve"> a zpracování zem. produktů</w:t>
            </w:r>
            <w:r w:rsidRPr="00176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762E2">
              <w:rPr>
                <w:rFonts w:cs="Arial"/>
              </w:rPr>
              <w:t xml:space="preserve"> U</w:t>
            </w:r>
            <w:r>
              <w:rPr>
                <w:rFonts w:cs="Arial"/>
              </w:rPr>
              <w:t> </w:t>
            </w:r>
            <w:r w:rsidRPr="001762E2">
              <w:rPr>
                <w:rFonts w:cs="Arial"/>
              </w:rPr>
              <w:t xml:space="preserve">Inovací je větší % dotace 60 % - může se stát, že příliš velké procento </w:t>
            </w:r>
            <w:r w:rsidRPr="001762E2">
              <w:rPr>
                <w:rFonts w:cs="Arial"/>
              </w:rPr>
              <w:lastRenderedPageBreak/>
              <w:t>komplikuje hodnocení přínosu inovace, navrhujeme ponechání stávajících 50 %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 w:rsidRPr="001762E2">
              <w:rPr>
                <w:rFonts w:cs="Arial"/>
              </w:rPr>
              <w:lastRenderedPageBreak/>
              <w:t xml:space="preserve">Míra podpory 60 % je navržena k udržení atraktivnosti intervence pro </w:t>
            </w:r>
            <w:r w:rsidRPr="001762E2">
              <w:rPr>
                <w:rFonts w:cs="Arial"/>
              </w:rPr>
              <w:lastRenderedPageBreak/>
              <w:t>žadatele, neboť výdaje na přímé investiční náklady související s projektem budou podporovány pouze v omezené míře, tj. zejména investice, které jsou skutečně inovativní.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obecně</w:t>
            </w:r>
          </w:p>
        </w:tc>
        <w:tc>
          <w:tcPr>
            <w:tcW w:w="4679" w:type="dxa"/>
          </w:tcPr>
          <w:p w:rsidR="009A0074" w:rsidRPr="001762E2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Finanční nástroje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Dotazy týkající se činnosti, současných programů a rozpočtů podpor na PGRLF.</w:t>
            </w:r>
          </w:p>
        </w:tc>
        <w:tc>
          <w:tcPr>
            <w:tcW w:w="2976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Jak přislíbil ŘO Tabery v závěru jednání, byly tyto připomínky a výhrady předány přímo PGRLF, který k uvedenému sepsal vyjádření.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PK</w:t>
            </w:r>
          </w:p>
        </w:tc>
        <w:tc>
          <w:tcPr>
            <w:tcW w:w="4679" w:type="dxa"/>
          </w:tcPr>
          <w:p w:rsidR="009A0074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Finanční nástroje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 Postavení FN vůči bankovnímu sektoru a jejich výhody.</w:t>
            </w:r>
          </w:p>
        </w:tc>
        <w:tc>
          <w:tcPr>
            <w:tcW w:w="2976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FN pod SP SZP v žádném případě nemají konkurovat komerčním bankám a jejich úvěrům. 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Je třeba porovnávat dotační nevratnou podporu, která je z důvodu omezeného rozpočtu ohrožená a bude muset být omezena a vratnou formu podpory ať již pod SP SZP či komerční. Její výhody jsou popsány v podkladovém dokumentu výše a největší přednosti shrnul na jednání i David Brož ze SMA.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59" w:type="dxa"/>
          </w:tcPr>
          <w:p w:rsidR="009A0074" w:rsidRPr="001762E2" w:rsidRDefault="009A0074" w:rsidP="00FB465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</w:t>
            </w:r>
            <w:proofErr w:type="spellEnd"/>
            <w:r>
              <w:rPr>
                <w:rFonts w:cs="Arial"/>
              </w:rPr>
              <w:t>. AK</w:t>
            </w:r>
          </w:p>
        </w:tc>
        <w:tc>
          <w:tcPr>
            <w:tcW w:w="4679" w:type="dxa"/>
          </w:tcPr>
          <w:p w:rsidR="009A0074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Finanční nástroje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Pr="00E543AA">
              <w:rPr>
                <w:rFonts w:cs="Arial"/>
              </w:rPr>
              <w:t>které oblasti jsou v rámci nenávratné dotační podpory těžko zdůvodnitelné</w:t>
            </w:r>
          </w:p>
        </w:tc>
        <w:tc>
          <w:tcPr>
            <w:tcW w:w="2976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Oblasti byly vypsány v chatu ještě v průběhu jednání. Obecně jde o ty typy investic, které ve svém důsledku přinášejí větší efektivitu výroby, navyšují ziskovost či přinášejí úspory. Takovéto projekty by byly často realizovatelné i s nižší dotační podporou či bez ní, popř. by byly financovatelné komerčně na bankovním trhu právě proto, že zvyšují produktivitu a konkurenceschopnost daného podniku.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5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OAK</w:t>
            </w:r>
          </w:p>
        </w:tc>
        <w:tc>
          <w:tcPr>
            <w:tcW w:w="4679" w:type="dxa"/>
          </w:tcPr>
          <w:p w:rsidR="009A0074" w:rsidRPr="00267D95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Finanční nástroje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doporučení převést pod PGRLF složitější programy, např. Inovace, Výstavba a modernizace bioplynových stanic a výroby tvarovaných biopaliv. Investice a Zahájení činnosti mladého začínajícího zemědělce by doporučila nechat tak, jak je to nastaveno nyní. </w:t>
            </w:r>
          </w:p>
          <w:p w:rsidR="009A0074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2976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Viz předchozí vysvětlení. Pro FN nejsou vhodné investice, které nepřináší zvýšení zisku či snížení nákladů. Příliš rizikové investice by neměly jistotu podpory ani prostřednictvím FN. Také je třeba brát v potaz možnosti případného správce a doporučenou velikost FN ve výši max. 25 mil. Kč úvěru.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Navržené investice a zahájení činnosti mají také výhodu širokých možností pro podnikatelský záměr a tedy lepší potenciál využití. </w:t>
            </w:r>
          </w:p>
        </w:tc>
      </w:tr>
      <w:tr w:rsidR="009A0074" w:rsidTr="00FB465C">
        <w:tc>
          <w:tcPr>
            <w:tcW w:w="568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16</w:t>
            </w:r>
          </w:p>
        </w:tc>
        <w:tc>
          <w:tcPr>
            <w:tcW w:w="1559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KZP</w:t>
            </w:r>
          </w:p>
        </w:tc>
        <w:tc>
          <w:tcPr>
            <w:tcW w:w="4679" w:type="dxa"/>
          </w:tcPr>
          <w:p w:rsidR="009A0074" w:rsidRDefault="009A0074" w:rsidP="00FB465C">
            <w:pPr>
              <w:jc w:val="both"/>
            </w:pPr>
            <w:r>
              <w:rPr>
                <w:rFonts w:cs="Arial"/>
                <w:b/>
                <w:u w:val="single"/>
              </w:rPr>
              <w:t>Finanční nástroje</w:t>
            </w:r>
            <w:r w:rsidRPr="00C50A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 V případě, že bude</w:t>
            </w:r>
            <w:r w:rsidRPr="0077702E">
              <w:t xml:space="preserve"> </w:t>
            </w:r>
            <w:r w:rsidRPr="0077702E">
              <w:rPr>
                <w:rFonts w:cs="Arial"/>
              </w:rPr>
              <w:t xml:space="preserve">grantové schéma oproti minulému období </w:t>
            </w:r>
            <w:r>
              <w:rPr>
                <w:rFonts w:cs="Arial"/>
              </w:rPr>
              <w:t xml:space="preserve">až 4x </w:t>
            </w:r>
            <w:r w:rsidRPr="0077702E">
              <w:rPr>
                <w:rFonts w:cs="Arial"/>
              </w:rPr>
              <w:t>menší</w:t>
            </w:r>
            <w:r>
              <w:rPr>
                <w:rFonts w:cs="Arial"/>
              </w:rPr>
              <w:t xml:space="preserve">, také by doporučila převést část programů z PRV do PGRLF. </w:t>
            </w:r>
          </w:p>
          <w:p w:rsidR="009A0074" w:rsidRDefault="009A0074" w:rsidP="00FB465C">
            <w:pPr>
              <w:jc w:val="both"/>
            </w:pPr>
            <w:r>
              <w:rPr>
                <w:rFonts w:cs="Arial"/>
              </w:rPr>
              <w:t xml:space="preserve">Doporučila by, aby byl program směřován formou kombinace úvěru s dotací. Uvedla, že by to byl vhodný program pro mikro a malé zemědělce, v podstatě by to mohlo nahradit záměr a) a b) pro zemědělce do 150 ha v Investicích do zemědělských podniků. </w:t>
            </w:r>
          </w:p>
          <w:p w:rsidR="009A0074" w:rsidRDefault="009A0074" w:rsidP="00FB465C">
            <w:pPr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2976" w:type="dxa"/>
          </w:tcPr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Převod části způsobilých výdajů (např. strojů a technologií) pod národní programy PGRLF bude nezbytný z důvodu omezeného rozpočtu a tlaku EK na udržitelnější financování – tedy nedotování výše zmíněných oblastí. V tuto chvíli jde o preferovanou variantu, která ovšem příliš neřeší problematické financování celého SP SZP.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FN tak, jak jsou nyní navrženy, cílí především na mikro, malé a střední podniky, které mohou být znevýhodněny na komerčním bankovním trhu oproti těm větším a velkým. Ty podle dostupných analýz problém s komerčním financováním nemívají a bankovní úvěry jsou pro ně běžnou formou financování.</w:t>
            </w:r>
          </w:p>
          <w:p w:rsidR="009A0074" w:rsidRDefault="009A0074" w:rsidP="00FB46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Kombinace úvěru a dotace je možná a pro mladé začínající přímo doporučená varianta FN.</w:t>
            </w:r>
          </w:p>
        </w:tc>
      </w:tr>
    </w:tbl>
    <w:p w:rsidR="009A0074" w:rsidRDefault="009A0074" w:rsidP="00FB465C">
      <w:pPr>
        <w:jc w:val="both"/>
      </w:pPr>
    </w:p>
    <w:sectPr w:rsidR="009A0074" w:rsidSect="00DA441A">
      <w:footerReference w:type="default" r:id="rId28"/>
      <w:pgSz w:w="11906" w:h="16838"/>
      <w:pgMar w:top="1134" w:right="1417" w:bottom="851" w:left="1417" w:header="708" w:footer="5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6B" w:rsidRDefault="00C1496B" w:rsidP="001D21D4">
      <w:r>
        <w:separator/>
      </w:r>
    </w:p>
  </w:endnote>
  <w:endnote w:type="continuationSeparator" w:id="0">
    <w:p w:rsidR="00C1496B" w:rsidRDefault="00C1496B" w:rsidP="001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18" w:rsidRPr="00685A05" w:rsidRDefault="00F83309">
    <w:pPr>
      <w:pStyle w:val="Zpat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F093D" wp14:editId="459222A1">
              <wp:simplePos x="0" y="0"/>
              <wp:positionH relativeFrom="page">
                <wp:posOffset>6586855</wp:posOffset>
              </wp:positionH>
              <wp:positionV relativeFrom="page">
                <wp:posOffset>10096500</wp:posOffset>
              </wp:positionV>
              <wp:extent cx="461645" cy="280670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461645" cy="280670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18" w:rsidRPr="001D21D4" w:rsidRDefault="008F6118" w:rsidP="001D21D4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 w:rsidRPr="001D21D4">
                            <w:fldChar w:fldCharType="begin"/>
                          </w:r>
                          <w:r w:rsidRPr="001D21D4">
                            <w:instrText>PAGE    \* MERGEFORMAT</w:instrText>
                          </w:r>
                          <w:r w:rsidRPr="001D21D4">
                            <w:fldChar w:fldCharType="separate"/>
                          </w:r>
                          <w:r w:rsidR="00AB6F1C">
                            <w:rPr>
                              <w:noProof/>
                            </w:rPr>
                            <w:t>14</w:t>
                          </w:r>
                          <w:r w:rsidRPr="001D21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F093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18.65pt;margin-top:795pt;width:36.3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R80gIAAMkFAAAOAAAAZHJzL2Uyb0RvYy54bWysVF1v0zAUfUfiP1h+z/JRJ02ipVPXtAhp&#10;wKTBD3ATp7GW2MF2lw7ET+OJP8a127Xd9oKAVor8ee459x7fy6td36EHpjSXosDhRYARE5WsudgU&#10;+MvnlZdipA0VNe2kYAV+ZBpfzd6+uRyHnEWylV3NFAIQofNxKHBrzJD7vq5a1lN9IQcmYLORqqcG&#10;pmrj14qOgN53fhQEiT9KVQ9KVkxrWC33m3jm8JuGVeZT02hmUFdg4GbcV7nv2n792SXNN4oOLa8O&#10;NOhfsOgpFxD0CFVSQ9FW8VdQPa+U1LIxF5Xsfdk0vGJOA6gJgxdq7lo6MKcFkqOHY5r0/4OtPj7c&#10;KsTrAsdRhJGgPRRpvjUS8s2r+18/kVwr+o1VKJzYZI2DzuHO3XCrrFw93MjqXiMhFy0VGzZXSo4t&#10;ozVQDO15/9kFO9FwFa3HD7KGSBQiubztGtUjJaE+UZgE9ueWIUFo56r1eKwW2xlUwSJJwoTEGFWw&#10;FaVBMnXV9GlusSy5QWnzjske2UGBm06OwFKZeWeYEtSw271vXCT6cKONJXy6ZzGEXPGucy6BuHDE&#10;LloGrrjfsyBbpsuUeCRKlh4JytKbrxbES1bhNC4n5WJRhj8sfkjyltc1ExbuyWgh+bNCHiy/t8jR&#10;alp2vLZwlpJWm/WiU+iBgtHjRTq5Ji79sHM65j+n4cSClheSwogE11HmrZJ06pEVib1sGqReEGbX&#10;WRKQjJSr55JuuGD/LgmNBc7iKHbVOCP9Qtt0Yv+vtdG851BW1PG+wOneQa5s1o1LUbuxobzbj89S&#10;YemfUgH1fyq086616972ZrfeAYr18FrWj+Bi51foKtD/wF+tVN8wGqGXFFh/3VLFMOreC3gJWUiI&#10;bT5uQuJpBBN1vrM+36GiAqgCG4z2w4XZN6ztoPimhUihy5GQ9p023Ln2xOrw5qBfOFGH3mYb0vnc&#10;nTp14NlvAAAA//8DAFBLAwQUAAYACAAAACEA3NQMA98AAAAPAQAADwAAAGRycy9kb3ducmV2Lnht&#10;bEyPwU7DMBBE70j8g7VI3KidhgYa4lSICnGlpeXsxksSEa+j2G3C37M5wW1GO5p9U2wm14kLDqH1&#10;pCFZKBBIlbct1RoOH693jyBCNGRN5wk1/GCATXl9VZjc+pF2eNnHWnAJhdxoaGLscylD1aAzYeF7&#10;JL59+cGZyHaopR3MyOWuk0ulMulMS/yhMT2+NFh9789OwzEbq22d7j6P7wfzJqdu3W9XUevbm+n5&#10;CUTEKf6FYcZndCiZ6eTPZIPo2Kv0IeUsq9Va8aw5kySzOrHK0vslyLKQ/3eUvwAAAP//AwBQSwEC&#10;LQAUAAYACAAAACEAtoM4kv4AAADhAQAAEwAAAAAAAAAAAAAAAAAAAAAAW0NvbnRlbnRfVHlwZXNd&#10;LnhtbFBLAQItABQABgAIAAAAIQA4/SH/1gAAAJQBAAALAAAAAAAAAAAAAAAAAC8BAABfcmVscy8u&#10;cmVsc1BLAQItABQABgAIAAAAIQB/T6R80gIAAMkFAAAOAAAAAAAAAAAAAAAAAC4CAABkcnMvZTJv&#10;RG9jLnhtbFBLAQItABQABgAIAAAAIQDc1AwD3wAAAA8BAAAPAAAAAAAAAAAAAAAAACwFAABkcnMv&#10;ZG93bnJldi54bWxQSwUGAAAAAAQABADzAAAAOAYAAAAA&#10;" filled="f" fillcolor="#5c83b4" stroked="f" strokecolor="#737373">
              <v:textbox>
                <w:txbxContent>
                  <w:p w:rsidR="008F6118" w:rsidRPr="001D21D4" w:rsidRDefault="008F6118" w:rsidP="001D21D4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 w:rsidRPr="001D21D4">
                      <w:fldChar w:fldCharType="begin"/>
                    </w:r>
                    <w:r w:rsidRPr="001D21D4">
                      <w:instrText>PAGE    \* MERGEFORMAT</w:instrText>
                    </w:r>
                    <w:r w:rsidRPr="001D21D4">
                      <w:fldChar w:fldCharType="separate"/>
                    </w:r>
                    <w:r w:rsidR="00AB6F1C">
                      <w:rPr>
                        <w:noProof/>
                      </w:rPr>
                      <w:t>14</w:t>
                    </w:r>
                    <w:r w:rsidRPr="001D21D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6B" w:rsidRDefault="00C1496B" w:rsidP="001D21D4">
      <w:r>
        <w:separator/>
      </w:r>
    </w:p>
  </w:footnote>
  <w:footnote w:type="continuationSeparator" w:id="0">
    <w:p w:rsidR="00C1496B" w:rsidRDefault="00C1496B" w:rsidP="001D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8ED"/>
    <w:multiLevelType w:val="hybridMultilevel"/>
    <w:tmpl w:val="E19EF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D18"/>
    <w:multiLevelType w:val="hybridMultilevel"/>
    <w:tmpl w:val="5ECE6AD4"/>
    <w:lvl w:ilvl="0" w:tplc="56EAB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460"/>
    <w:multiLevelType w:val="multilevel"/>
    <w:tmpl w:val="D0AAB60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B0FFA"/>
    <w:multiLevelType w:val="hybridMultilevel"/>
    <w:tmpl w:val="5046EF1A"/>
    <w:lvl w:ilvl="0" w:tplc="036222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08D"/>
    <w:multiLevelType w:val="hybridMultilevel"/>
    <w:tmpl w:val="24A2CA24"/>
    <w:lvl w:ilvl="0" w:tplc="373088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6A51"/>
    <w:multiLevelType w:val="hybridMultilevel"/>
    <w:tmpl w:val="9DCAC496"/>
    <w:lvl w:ilvl="0" w:tplc="47E6B2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10C7"/>
    <w:multiLevelType w:val="multilevel"/>
    <w:tmpl w:val="95BE3E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765D4"/>
    <w:multiLevelType w:val="hybridMultilevel"/>
    <w:tmpl w:val="86E694C4"/>
    <w:lvl w:ilvl="0" w:tplc="93B066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DEA"/>
    <w:multiLevelType w:val="multilevel"/>
    <w:tmpl w:val="6E9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9E75B0"/>
    <w:multiLevelType w:val="hybridMultilevel"/>
    <w:tmpl w:val="6C06AE78"/>
    <w:lvl w:ilvl="0" w:tplc="8682BE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192C"/>
    <w:multiLevelType w:val="hybridMultilevel"/>
    <w:tmpl w:val="B0E49204"/>
    <w:lvl w:ilvl="0" w:tplc="08865F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5D0"/>
    <w:multiLevelType w:val="hybridMultilevel"/>
    <w:tmpl w:val="7456A464"/>
    <w:lvl w:ilvl="0" w:tplc="7054E8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64E83"/>
    <w:multiLevelType w:val="hybridMultilevel"/>
    <w:tmpl w:val="72DA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162DC"/>
    <w:multiLevelType w:val="hybridMultilevel"/>
    <w:tmpl w:val="D95A1148"/>
    <w:lvl w:ilvl="0" w:tplc="373088AE">
      <w:start w:val="3"/>
      <w:numFmt w:val="bullet"/>
      <w:lvlText w:val="-"/>
      <w:lvlJc w:val="left"/>
      <w:pPr>
        <w:ind w:left="115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48315013"/>
    <w:multiLevelType w:val="hybridMultilevel"/>
    <w:tmpl w:val="72BAB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73AB"/>
    <w:multiLevelType w:val="hybridMultilevel"/>
    <w:tmpl w:val="52C4A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0E1A"/>
    <w:multiLevelType w:val="hybridMultilevel"/>
    <w:tmpl w:val="EB5CB2F6"/>
    <w:lvl w:ilvl="0" w:tplc="7054E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779B"/>
    <w:multiLevelType w:val="hybridMultilevel"/>
    <w:tmpl w:val="A364A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5006A"/>
    <w:multiLevelType w:val="multilevel"/>
    <w:tmpl w:val="2B20F806"/>
    <w:lvl w:ilvl="0">
      <w:start w:val="1"/>
      <w:numFmt w:val="decimal"/>
      <w:pStyle w:val="StylNadpis116b"/>
      <w:isLgl/>
      <w:suff w:val="space"/>
      <w:lvlText w:val="%1.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2D52C2"/>
    <w:multiLevelType w:val="hybridMultilevel"/>
    <w:tmpl w:val="4B80D806"/>
    <w:lvl w:ilvl="0" w:tplc="373088AE">
      <w:start w:val="3"/>
      <w:numFmt w:val="bullet"/>
      <w:lvlText w:val="-"/>
      <w:lvlJc w:val="left"/>
      <w:pPr>
        <w:ind w:left="115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622B62B0"/>
    <w:multiLevelType w:val="multilevel"/>
    <w:tmpl w:val="99F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C87DB4"/>
    <w:multiLevelType w:val="hybridMultilevel"/>
    <w:tmpl w:val="D06A0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E500B"/>
    <w:multiLevelType w:val="multilevel"/>
    <w:tmpl w:val="D38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4048DA"/>
    <w:multiLevelType w:val="hybridMultilevel"/>
    <w:tmpl w:val="C4544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20"/>
  </w:num>
  <w:num w:numId="14">
    <w:abstractNumId w:val="6"/>
  </w:num>
  <w:num w:numId="15">
    <w:abstractNumId w:val="22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0"/>
  </w:num>
  <w:num w:numId="23">
    <w:abstractNumId w:val="19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0D"/>
    <w:rsid w:val="00005273"/>
    <w:rsid w:val="000060EA"/>
    <w:rsid w:val="00010859"/>
    <w:rsid w:val="000148C4"/>
    <w:rsid w:val="000170C9"/>
    <w:rsid w:val="00020818"/>
    <w:rsid w:val="00021015"/>
    <w:rsid w:val="00021587"/>
    <w:rsid w:val="0002471B"/>
    <w:rsid w:val="00024B02"/>
    <w:rsid w:val="00030277"/>
    <w:rsid w:val="00035308"/>
    <w:rsid w:val="000374AA"/>
    <w:rsid w:val="00056007"/>
    <w:rsid w:val="0006416C"/>
    <w:rsid w:val="00071D47"/>
    <w:rsid w:val="000724AF"/>
    <w:rsid w:val="00073EA5"/>
    <w:rsid w:val="00074218"/>
    <w:rsid w:val="00075324"/>
    <w:rsid w:val="00075783"/>
    <w:rsid w:val="000761A6"/>
    <w:rsid w:val="00083DF6"/>
    <w:rsid w:val="00090D58"/>
    <w:rsid w:val="00092BD5"/>
    <w:rsid w:val="000953E8"/>
    <w:rsid w:val="000974AB"/>
    <w:rsid w:val="000A60F9"/>
    <w:rsid w:val="000B573C"/>
    <w:rsid w:val="000B7B91"/>
    <w:rsid w:val="000D39E9"/>
    <w:rsid w:val="000D71FA"/>
    <w:rsid w:val="000E40BF"/>
    <w:rsid w:val="000F379E"/>
    <w:rsid w:val="000F3EEB"/>
    <w:rsid w:val="00102409"/>
    <w:rsid w:val="00111380"/>
    <w:rsid w:val="00115635"/>
    <w:rsid w:val="00117195"/>
    <w:rsid w:val="00123D2E"/>
    <w:rsid w:val="00133A96"/>
    <w:rsid w:val="00134F76"/>
    <w:rsid w:val="0014129A"/>
    <w:rsid w:val="00141834"/>
    <w:rsid w:val="00151422"/>
    <w:rsid w:val="00151680"/>
    <w:rsid w:val="00151EA9"/>
    <w:rsid w:val="00155E93"/>
    <w:rsid w:val="00156A0C"/>
    <w:rsid w:val="0016318C"/>
    <w:rsid w:val="00164D15"/>
    <w:rsid w:val="00172DB0"/>
    <w:rsid w:val="001743C6"/>
    <w:rsid w:val="00174DF8"/>
    <w:rsid w:val="001762E2"/>
    <w:rsid w:val="001804AF"/>
    <w:rsid w:val="00180C09"/>
    <w:rsid w:val="00190D94"/>
    <w:rsid w:val="0019291D"/>
    <w:rsid w:val="0019410A"/>
    <w:rsid w:val="001A05AC"/>
    <w:rsid w:val="001A135D"/>
    <w:rsid w:val="001A5918"/>
    <w:rsid w:val="001A6301"/>
    <w:rsid w:val="001A6CE6"/>
    <w:rsid w:val="001B0AA1"/>
    <w:rsid w:val="001B3605"/>
    <w:rsid w:val="001B72DE"/>
    <w:rsid w:val="001C0252"/>
    <w:rsid w:val="001C69EA"/>
    <w:rsid w:val="001D21D4"/>
    <w:rsid w:val="001D23AE"/>
    <w:rsid w:val="001D3B3E"/>
    <w:rsid w:val="001D3BBE"/>
    <w:rsid w:val="001E5111"/>
    <w:rsid w:val="001F0B9B"/>
    <w:rsid w:val="001F3FD9"/>
    <w:rsid w:val="001F6FCF"/>
    <w:rsid w:val="0020716B"/>
    <w:rsid w:val="002123AC"/>
    <w:rsid w:val="00216BFC"/>
    <w:rsid w:val="00227A9A"/>
    <w:rsid w:val="00231741"/>
    <w:rsid w:val="00235680"/>
    <w:rsid w:val="002378E9"/>
    <w:rsid w:val="00243524"/>
    <w:rsid w:val="00245D76"/>
    <w:rsid w:val="00250309"/>
    <w:rsid w:val="00256394"/>
    <w:rsid w:val="0025711F"/>
    <w:rsid w:val="002632AC"/>
    <w:rsid w:val="002634DE"/>
    <w:rsid w:val="0026676F"/>
    <w:rsid w:val="00270E75"/>
    <w:rsid w:val="00276A5A"/>
    <w:rsid w:val="0028052F"/>
    <w:rsid w:val="00285B0C"/>
    <w:rsid w:val="00292BFF"/>
    <w:rsid w:val="00294EAE"/>
    <w:rsid w:val="00296178"/>
    <w:rsid w:val="002A44E2"/>
    <w:rsid w:val="002A4604"/>
    <w:rsid w:val="002B161F"/>
    <w:rsid w:val="002B2EB0"/>
    <w:rsid w:val="002B4443"/>
    <w:rsid w:val="002B73C8"/>
    <w:rsid w:val="002C0698"/>
    <w:rsid w:val="002C15B1"/>
    <w:rsid w:val="002C2A30"/>
    <w:rsid w:val="002C4D96"/>
    <w:rsid w:val="002C69E6"/>
    <w:rsid w:val="002D7DDA"/>
    <w:rsid w:val="002E07D0"/>
    <w:rsid w:val="002E2434"/>
    <w:rsid w:val="002E4D24"/>
    <w:rsid w:val="002F326C"/>
    <w:rsid w:val="0030000D"/>
    <w:rsid w:val="00304E3D"/>
    <w:rsid w:val="00314E74"/>
    <w:rsid w:val="00321A10"/>
    <w:rsid w:val="003300DB"/>
    <w:rsid w:val="00332E9D"/>
    <w:rsid w:val="0033372C"/>
    <w:rsid w:val="003367C3"/>
    <w:rsid w:val="00340949"/>
    <w:rsid w:val="00340EFD"/>
    <w:rsid w:val="00341474"/>
    <w:rsid w:val="003414D2"/>
    <w:rsid w:val="0035230B"/>
    <w:rsid w:val="0035684C"/>
    <w:rsid w:val="003829D5"/>
    <w:rsid w:val="003841EA"/>
    <w:rsid w:val="00385477"/>
    <w:rsid w:val="003855DF"/>
    <w:rsid w:val="0039002D"/>
    <w:rsid w:val="0039377B"/>
    <w:rsid w:val="003A0DD8"/>
    <w:rsid w:val="003A27D0"/>
    <w:rsid w:val="003A2AF2"/>
    <w:rsid w:val="003B3CB4"/>
    <w:rsid w:val="003B5376"/>
    <w:rsid w:val="003C72BD"/>
    <w:rsid w:val="003D109C"/>
    <w:rsid w:val="003D172C"/>
    <w:rsid w:val="003E0522"/>
    <w:rsid w:val="003E5A60"/>
    <w:rsid w:val="003F5815"/>
    <w:rsid w:val="003F6089"/>
    <w:rsid w:val="00401608"/>
    <w:rsid w:val="00405789"/>
    <w:rsid w:val="004059A1"/>
    <w:rsid w:val="0041029D"/>
    <w:rsid w:val="00413970"/>
    <w:rsid w:val="00414039"/>
    <w:rsid w:val="00423F67"/>
    <w:rsid w:val="00430363"/>
    <w:rsid w:val="004315D6"/>
    <w:rsid w:val="0043392A"/>
    <w:rsid w:val="00442C6C"/>
    <w:rsid w:val="00450D5C"/>
    <w:rsid w:val="004511FD"/>
    <w:rsid w:val="00452509"/>
    <w:rsid w:val="00457149"/>
    <w:rsid w:val="00457CDB"/>
    <w:rsid w:val="00460B2E"/>
    <w:rsid w:val="00462CEA"/>
    <w:rsid w:val="00463E7B"/>
    <w:rsid w:val="00470F75"/>
    <w:rsid w:val="00472813"/>
    <w:rsid w:val="0047446E"/>
    <w:rsid w:val="0047482C"/>
    <w:rsid w:val="00476599"/>
    <w:rsid w:val="004765F3"/>
    <w:rsid w:val="00476959"/>
    <w:rsid w:val="00481809"/>
    <w:rsid w:val="0049345B"/>
    <w:rsid w:val="004A30D9"/>
    <w:rsid w:val="004A682A"/>
    <w:rsid w:val="004B11A3"/>
    <w:rsid w:val="004B2B66"/>
    <w:rsid w:val="004B3392"/>
    <w:rsid w:val="004C445D"/>
    <w:rsid w:val="004C782D"/>
    <w:rsid w:val="004D1397"/>
    <w:rsid w:val="004D3C27"/>
    <w:rsid w:val="004D6699"/>
    <w:rsid w:val="004E0B8C"/>
    <w:rsid w:val="004E3484"/>
    <w:rsid w:val="004F2D03"/>
    <w:rsid w:val="004F46A5"/>
    <w:rsid w:val="004F49B0"/>
    <w:rsid w:val="0050367E"/>
    <w:rsid w:val="005040BE"/>
    <w:rsid w:val="005070FB"/>
    <w:rsid w:val="005071D5"/>
    <w:rsid w:val="00510E02"/>
    <w:rsid w:val="00511C5D"/>
    <w:rsid w:val="00521336"/>
    <w:rsid w:val="00523B51"/>
    <w:rsid w:val="00532079"/>
    <w:rsid w:val="0053402D"/>
    <w:rsid w:val="0053760D"/>
    <w:rsid w:val="00537782"/>
    <w:rsid w:val="00544BCD"/>
    <w:rsid w:val="00546498"/>
    <w:rsid w:val="00546DDF"/>
    <w:rsid w:val="00546DF1"/>
    <w:rsid w:val="00560CC6"/>
    <w:rsid w:val="00561515"/>
    <w:rsid w:val="00572EA1"/>
    <w:rsid w:val="00575FB9"/>
    <w:rsid w:val="00580730"/>
    <w:rsid w:val="005901D5"/>
    <w:rsid w:val="005A3FD8"/>
    <w:rsid w:val="005A65F1"/>
    <w:rsid w:val="005B59CC"/>
    <w:rsid w:val="005C0019"/>
    <w:rsid w:val="005C1A25"/>
    <w:rsid w:val="005C39BB"/>
    <w:rsid w:val="005D56D3"/>
    <w:rsid w:val="005E2256"/>
    <w:rsid w:val="005E4D04"/>
    <w:rsid w:val="005E5FA6"/>
    <w:rsid w:val="005E6ADB"/>
    <w:rsid w:val="005E749E"/>
    <w:rsid w:val="005F12CD"/>
    <w:rsid w:val="005F2DC3"/>
    <w:rsid w:val="005F39BF"/>
    <w:rsid w:val="005F49E9"/>
    <w:rsid w:val="005F7803"/>
    <w:rsid w:val="00601A14"/>
    <w:rsid w:val="00611991"/>
    <w:rsid w:val="006175B4"/>
    <w:rsid w:val="00633EC4"/>
    <w:rsid w:val="00635BFA"/>
    <w:rsid w:val="006414D4"/>
    <w:rsid w:val="00641789"/>
    <w:rsid w:val="00643344"/>
    <w:rsid w:val="00643430"/>
    <w:rsid w:val="00644E66"/>
    <w:rsid w:val="00644E8D"/>
    <w:rsid w:val="00656079"/>
    <w:rsid w:val="00657191"/>
    <w:rsid w:val="006572DB"/>
    <w:rsid w:val="006615A2"/>
    <w:rsid w:val="00661CBE"/>
    <w:rsid w:val="00671629"/>
    <w:rsid w:val="006716C9"/>
    <w:rsid w:val="00673142"/>
    <w:rsid w:val="00685A05"/>
    <w:rsid w:val="00687808"/>
    <w:rsid w:val="006920F7"/>
    <w:rsid w:val="00693FC1"/>
    <w:rsid w:val="006A511F"/>
    <w:rsid w:val="006B44E0"/>
    <w:rsid w:val="006C7259"/>
    <w:rsid w:val="006D3AF2"/>
    <w:rsid w:val="006D6080"/>
    <w:rsid w:val="006D6212"/>
    <w:rsid w:val="006D6252"/>
    <w:rsid w:val="006E6C16"/>
    <w:rsid w:val="006F13CE"/>
    <w:rsid w:val="00701771"/>
    <w:rsid w:val="007060D9"/>
    <w:rsid w:val="00707BB1"/>
    <w:rsid w:val="00714F6B"/>
    <w:rsid w:val="00717EE3"/>
    <w:rsid w:val="007248D8"/>
    <w:rsid w:val="00733D32"/>
    <w:rsid w:val="00737A24"/>
    <w:rsid w:val="00745AD3"/>
    <w:rsid w:val="00747FFD"/>
    <w:rsid w:val="0075050E"/>
    <w:rsid w:val="007514AC"/>
    <w:rsid w:val="00753AD6"/>
    <w:rsid w:val="00753BA0"/>
    <w:rsid w:val="007710BE"/>
    <w:rsid w:val="0078283E"/>
    <w:rsid w:val="00790EDF"/>
    <w:rsid w:val="00797861"/>
    <w:rsid w:val="007A42CC"/>
    <w:rsid w:val="007B210A"/>
    <w:rsid w:val="007B2C01"/>
    <w:rsid w:val="007B3584"/>
    <w:rsid w:val="007B53BF"/>
    <w:rsid w:val="007B589F"/>
    <w:rsid w:val="007D2BCA"/>
    <w:rsid w:val="007D51ED"/>
    <w:rsid w:val="007E0E22"/>
    <w:rsid w:val="007F2541"/>
    <w:rsid w:val="008040DA"/>
    <w:rsid w:val="00806A59"/>
    <w:rsid w:val="00816BF5"/>
    <w:rsid w:val="00817459"/>
    <w:rsid w:val="00824867"/>
    <w:rsid w:val="008248F8"/>
    <w:rsid w:val="00826E8C"/>
    <w:rsid w:val="0084144D"/>
    <w:rsid w:val="00841808"/>
    <w:rsid w:val="00844581"/>
    <w:rsid w:val="00847301"/>
    <w:rsid w:val="00847F3C"/>
    <w:rsid w:val="00852865"/>
    <w:rsid w:val="008535A3"/>
    <w:rsid w:val="0086030B"/>
    <w:rsid w:val="00864FC1"/>
    <w:rsid w:val="00873A95"/>
    <w:rsid w:val="00873C07"/>
    <w:rsid w:val="0088123F"/>
    <w:rsid w:val="008947A7"/>
    <w:rsid w:val="00895568"/>
    <w:rsid w:val="00897986"/>
    <w:rsid w:val="008A1E99"/>
    <w:rsid w:val="008C0227"/>
    <w:rsid w:val="008C19A4"/>
    <w:rsid w:val="008E4558"/>
    <w:rsid w:val="008E5DC0"/>
    <w:rsid w:val="008E714E"/>
    <w:rsid w:val="008E76D3"/>
    <w:rsid w:val="008E7B5C"/>
    <w:rsid w:val="008F206B"/>
    <w:rsid w:val="008F2988"/>
    <w:rsid w:val="008F6118"/>
    <w:rsid w:val="008F6830"/>
    <w:rsid w:val="00901008"/>
    <w:rsid w:val="00903281"/>
    <w:rsid w:val="00911871"/>
    <w:rsid w:val="009169EC"/>
    <w:rsid w:val="00917848"/>
    <w:rsid w:val="00920058"/>
    <w:rsid w:val="009205E5"/>
    <w:rsid w:val="00922328"/>
    <w:rsid w:val="00923D61"/>
    <w:rsid w:val="00924C06"/>
    <w:rsid w:val="00925840"/>
    <w:rsid w:val="00931263"/>
    <w:rsid w:val="009329C4"/>
    <w:rsid w:val="009350EC"/>
    <w:rsid w:val="009439CE"/>
    <w:rsid w:val="00944086"/>
    <w:rsid w:val="0095534D"/>
    <w:rsid w:val="00963D1D"/>
    <w:rsid w:val="00977D0B"/>
    <w:rsid w:val="009876F1"/>
    <w:rsid w:val="00994C72"/>
    <w:rsid w:val="009A0074"/>
    <w:rsid w:val="009A158A"/>
    <w:rsid w:val="009B5B55"/>
    <w:rsid w:val="009B7799"/>
    <w:rsid w:val="009C124D"/>
    <w:rsid w:val="009C706C"/>
    <w:rsid w:val="009C7104"/>
    <w:rsid w:val="009D0317"/>
    <w:rsid w:val="009E0B2C"/>
    <w:rsid w:val="009E5A23"/>
    <w:rsid w:val="009F6632"/>
    <w:rsid w:val="00A01D1D"/>
    <w:rsid w:val="00A03577"/>
    <w:rsid w:val="00A11736"/>
    <w:rsid w:val="00A14D3C"/>
    <w:rsid w:val="00A15A7C"/>
    <w:rsid w:val="00A178F4"/>
    <w:rsid w:val="00A412EB"/>
    <w:rsid w:val="00A42F38"/>
    <w:rsid w:val="00A465AD"/>
    <w:rsid w:val="00A5568C"/>
    <w:rsid w:val="00A61CD0"/>
    <w:rsid w:val="00A652EE"/>
    <w:rsid w:val="00A825CA"/>
    <w:rsid w:val="00A82FF9"/>
    <w:rsid w:val="00A9258B"/>
    <w:rsid w:val="00AA77F8"/>
    <w:rsid w:val="00AB6F1C"/>
    <w:rsid w:val="00AC1C52"/>
    <w:rsid w:val="00AC2314"/>
    <w:rsid w:val="00AC3256"/>
    <w:rsid w:val="00AC3345"/>
    <w:rsid w:val="00AC4E8F"/>
    <w:rsid w:val="00AC7223"/>
    <w:rsid w:val="00AD6C9B"/>
    <w:rsid w:val="00AE7E42"/>
    <w:rsid w:val="00AF0FCD"/>
    <w:rsid w:val="00AF4BC3"/>
    <w:rsid w:val="00AF4DB7"/>
    <w:rsid w:val="00AF5216"/>
    <w:rsid w:val="00B00919"/>
    <w:rsid w:val="00B02D56"/>
    <w:rsid w:val="00B11974"/>
    <w:rsid w:val="00B1796D"/>
    <w:rsid w:val="00B2177A"/>
    <w:rsid w:val="00B239F6"/>
    <w:rsid w:val="00B27E33"/>
    <w:rsid w:val="00B322B8"/>
    <w:rsid w:val="00B40423"/>
    <w:rsid w:val="00B634D4"/>
    <w:rsid w:val="00B70513"/>
    <w:rsid w:val="00B71787"/>
    <w:rsid w:val="00B80C9B"/>
    <w:rsid w:val="00B83FA7"/>
    <w:rsid w:val="00B863B0"/>
    <w:rsid w:val="00B91CFB"/>
    <w:rsid w:val="00B946A7"/>
    <w:rsid w:val="00BB0302"/>
    <w:rsid w:val="00BB4EBF"/>
    <w:rsid w:val="00BC37F2"/>
    <w:rsid w:val="00BC4CC9"/>
    <w:rsid w:val="00BC6C5F"/>
    <w:rsid w:val="00BD0611"/>
    <w:rsid w:val="00BE0E15"/>
    <w:rsid w:val="00BE34F6"/>
    <w:rsid w:val="00BF2023"/>
    <w:rsid w:val="00BF4372"/>
    <w:rsid w:val="00BF5B06"/>
    <w:rsid w:val="00C00287"/>
    <w:rsid w:val="00C00A4A"/>
    <w:rsid w:val="00C05E1E"/>
    <w:rsid w:val="00C074B6"/>
    <w:rsid w:val="00C1496B"/>
    <w:rsid w:val="00C14FCB"/>
    <w:rsid w:val="00C22C62"/>
    <w:rsid w:val="00C22F7D"/>
    <w:rsid w:val="00C31231"/>
    <w:rsid w:val="00C32BAA"/>
    <w:rsid w:val="00C35E69"/>
    <w:rsid w:val="00C44EB5"/>
    <w:rsid w:val="00C45ECC"/>
    <w:rsid w:val="00C45F5D"/>
    <w:rsid w:val="00C50A75"/>
    <w:rsid w:val="00C56F96"/>
    <w:rsid w:val="00C6168F"/>
    <w:rsid w:val="00C62BEF"/>
    <w:rsid w:val="00C7438C"/>
    <w:rsid w:val="00C74BCA"/>
    <w:rsid w:val="00C77EF8"/>
    <w:rsid w:val="00C86411"/>
    <w:rsid w:val="00C86457"/>
    <w:rsid w:val="00C926FC"/>
    <w:rsid w:val="00C94815"/>
    <w:rsid w:val="00C964A0"/>
    <w:rsid w:val="00CA4014"/>
    <w:rsid w:val="00CA6B80"/>
    <w:rsid w:val="00CB10B2"/>
    <w:rsid w:val="00CB123A"/>
    <w:rsid w:val="00CB3B79"/>
    <w:rsid w:val="00CB50CB"/>
    <w:rsid w:val="00CD30AC"/>
    <w:rsid w:val="00CD5569"/>
    <w:rsid w:val="00CD5F2F"/>
    <w:rsid w:val="00CD702B"/>
    <w:rsid w:val="00CE2D98"/>
    <w:rsid w:val="00CE4169"/>
    <w:rsid w:val="00CF452C"/>
    <w:rsid w:val="00D07648"/>
    <w:rsid w:val="00D13108"/>
    <w:rsid w:val="00D15BB2"/>
    <w:rsid w:val="00D16C81"/>
    <w:rsid w:val="00D26275"/>
    <w:rsid w:val="00D3108B"/>
    <w:rsid w:val="00D335D2"/>
    <w:rsid w:val="00D40043"/>
    <w:rsid w:val="00D40409"/>
    <w:rsid w:val="00D4084F"/>
    <w:rsid w:val="00D53B28"/>
    <w:rsid w:val="00D56B1B"/>
    <w:rsid w:val="00D61172"/>
    <w:rsid w:val="00D6436D"/>
    <w:rsid w:val="00D67FC9"/>
    <w:rsid w:val="00D71E82"/>
    <w:rsid w:val="00D94C21"/>
    <w:rsid w:val="00D94E6A"/>
    <w:rsid w:val="00DA43A4"/>
    <w:rsid w:val="00DA441A"/>
    <w:rsid w:val="00DA5ADC"/>
    <w:rsid w:val="00DB45C7"/>
    <w:rsid w:val="00DC081C"/>
    <w:rsid w:val="00DD343B"/>
    <w:rsid w:val="00DF44BD"/>
    <w:rsid w:val="00E11872"/>
    <w:rsid w:val="00E15197"/>
    <w:rsid w:val="00E24BA7"/>
    <w:rsid w:val="00E32CC8"/>
    <w:rsid w:val="00E339BE"/>
    <w:rsid w:val="00E33E71"/>
    <w:rsid w:val="00E3544E"/>
    <w:rsid w:val="00E35F35"/>
    <w:rsid w:val="00E36082"/>
    <w:rsid w:val="00E443A4"/>
    <w:rsid w:val="00E45E25"/>
    <w:rsid w:val="00E46988"/>
    <w:rsid w:val="00E46B1B"/>
    <w:rsid w:val="00E5142E"/>
    <w:rsid w:val="00E51FF1"/>
    <w:rsid w:val="00E8039A"/>
    <w:rsid w:val="00E811F6"/>
    <w:rsid w:val="00E81440"/>
    <w:rsid w:val="00E82DE1"/>
    <w:rsid w:val="00E90776"/>
    <w:rsid w:val="00E912BC"/>
    <w:rsid w:val="00E92217"/>
    <w:rsid w:val="00E97B2C"/>
    <w:rsid w:val="00EA12B2"/>
    <w:rsid w:val="00EA6A88"/>
    <w:rsid w:val="00EA7BAB"/>
    <w:rsid w:val="00EA7FE6"/>
    <w:rsid w:val="00EB25EF"/>
    <w:rsid w:val="00EB4892"/>
    <w:rsid w:val="00EB753E"/>
    <w:rsid w:val="00EC3821"/>
    <w:rsid w:val="00ED1A29"/>
    <w:rsid w:val="00ED4AF3"/>
    <w:rsid w:val="00ED59DB"/>
    <w:rsid w:val="00ED7675"/>
    <w:rsid w:val="00EE2AC0"/>
    <w:rsid w:val="00EE505F"/>
    <w:rsid w:val="00EF0CBB"/>
    <w:rsid w:val="00EF3BA3"/>
    <w:rsid w:val="00EF731D"/>
    <w:rsid w:val="00F0292B"/>
    <w:rsid w:val="00F04011"/>
    <w:rsid w:val="00F1324A"/>
    <w:rsid w:val="00F17387"/>
    <w:rsid w:val="00F2265A"/>
    <w:rsid w:val="00F33313"/>
    <w:rsid w:val="00F432D0"/>
    <w:rsid w:val="00F449EE"/>
    <w:rsid w:val="00F47077"/>
    <w:rsid w:val="00F622A4"/>
    <w:rsid w:val="00F63E42"/>
    <w:rsid w:val="00F66DE2"/>
    <w:rsid w:val="00F67E4A"/>
    <w:rsid w:val="00F763B4"/>
    <w:rsid w:val="00F77A23"/>
    <w:rsid w:val="00F80108"/>
    <w:rsid w:val="00F83309"/>
    <w:rsid w:val="00F837CB"/>
    <w:rsid w:val="00F8735A"/>
    <w:rsid w:val="00F91298"/>
    <w:rsid w:val="00F917FB"/>
    <w:rsid w:val="00F92519"/>
    <w:rsid w:val="00F955EE"/>
    <w:rsid w:val="00FA22D1"/>
    <w:rsid w:val="00FA4C65"/>
    <w:rsid w:val="00FB465C"/>
    <w:rsid w:val="00FB5048"/>
    <w:rsid w:val="00FB6913"/>
    <w:rsid w:val="00FC444D"/>
    <w:rsid w:val="00FC5C80"/>
    <w:rsid w:val="00FC69A1"/>
    <w:rsid w:val="00FD0CE9"/>
    <w:rsid w:val="00FD388F"/>
    <w:rsid w:val="00FD3EE3"/>
    <w:rsid w:val="00FD5BDA"/>
    <w:rsid w:val="00FE055D"/>
    <w:rsid w:val="00FE0F42"/>
    <w:rsid w:val="00FE1D04"/>
    <w:rsid w:val="00FE2282"/>
    <w:rsid w:val="00FE3A55"/>
    <w:rsid w:val="00FE6D2F"/>
    <w:rsid w:val="00FF2FE7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8E070-1E47-4E45-8772-7B25D32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074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5FB9"/>
    <w:pPr>
      <w:keepNext/>
      <w:spacing w:before="240" w:after="60"/>
      <w:outlineLvl w:val="0"/>
    </w:pPr>
    <w:rPr>
      <w:rFonts w:eastAsia="Times New Roman"/>
      <w:b/>
      <w:bCs/>
      <w:color w:val="ED7D31" w:themeColor="accent2"/>
      <w:kern w:val="32"/>
      <w:sz w:val="28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4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2B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32E9D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332E9D"/>
    <w:rPr>
      <w:rFonts w:eastAsia="Times New Roman"/>
      <w:sz w:val="22"/>
      <w:szCs w:val="22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E9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2E9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75FB9"/>
    <w:rPr>
      <w:rFonts w:ascii="Arial" w:eastAsia="Times New Roman" w:hAnsi="Arial"/>
      <w:b/>
      <w:bCs/>
      <w:color w:val="ED7D31" w:themeColor="accent2"/>
      <w:kern w:val="32"/>
      <w:sz w:val="28"/>
      <w:szCs w:val="32"/>
      <w:lang w:val="x-none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D21D4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cs-CZ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635BFA"/>
    <w:pPr>
      <w:keepNext w:val="0"/>
      <w:spacing w:before="120" w:after="120" w:line="360" w:lineRule="auto"/>
      <w:outlineLvl w:val="9"/>
    </w:pPr>
    <w:rPr>
      <w:rFonts w:eastAsia="Calibri"/>
      <w:b w:val="0"/>
      <w:caps/>
      <w:color w:val="auto"/>
      <w:kern w:val="0"/>
      <w:szCs w:val="20"/>
    </w:rPr>
  </w:style>
  <w:style w:type="character" w:styleId="Hypertextovodkaz">
    <w:name w:val="Hyperlink"/>
    <w:uiPriority w:val="99"/>
    <w:unhideWhenUsed/>
    <w:rsid w:val="001D21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21D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D21D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21D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D21D4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4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6414D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41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FE0F42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FE0F42"/>
    <w:rPr>
      <w:rFonts w:ascii="Arial" w:hAnsi="Arial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2C4D96"/>
    <w:rPr>
      <w:i/>
      <w:iCs/>
    </w:rPr>
  </w:style>
  <w:style w:type="character" w:styleId="Siln">
    <w:name w:val="Strong"/>
    <w:uiPriority w:val="22"/>
    <w:qFormat/>
    <w:rsid w:val="002C4D96"/>
    <w:rPr>
      <w:b/>
      <w:bCs/>
    </w:rPr>
  </w:style>
  <w:style w:type="paragraph" w:styleId="Normlnweb">
    <w:name w:val="Normal (Web)"/>
    <w:basedOn w:val="Normln"/>
    <w:uiPriority w:val="99"/>
    <w:unhideWhenUsed/>
    <w:rsid w:val="002C4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rsid w:val="00BD0611"/>
    <w:pPr>
      <w:spacing w:before="144" w:after="14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7259"/>
    <w:pPr>
      <w:tabs>
        <w:tab w:val="right" w:leader="dot" w:pos="9062"/>
      </w:tabs>
      <w:ind w:left="220"/>
    </w:pPr>
    <w:rPr>
      <w:rFonts w:cs="Arial"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80C9B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80C9B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80C9B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80C9B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80C9B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80C9B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80C9B"/>
    <w:pPr>
      <w:ind w:left="1760"/>
    </w:pPr>
    <w:rPr>
      <w:rFonts w:ascii="Calibri" w:hAnsi="Calibri"/>
      <w:sz w:val="18"/>
      <w:szCs w:val="18"/>
    </w:rPr>
  </w:style>
  <w:style w:type="character" w:styleId="Odkaznakoment">
    <w:name w:val="annotation reference"/>
    <w:uiPriority w:val="99"/>
    <w:rsid w:val="009D03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D0317"/>
    <w:rPr>
      <w:rFonts w:ascii="Times New Roman" w:eastAsia="Arial Unicode MS" w:hAnsi="Times New Roman"/>
      <w:sz w:val="20"/>
      <w:szCs w:val="20"/>
      <w:u w:color="00000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9D0317"/>
    <w:rPr>
      <w:rFonts w:ascii="Times New Roman" w:eastAsia="Arial Unicode MS" w:hAnsi="Times New Roman"/>
      <w:u w:color="000000"/>
      <w:lang w:val="x-none" w:eastAsia="x-none"/>
    </w:rPr>
  </w:style>
  <w:style w:type="paragraph" w:customStyle="1" w:styleId="StylNadpis116b">
    <w:name w:val="Styl Nadpis 1 + 16 b."/>
    <w:basedOn w:val="Nadpis1"/>
    <w:rsid w:val="00641789"/>
    <w:pPr>
      <w:numPr>
        <w:numId w:val="1"/>
      </w:numPr>
      <w:spacing w:before="0" w:after="0"/>
      <w:jc w:val="center"/>
    </w:pPr>
    <w:rPr>
      <w:rFonts w:ascii="Times New Roman" w:hAnsi="Times New Roman"/>
      <w:caps/>
      <w:color w:val="auto"/>
      <w:kern w:val="0"/>
      <w:sz w:val="32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5B4"/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175B4"/>
    <w:rPr>
      <w:rFonts w:ascii="Arial" w:eastAsia="Arial Unicode MS" w:hAnsi="Arial"/>
      <w:b/>
      <w:bCs/>
      <w:u w:color="000000"/>
      <w:lang w:val="x-none"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685A05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link w:val="Textpoznpodarou"/>
    <w:uiPriority w:val="99"/>
    <w:rsid w:val="00685A05"/>
    <w:rPr>
      <w:rFonts w:ascii="Arial" w:hAnsi="Arial"/>
      <w:lang w:eastAsia="en-US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.Char Car Car Car Car,R,Légende;Char Car Car Car Car"/>
    <w:uiPriority w:val="99"/>
    <w:unhideWhenUsed/>
    <w:rsid w:val="00685A05"/>
    <w:rPr>
      <w:vertAlign w:val="superscript"/>
    </w:rPr>
  </w:style>
  <w:style w:type="paragraph" w:styleId="Revize">
    <w:name w:val="Revision"/>
    <w:hidden/>
    <w:uiPriority w:val="99"/>
    <w:semiHidden/>
    <w:rsid w:val="00FD3EE3"/>
    <w:rPr>
      <w:rFonts w:ascii="Arial" w:hAnsi="Arial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092B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33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7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6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9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1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grlf.cz/programy/podpora-pojisteni/" TargetMode="External"/><Relationship Id="rId18" Type="http://schemas.openxmlformats.org/officeDocument/2006/relationships/hyperlink" Target="https://www.pgrlf.cz/programy/pojisteni-lesnich-porostu/" TargetMode="External"/><Relationship Id="rId26" Type="http://schemas.openxmlformats.org/officeDocument/2006/relationships/hyperlink" Target="https://www.fi-compass.eu/publication/publications/financial-needs-agriculture-and-agri-food-sectors-czech-republic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pgrlf.cz/programy/uvery-a-zajisteni/investicni-uvery-lesnictv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grlf.cz/programy/program-zemedelec/" TargetMode="External"/><Relationship Id="rId17" Type="http://schemas.openxmlformats.org/officeDocument/2006/relationships/hyperlink" Target="https://www.pgrlf.cz/programy/drevozpracujici-provozovny/" TargetMode="External"/><Relationship Id="rId25" Type="http://schemas.openxmlformats.org/officeDocument/2006/relationships/hyperlink" Target="https://www.dotaceeu.cz/getmedia/61d42df0-bce6-479e-8fcb-7ea6b7b69b02/MMR_FN_po_2020_Zaverecna_zprava_final_clean.pdf.aspx?ext=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grlf.cz/programy/technika-pro-hospodareni-v-lesich/" TargetMode="External"/><Relationship Id="rId20" Type="http://schemas.openxmlformats.org/officeDocument/2006/relationships/hyperlink" Target="https://www.pgrlf.cz/programy/uvery-a-zajisteni/investicni-uvery-zemedelec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taceeu.cz/Dotace/media/MMR_MediaLib/Oko__leto-2016_infografika.pdf?ext=.pdf" TargetMode="External"/><Relationship Id="rId24" Type="http://schemas.openxmlformats.org/officeDocument/2006/relationships/hyperlink" Target="http://eagri.cz/public/web/mze/dotace/szp-pro-obdobi-2021-2027/zakladni-informace/prvni-cast-hodnoceni-zavedeni-financnich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grlf.cz/programy/podpora-nakupu-pudy/" TargetMode="External"/><Relationship Id="rId23" Type="http://schemas.openxmlformats.org/officeDocument/2006/relationships/hyperlink" Target="http://eagri.cz/public/web/mze/dotace/szp-pro-obdobi-2021-2027/zakladni-informace/prvni-cast-hodnoceni-zavedeni-financnich-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taceeu.cz/cs/evropske-fondy-v-cr/financni-nastroje" TargetMode="External"/><Relationship Id="rId19" Type="http://schemas.openxmlformats.org/officeDocument/2006/relationships/hyperlink" Target="https://www.pgrlf.cz/programy/program-zpracovate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mzrb.cz/podnikatele/produkty/" TargetMode="External"/><Relationship Id="rId14" Type="http://schemas.openxmlformats.org/officeDocument/2006/relationships/hyperlink" Target="https://www.pgrlf.cz/programy/pojisteni-lesni-skolky/" TargetMode="External"/><Relationship Id="rId22" Type="http://schemas.openxmlformats.org/officeDocument/2006/relationships/hyperlink" Target="https://www.pgrlf.cz/programy/provoz-2020/" TargetMode="External"/><Relationship Id="rId27" Type="http://schemas.openxmlformats.org/officeDocument/2006/relationships/hyperlink" Target="https://www.fi-compass.eu/publication/brochures/factsheet-financial-gap-eu-agricultural-sect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2021-01-06T00:00:00</PublishDate>
  <Abstract>Podklad pro jednání pracovních skupin pro přípravu Strategického plánu obsahuje návrhy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887DC-8D2B-409E-9095-F6B7915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5432</Words>
  <Characters>32055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dobrého zemědělského a environmentálního stavu půdy (DZES)</vt:lpstr>
    </vt:vector>
  </TitlesOfParts>
  <Company>MZe ČR</Company>
  <LinksUpToDate>false</LinksUpToDate>
  <CharactersWithSpaces>37413</CharactersWithSpaces>
  <SharedDoc>false</SharedDoc>
  <HLinks>
    <vt:vector size="66" baseType="variant"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_Toc63063973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_Toc63063972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_Toc63063971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_Toc63063970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_Toc63063969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_Toc63063968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_Toc63063967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_Toc63063966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_Toc63063965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_Toc63063964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_Toc63063963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dobrého zemědělského a environmentálního stavu půdy (DZES)</dc:title>
  <dc:subject>Materiál pro jednání pracovních skupin SP SZP</dc:subject>
  <dc:creator>Pechačová Pavla</dc:creator>
  <cp:keywords/>
  <cp:lastModifiedBy>Polišenská Anna</cp:lastModifiedBy>
  <cp:revision>5</cp:revision>
  <cp:lastPrinted>2021-01-07T18:56:00Z</cp:lastPrinted>
  <dcterms:created xsi:type="dcterms:W3CDTF">2021-06-03T11:06:00Z</dcterms:created>
  <dcterms:modified xsi:type="dcterms:W3CDTF">2021-06-03T11:51:00Z</dcterms:modified>
</cp:coreProperties>
</file>