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B7EF" w14:textId="77777777" w:rsidR="00313ECA" w:rsidRDefault="00313ECA"/>
    <w:tbl>
      <w:tblPr>
        <w:tblpPr w:leftFromText="187" w:rightFromText="187" w:vertAnchor="page" w:horzAnchor="margin" w:tblpY="3613"/>
        <w:tblW w:w="4924" w:type="pct"/>
        <w:tblCellMar>
          <w:top w:w="216" w:type="dxa"/>
          <w:left w:w="216" w:type="dxa"/>
          <w:bottom w:w="216" w:type="dxa"/>
          <w:right w:w="216" w:type="dxa"/>
        </w:tblCellMar>
        <w:tblLook w:val="04A0" w:firstRow="1" w:lastRow="0" w:firstColumn="1" w:lastColumn="0" w:noHBand="0" w:noVBand="1"/>
      </w:tblPr>
      <w:tblGrid>
        <w:gridCol w:w="4806"/>
        <w:gridCol w:w="4128"/>
      </w:tblGrid>
      <w:tr w:rsidR="00313ECA" w14:paraId="0C9BC7ED" w14:textId="77777777" w:rsidTr="00313ECA">
        <w:tc>
          <w:tcPr>
            <w:tcW w:w="4806" w:type="dxa"/>
            <w:tcBorders>
              <w:bottom w:val="single" w:sz="18" w:space="0" w:color="808080"/>
              <w:right w:val="single" w:sz="18" w:space="0" w:color="808080"/>
            </w:tcBorders>
            <w:vAlign w:val="center"/>
          </w:tcPr>
          <w:p w14:paraId="52C725AA" w14:textId="77777777" w:rsidR="00313ECA" w:rsidRPr="00313ECA" w:rsidRDefault="00313ECA" w:rsidP="00313ECA">
            <w:pPr>
              <w:pStyle w:val="Bezmezer"/>
              <w:rPr>
                <w:rFonts w:ascii="Cambria" w:hAnsi="Cambria"/>
                <w:color w:val="00B050"/>
                <w:sz w:val="76"/>
                <w:szCs w:val="76"/>
                <w:u w:val="single"/>
              </w:rPr>
            </w:pPr>
            <w:r w:rsidRPr="00313ECA">
              <w:rPr>
                <w:rFonts w:ascii="Cambria" w:hAnsi="Cambria"/>
                <w:color w:val="00B050"/>
                <w:sz w:val="76"/>
                <w:szCs w:val="76"/>
                <w:u w:val="single"/>
              </w:rPr>
              <w:t xml:space="preserve">AKIS </w:t>
            </w:r>
          </w:p>
          <w:p w14:paraId="3CFCBC6E" w14:textId="77777777" w:rsidR="00313ECA" w:rsidRPr="00313ECA" w:rsidRDefault="00313ECA" w:rsidP="00313ECA">
            <w:pPr>
              <w:pStyle w:val="Bezmezer"/>
              <w:rPr>
                <w:rFonts w:ascii="Cambria" w:hAnsi="Cambria"/>
                <w:color w:val="00B050"/>
                <w:sz w:val="76"/>
                <w:szCs w:val="76"/>
              </w:rPr>
            </w:pPr>
            <w:proofErr w:type="spellStart"/>
            <w:r w:rsidRPr="00313ECA">
              <w:rPr>
                <w:rFonts w:ascii="Cambria" w:hAnsi="Cambria"/>
                <w:color w:val="00B050"/>
                <w:sz w:val="56"/>
                <w:szCs w:val="56"/>
              </w:rPr>
              <w:t>Agricultural</w:t>
            </w:r>
            <w:proofErr w:type="spellEnd"/>
            <w:r w:rsidRPr="00313ECA">
              <w:rPr>
                <w:rFonts w:ascii="Cambria" w:hAnsi="Cambria"/>
                <w:color w:val="00B050"/>
                <w:sz w:val="56"/>
                <w:szCs w:val="56"/>
              </w:rPr>
              <w:t xml:space="preserve"> </w:t>
            </w:r>
            <w:proofErr w:type="spellStart"/>
            <w:r w:rsidRPr="00313ECA">
              <w:rPr>
                <w:rFonts w:ascii="Cambria" w:hAnsi="Cambria"/>
                <w:color w:val="00B050"/>
                <w:sz w:val="56"/>
                <w:szCs w:val="56"/>
              </w:rPr>
              <w:t>Knowledge</w:t>
            </w:r>
            <w:proofErr w:type="spellEnd"/>
            <w:r w:rsidRPr="00313ECA">
              <w:rPr>
                <w:rFonts w:ascii="Cambria" w:hAnsi="Cambria"/>
                <w:color w:val="00B050"/>
                <w:sz w:val="56"/>
                <w:szCs w:val="56"/>
              </w:rPr>
              <w:t xml:space="preserve"> and </w:t>
            </w:r>
            <w:proofErr w:type="spellStart"/>
            <w:r w:rsidRPr="00313ECA">
              <w:rPr>
                <w:rFonts w:ascii="Cambria" w:hAnsi="Cambria"/>
                <w:color w:val="00B050"/>
                <w:sz w:val="56"/>
                <w:szCs w:val="56"/>
              </w:rPr>
              <w:t>Innovation</w:t>
            </w:r>
            <w:proofErr w:type="spellEnd"/>
            <w:r w:rsidRPr="00313ECA">
              <w:rPr>
                <w:rFonts w:ascii="Cambria" w:hAnsi="Cambria"/>
                <w:color w:val="00B050"/>
                <w:sz w:val="56"/>
                <w:szCs w:val="56"/>
              </w:rPr>
              <w:t xml:space="preserve"> </w:t>
            </w:r>
            <w:proofErr w:type="spellStart"/>
            <w:r w:rsidRPr="00313ECA">
              <w:rPr>
                <w:rFonts w:ascii="Cambria" w:hAnsi="Cambria"/>
                <w:color w:val="00B050"/>
                <w:sz w:val="56"/>
                <w:szCs w:val="56"/>
              </w:rPr>
              <w:t>System</w:t>
            </w:r>
            <w:proofErr w:type="spellEnd"/>
          </w:p>
        </w:tc>
        <w:tc>
          <w:tcPr>
            <w:tcW w:w="4128" w:type="dxa"/>
            <w:tcBorders>
              <w:left w:val="single" w:sz="18" w:space="0" w:color="808080"/>
              <w:bottom w:val="single" w:sz="18" w:space="0" w:color="808080"/>
            </w:tcBorders>
            <w:vAlign w:val="center"/>
          </w:tcPr>
          <w:p w14:paraId="46D5A15A" w14:textId="62C3A807" w:rsidR="00313ECA" w:rsidRPr="00313ECA" w:rsidRDefault="00627CBA" w:rsidP="00627CBA">
            <w:pPr>
              <w:pStyle w:val="Bezmezer"/>
              <w:rPr>
                <w:color w:val="00B050"/>
                <w:sz w:val="72"/>
                <w:szCs w:val="72"/>
              </w:rPr>
            </w:pPr>
            <w:r>
              <w:rPr>
                <w:color w:val="00B050"/>
                <w:sz w:val="72"/>
                <w:szCs w:val="72"/>
              </w:rPr>
              <w:t>14</w:t>
            </w:r>
            <w:r w:rsidR="00313ECA" w:rsidRPr="00313ECA">
              <w:rPr>
                <w:color w:val="00B050"/>
                <w:sz w:val="72"/>
                <w:szCs w:val="72"/>
              </w:rPr>
              <w:t xml:space="preserve">. </w:t>
            </w:r>
            <w:r>
              <w:rPr>
                <w:color w:val="00B050"/>
                <w:sz w:val="72"/>
                <w:szCs w:val="72"/>
              </w:rPr>
              <w:t>6</w:t>
            </w:r>
            <w:r w:rsidR="00313ECA" w:rsidRPr="00313ECA">
              <w:rPr>
                <w:color w:val="00B050"/>
                <w:sz w:val="72"/>
                <w:szCs w:val="72"/>
              </w:rPr>
              <w:t>. 2021</w:t>
            </w:r>
          </w:p>
        </w:tc>
      </w:tr>
      <w:tr w:rsidR="00313ECA" w14:paraId="1931D5DA" w14:textId="77777777" w:rsidTr="00313ECA">
        <w:tc>
          <w:tcPr>
            <w:tcW w:w="4806" w:type="dxa"/>
            <w:tcBorders>
              <w:top w:val="single" w:sz="18" w:space="0" w:color="808080"/>
            </w:tcBorders>
            <w:vAlign w:val="center"/>
          </w:tcPr>
          <w:p w14:paraId="4F51747C" w14:textId="77777777" w:rsidR="00313ECA" w:rsidRPr="00313ECA" w:rsidRDefault="00313ECA" w:rsidP="00313ECA">
            <w:pPr>
              <w:pStyle w:val="Bezmezer"/>
              <w:rPr>
                <w:color w:val="00B050"/>
              </w:rPr>
            </w:pPr>
          </w:p>
        </w:tc>
        <w:tc>
          <w:tcPr>
            <w:tcW w:w="4128" w:type="dxa"/>
            <w:tcBorders>
              <w:top w:val="single" w:sz="18" w:space="0" w:color="808080"/>
            </w:tcBorders>
            <w:vAlign w:val="center"/>
          </w:tcPr>
          <w:p w14:paraId="02EEAB64" w14:textId="77777777" w:rsidR="00313ECA" w:rsidRPr="00313ECA" w:rsidRDefault="00313ECA" w:rsidP="00313ECA">
            <w:pPr>
              <w:pStyle w:val="Bezmezer"/>
              <w:rPr>
                <w:rFonts w:ascii="Cambria" w:hAnsi="Cambria"/>
                <w:color w:val="00B050"/>
                <w:sz w:val="36"/>
                <w:szCs w:val="36"/>
              </w:rPr>
            </w:pPr>
            <w:r w:rsidRPr="00313ECA">
              <w:rPr>
                <w:rFonts w:ascii="Cambria" w:hAnsi="Cambria"/>
                <w:color w:val="00B050"/>
                <w:sz w:val="36"/>
                <w:szCs w:val="36"/>
              </w:rPr>
              <w:t>Materiál pro jednání pracovních skupin SP SZP, vychází z návrhu EK</w:t>
            </w:r>
          </w:p>
        </w:tc>
      </w:tr>
    </w:tbl>
    <w:p w14:paraId="27E5BA5B" w14:textId="77777777" w:rsidR="00313ECA" w:rsidRDefault="00313ECA"/>
    <w:p w14:paraId="332AFB58" w14:textId="77777777" w:rsidR="00313ECA" w:rsidRDefault="00313ECA"/>
    <w:p w14:paraId="12F920FC" w14:textId="77777777" w:rsidR="00313ECA" w:rsidRDefault="00313ECA"/>
    <w:p w14:paraId="7A7317FE" w14:textId="77777777" w:rsidR="00313ECA" w:rsidRPr="00313ECA" w:rsidRDefault="00313ECA" w:rsidP="00313ECA"/>
    <w:p w14:paraId="2C6C712C" w14:textId="77777777" w:rsidR="00313ECA" w:rsidRPr="00313ECA" w:rsidRDefault="00313ECA" w:rsidP="00313ECA"/>
    <w:p w14:paraId="573E6F3D" w14:textId="77777777" w:rsidR="00313ECA" w:rsidRPr="00313ECA" w:rsidRDefault="00313ECA" w:rsidP="00313ECA"/>
    <w:p w14:paraId="113E513A" w14:textId="77777777" w:rsidR="00313ECA" w:rsidRDefault="00313ECA" w:rsidP="00313ECA">
      <w:pPr>
        <w:jc w:val="center"/>
      </w:pPr>
    </w:p>
    <w:p w14:paraId="1EBEDE49" w14:textId="77777777" w:rsidR="00313ECA" w:rsidRDefault="00313ECA" w:rsidP="00313ECA">
      <w:pPr>
        <w:jc w:val="center"/>
      </w:pPr>
    </w:p>
    <w:p w14:paraId="1B62638C" w14:textId="77777777" w:rsidR="00313ECA" w:rsidRDefault="00313ECA" w:rsidP="00313ECA">
      <w:pPr>
        <w:jc w:val="center"/>
      </w:pPr>
    </w:p>
    <w:p w14:paraId="2891C136" w14:textId="77777777" w:rsidR="009E4E33" w:rsidRDefault="009E4E33" w:rsidP="00313ECA">
      <w:pPr>
        <w:jc w:val="center"/>
      </w:pPr>
    </w:p>
    <w:p w14:paraId="7AADF5CD" w14:textId="77777777" w:rsidR="0079734B" w:rsidRDefault="0079734B" w:rsidP="00313ECA">
      <w:pPr>
        <w:jc w:val="center"/>
        <w:sectPr w:rsidR="0079734B" w:rsidSect="0079734B">
          <w:footerReference w:type="default" r:id="rId8"/>
          <w:pgSz w:w="11906" w:h="16838"/>
          <w:pgMar w:top="1417" w:right="1417" w:bottom="1417" w:left="1417" w:header="708" w:footer="708" w:gutter="0"/>
          <w:pgNumType w:start="1"/>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14:paraId="02F731CA" w14:textId="77777777" w:rsidTr="009E4E33">
        <w:tc>
          <w:tcPr>
            <w:tcW w:w="9096" w:type="dxa"/>
            <w:shd w:val="clear" w:color="auto" w:fill="F2F2F2"/>
          </w:tcPr>
          <w:p w14:paraId="7EBBBAB8" w14:textId="77777777" w:rsidR="007D35D1" w:rsidRPr="00B80C9B" w:rsidRDefault="00313ECA" w:rsidP="003E6B7A">
            <w:pPr>
              <w:spacing w:after="120"/>
              <w:rPr>
                <w:b/>
                <w:color w:val="76923C"/>
                <w:sz w:val="28"/>
                <w:szCs w:val="28"/>
              </w:rPr>
            </w:pPr>
            <w:r>
              <w:lastRenderedPageBreak/>
              <w:br w:type="page"/>
            </w:r>
            <w:r w:rsidR="007D35D1" w:rsidRPr="00B80C9B">
              <w:rPr>
                <w:b/>
                <w:color w:val="76923C"/>
                <w:sz w:val="28"/>
                <w:szCs w:val="28"/>
              </w:rPr>
              <w:t>OBSAH</w:t>
            </w:r>
          </w:p>
        </w:tc>
      </w:tr>
    </w:tbl>
    <w:p w14:paraId="603DB91E" w14:textId="77777777" w:rsidR="00313ECA" w:rsidRPr="00B80C9B" w:rsidRDefault="00313ECA" w:rsidP="00313ECA">
      <w:pPr>
        <w:spacing w:after="120"/>
        <w:jc w:val="left"/>
        <w:rPr>
          <w:b/>
          <w:color w:val="76923C"/>
          <w:sz w:val="28"/>
          <w:szCs w:val="28"/>
        </w:rPr>
      </w:pPr>
    </w:p>
    <w:sdt>
      <w:sdtPr>
        <w:rPr>
          <w:rFonts w:asciiTheme="minorHAnsi" w:eastAsiaTheme="minorHAnsi" w:hAnsiTheme="minorHAnsi" w:cstheme="minorBidi"/>
          <w:color w:val="auto"/>
          <w:sz w:val="24"/>
          <w:szCs w:val="22"/>
          <w:lang w:eastAsia="en-US"/>
        </w:rPr>
        <w:id w:val="-167941313"/>
        <w:docPartObj>
          <w:docPartGallery w:val="Table of Contents"/>
          <w:docPartUnique/>
        </w:docPartObj>
      </w:sdtPr>
      <w:sdtEndPr>
        <w:rPr>
          <w:b/>
          <w:bCs/>
        </w:rPr>
      </w:sdtEndPr>
      <w:sdtContent>
        <w:p w14:paraId="3AF3B095" w14:textId="77777777" w:rsidR="00960669" w:rsidRDefault="00960669">
          <w:pPr>
            <w:pStyle w:val="Nadpisobsahu"/>
          </w:pPr>
        </w:p>
        <w:p w14:paraId="31CA1833" w14:textId="77777777" w:rsidR="00960669" w:rsidRDefault="00960669">
          <w:pPr>
            <w:pStyle w:val="Obsah1"/>
            <w:tabs>
              <w:tab w:val="right" w:leader="dot" w:pos="9062"/>
            </w:tabs>
            <w:rPr>
              <w:rFonts w:eastAsiaTheme="minorEastAsia"/>
              <w:noProof/>
              <w:sz w:val="22"/>
              <w:lang w:eastAsia="cs-CZ"/>
            </w:rPr>
          </w:pPr>
          <w:r>
            <w:fldChar w:fldCharType="begin"/>
          </w:r>
          <w:r>
            <w:instrText xml:space="preserve"> TOC \o "1-3" \h \z \u </w:instrText>
          </w:r>
          <w:r>
            <w:fldChar w:fldCharType="separate"/>
          </w:r>
          <w:hyperlink w:anchor="_Toc63755658" w:history="1">
            <w:r w:rsidRPr="000B4B78">
              <w:rPr>
                <w:rStyle w:val="Hypertextovodkaz"/>
                <w:rFonts w:ascii="Arial" w:eastAsia="Times New Roman" w:hAnsi="Arial" w:cs="Arial"/>
                <w:bCs/>
                <w:noProof/>
                <w:kern w:val="32"/>
              </w:rPr>
              <w:t>Úvod</w:t>
            </w:r>
            <w:r>
              <w:rPr>
                <w:noProof/>
                <w:webHidden/>
              </w:rPr>
              <w:tab/>
            </w:r>
            <w:r>
              <w:rPr>
                <w:noProof/>
                <w:webHidden/>
              </w:rPr>
              <w:fldChar w:fldCharType="begin"/>
            </w:r>
            <w:r>
              <w:rPr>
                <w:noProof/>
                <w:webHidden/>
              </w:rPr>
              <w:instrText xml:space="preserve"> PAGEREF _Toc63755658 \h </w:instrText>
            </w:r>
            <w:r>
              <w:rPr>
                <w:noProof/>
                <w:webHidden/>
              </w:rPr>
            </w:r>
            <w:r>
              <w:rPr>
                <w:noProof/>
                <w:webHidden/>
              </w:rPr>
              <w:fldChar w:fldCharType="separate"/>
            </w:r>
            <w:r>
              <w:rPr>
                <w:noProof/>
                <w:webHidden/>
              </w:rPr>
              <w:t>2</w:t>
            </w:r>
            <w:r>
              <w:rPr>
                <w:noProof/>
                <w:webHidden/>
              </w:rPr>
              <w:fldChar w:fldCharType="end"/>
            </w:r>
          </w:hyperlink>
        </w:p>
        <w:p w14:paraId="310F2EBA" w14:textId="77777777" w:rsidR="00960669" w:rsidRDefault="004F59F4">
          <w:pPr>
            <w:pStyle w:val="Obsah1"/>
            <w:tabs>
              <w:tab w:val="right" w:leader="dot" w:pos="9062"/>
            </w:tabs>
            <w:rPr>
              <w:rFonts w:eastAsiaTheme="minorEastAsia"/>
              <w:noProof/>
              <w:sz w:val="22"/>
              <w:lang w:eastAsia="cs-CZ"/>
            </w:rPr>
          </w:pPr>
          <w:hyperlink w:anchor="_Toc63755659" w:history="1">
            <w:r w:rsidR="00960669" w:rsidRPr="000B4B78">
              <w:rPr>
                <w:rStyle w:val="Hypertextovodkaz"/>
                <w:rFonts w:ascii="Arial" w:eastAsia="Times New Roman" w:hAnsi="Arial" w:cs="Arial"/>
                <w:bCs/>
                <w:noProof/>
                <w:kern w:val="32"/>
              </w:rPr>
              <w:t>AKIS - Agricultural Knowledge and Innovation System</w:t>
            </w:r>
            <w:r w:rsidR="00960669">
              <w:rPr>
                <w:noProof/>
                <w:webHidden/>
              </w:rPr>
              <w:tab/>
            </w:r>
            <w:r w:rsidR="00960669">
              <w:rPr>
                <w:noProof/>
                <w:webHidden/>
              </w:rPr>
              <w:fldChar w:fldCharType="begin"/>
            </w:r>
            <w:r w:rsidR="00960669">
              <w:rPr>
                <w:noProof/>
                <w:webHidden/>
              </w:rPr>
              <w:instrText xml:space="preserve"> PAGEREF _Toc63755659 \h </w:instrText>
            </w:r>
            <w:r w:rsidR="00960669">
              <w:rPr>
                <w:noProof/>
                <w:webHidden/>
              </w:rPr>
            </w:r>
            <w:r w:rsidR="00960669">
              <w:rPr>
                <w:noProof/>
                <w:webHidden/>
              </w:rPr>
              <w:fldChar w:fldCharType="separate"/>
            </w:r>
            <w:r w:rsidR="00960669">
              <w:rPr>
                <w:noProof/>
                <w:webHidden/>
              </w:rPr>
              <w:t>3</w:t>
            </w:r>
            <w:r w:rsidR="00960669">
              <w:rPr>
                <w:noProof/>
                <w:webHidden/>
              </w:rPr>
              <w:fldChar w:fldCharType="end"/>
            </w:r>
          </w:hyperlink>
        </w:p>
        <w:p w14:paraId="2E805303" w14:textId="77777777" w:rsidR="00960669" w:rsidRDefault="004F59F4">
          <w:pPr>
            <w:pStyle w:val="Obsah1"/>
            <w:tabs>
              <w:tab w:val="right" w:leader="dot" w:pos="9062"/>
            </w:tabs>
            <w:rPr>
              <w:rFonts w:eastAsiaTheme="minorEastAsia"/>
              <w:noProof/>
              <w:sz w:val="22"/>
              <w:lang w:eastAsia="cs-CZ"/>
            </w:rPr>
          </w:pPr>
          <w:hyperlink w:anchor="_Toc63755660" w:history="1">
            <w:r w:rsidR="00960669" w:rsidRPr="000B4B78">
              <w:rPr>
                <w:rStyle w:val="Hypertextovodkaz"/>
                <w:rFonts w:ascii="Arial" w:eastAsia="Times New Roman" w:hAnsi="Arial" w:cs="Arial"/>
                <w:bCs/>
                <w:noProof/>
                <w:kern w:val="32"/>
              </w:rPr>
              <w:t>Podpora poradenství</w:t>
            </w:r>
            <w:r w:rsidR="00960669">
              <w:rPr>
                <w:noProof/>
                <w:webHidden/>
              </w:rPr>
              <w:tab/>
            </w:r>
            <w:r w:rsidR="00960669">
              <w:rPr>
                <w:noProof/>
                <w:webHidden/>
              </w:rPr>
              <w:fldChar w:fldCharType="begin"/>
            </w:r>
            <w:r w:rsidR="00960669">
              <w:rPr>
                <w:noProof/>
                <w:webHidden/>
              </w:rPr>
              <w:instrText xml:space="preserve"> PAGEREF _Toc63755660 \h </w:instrText>
            </w:r>
            <w:r w:rsidR="00960669">
              <w:rPr>
                <w:noProof/>
                <w:webHidden/>
              </w:rPr>
            </w:r>
            <w:r w:rsidR="00960669">
              <w:rPr>
                <w:noProof/>
                <w:webHidden/>
              </w:rPr>
              <w:fldChar w:fldCharType="separate"/>
            </w:r>
            <w:r w:rsidR="00960669">
              <w:rPr>
                <w:noProof/>
                <w:webHidden/>
              </w:rPr>
              <w:t>6</w:t>
            </w:r>
            <w:r w:rsidR="00960669">
              <w:rPr>
                <w:noProof/>
                <w:webHidden/>
              </w:rPr>
              <w:fldChar w:fldCharType="end"/>
            </w:r>
          </w:hyperlink>
        </w:p>
        <w:p w14:paraId="0BFD71D6" w14:textId="77777777" w:rsidR="00960669" w:rsidRDefault="004F59F4">
          <w:pPr>
            <w:pStyle w:val="Obsah1"/>
            <w:tabs>
              <w:tab w:val="right" w:leader="dot" w:pos="9062"/>
            </w:tabs>
            <w:rPr>
              <w:rFonts w:eastAsiaTheme="minorEastAsia"/>
              <w:noProof/>
              <w:sz w:val="22"/>
              <w:lang w:eastAsia="cs-CZ"/>
            </w:rPr>
          </w:pPr>
          <w:hyperlink w:anchor="_Toc63755661" w:history="1">
            <w:r w:rsidR="00960669" w:rsidRPr="000B4B78">
              <w:rPr>
                <w:rStyle w:val="Hypertextovodkaz"/>
                <w:rFonts w:ascii="Arial" w:eastAsia="Times New Roman" w:hAnsi="Arial" w:cs="Arial"/>
                <w:bCs/>
                <w:noProof/>
                <w:kern w:val="32"/>
              </w:rPr>
              <w:t>Podpora vzdělávání</w:t>
            </w:r>
            <w:r w:rsidR="00960669">
              <w:rPr>
                <w:noProof/>
                <w:webHidden/>
              </w:rPr>
              <w:tab/>
            </w:r>
            <w:r w:rsidR="00960669">
              <w:rPr>
                <w:noProof/>
                <w:webHidden/>
              </w:rPr>
              <w:fldChar w:fldCharType="begin"/>
            </w:r>
            <w:r w:rsidR="00960669">
              <w:rPr>
                <w:noProof/>
                <w:webHidden/>
              </w:rPr>
              <w:instrText xml:space="preserve"> PAGEREF _Toc63755661 \h </w:instrText>
            </w:r>
            <w:r w:rsidR="00960669">
              <w:rPr>
                <w:noProof/>
                <w:webHidden/>
              </w:rPr>
            </w:r>
            <w:r w:rsidR="00960669">
              <w:rPr>
                <w:noProof/>
                <w:webHidden/>
              </w:rPr>
              <w:fldChar w:fldCharType="separate"/>
            </w:r>
            <w:r w:rsidR="00960669">
              <w:rPr>
                <w:noProof/>
                <w:webHidden/>
              </w:rPr>
              <w:t>8</w:t>
            </w:r>
            <w:r w:rsidR="00960669">
              <w:rPr>
                <w:noProof/>
                <w:webHidden/>
              </w:rPr>
              <w:fldChar w:fldCharType="end"/>
            </w:r>
          </w:hyperlink>
        </w:p>
        <w:p w14:paraId="1504C6C2" w14:textId="77777777" w:rsidR="00960669" w:rsidRDefault="004F59F4">
          <w:pPr>
            <w:pStyle w:val="Obsah1"/>
            <w:tabs>
              <w:tab w:val="right" w:leader="dot" w:pos="9062"/>
            </w:tabs>
            <w:rPr>
              <w:rFonts w:eastAsiaTheme="minorEastAsia"/>
              <w:noProof/>
              <w:sz w:val="22"/>
              <w:lang w:eastAsia="cs-CZ"/>
            </w:rPr>
          </w:pPr>
          <w:hyperlink w:anchor="_Toc63755662" w:history="1">
            <w:r w:rsidR="00960669" w:rsidRPr="000B4B78">
              <w:rPr>
                <w:rStyle w:val="Hypertextovodkaz"/>
                <w:rFonts w:ascii="Arial" w:eastAsia="Times New Roman" w:hAnsi="Arial" w:cs="Arial"/>
                <w:bCs/>
                <w:noProof/>
                <w:kern w:val="32"/>
              </w:rPr>
              <w:t>Podpora operačních skupin a projektů EIP</w:t>
            </w:r>
            <w:r w:rsidR="00960669">
              <w:rPr>
                <w:noProof/>
                <w:webHidden/>
              </w:rPr>
              <w:tab/>
            </w:r>
            <w:r w:rsidR="00960669">
              <w:rPr>
                <w:noProof/>
                <w:webHidden/>
              </w:rPr>
              <w:fldChar w:fldCharType="begin"/>
            </w:r>
            <w:r w:rsidR="00960669">
              <w:rPr>
                <w:noProof/>
                <w:webHidden/>
              </w:rPr>
              <w:instrText xml:space="preserve"> PAGEREF _Toc63755662 \h </w:instrText>
            </w:r>
            <w:r w:rsidR="00960669">
              <w:rPr>
                <w:noProof/>
                <w:webHidden/>
              </w:rPr>
            </w:r>
            <w:r w:rsidR="00960669">
              <w:rPr>
                <w:noProof/>
                <w:webHidden/>
              </w:rPr>
              <w:fldChar w:fldCharType="separate"/>
            </w:r>
            <w:r w:rsidR="00960669">
              <w:rPr>
                <w:noProof/>
                <w:webHidden/>
              </w:rPr>
              <w:t>9</w:t>
            </w:r>
            <w:r w:rsidR="00960669">
              <w:rPr>
                <w:noProof/>
                <w:webHidden/>
              </w:rPr>
              <w:fldChar w:fldCharType="end"/>
            </w:r>
          </w:hyperlink>
        </w:p>
        <w:p w14:paraId="7349B3CD" w14:textId="352597E6" w:rsidR="00960669" w:rsidRDefault="00960669">
          <w:r>
            <w:rPr>
              <w:b/>
              <w:bCs/>
            </w:rPr>
            <w:fldChar w:fldCharType="end"/>
          </w:r>
        </w:p>
      </w:sdtContent>
    </w:sdt>
    <w:p w14:paraId="6D83A992" w14:textId="77777777" w:rsidR="00313ECA" w:rsidRDefault="00313ECA">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14:paraId="66B7BF08" w14:textId="77777777" w:rsidTr="007D35D1">
        <w:tc>
          <w:tcPr>
            <w:tcW w:w="9214" w:type="dxa"/>
            <w:shd w:val="clear" w:color="auto" w:fill="F2F2F2"/>
            <w:vAlign w:val="center"/>
          </w:tcPr>
          <w:p w14:paraId="6F0D27AB" w14:textId="77777777" w:rsidR="007D35D1" w:rsidRPr="00B80C9B" w:rsidRDefault="007D35D1" w:rsidP="007D35D1">
            <w:pPr>
              <w:pStyle w:val="Nadpis1"/>
              <w:keepLines w:val="0"/>
              <w:spacing w:after="60"/>
              <w:jc w:val="left"/>
            </w:pPr>
            <w:bookmarkStart w:id="0" w:name="_Toc63755658"/>
            <w:r w:rsidRPr="007D35D1">
              <w:rPr>
                <w:rFonts w:ascii="Arial" w:eastAsia="Times New Roman" w:hAnsi="Arial" w:cs="Arial"/>
                <w:bCs/>
                <w:color w:val="76923C"/>
                <w:kern w:val="32"/>
                <w:sz w:val="28"/>
              </w:rPr>
              <w:lastRenderedPageBreak/>
              <w:t>Ú</w:t>
            </w:r>
            <w:r w:rsidR="00960669">
              <w:rPr>
                <w:rFonts w:ascii="Arial" w:eastAsia="Times New Roman" w:hAnsi="Arial" w:cs="Arial"/>
                <w:bCs/>
                <w:color w:val="76923C"/>
                <w:kern w:val="32"/>
                <w:sz w:val="28"/>
              </w:rPr>
              <w:t>vod</w:t>
            </w:r>
            <w:bookmarkEnd w:id="0"/>
          </w:p>
        </w:tc>
      </w:tr>
    </w:tbl>
    <w:p w14:paraId="3228961C" w14:textId="77777777" w:rsidR="007B0279" w:rsidRDefault="00360A34" w:rsidP="000B08F0">
      <w:pPr>
        <w:ind w:firstLine="708"/>
      </w:pPr>
      <w:r>
        <w:t>Základní potřebou, na jejíž naplnění mají být směřovány odpovídající nástroje politiky SZP</w:t>
      </w:r>
      <w:r w:rsidR="005C0C96">
        <w:t>,</w:t>
      </w:r>
      <w:r>
        <w:t xml:space="preserve"> je </w:t>
      </w:r>
      <w:r w:rsidRPr="006723B6">
        <w:rPr>
          <w:b/>
          <w:bCs/>
        </w:rPr>
        <w:t>zvýšení úrovně znalostí v zemědělství, potravinářství</w:t>
      </w:r>
      <w:r w:rsidR="00E76F21">
        <w:rPr>
          <w:b/>
          <w:bCs/>
        </w:rPr>
        <w:t>,</w:t>
      </w:r>
      <w:r w:rsidRPr="006723B6">
        <w:rPr>
          <w:b/>
          <w:bCs/>
        </w:rPr>
        <w:t xml:space="preserve"> lesnictví</w:t>
      </w:r>
      <w:r w:rsidR="00E76F21">
        <w:rPr>
          <w:b/>
          <w:bCs/>
        </w:rPr>
        <w:t xml:space="preserve"> a </w:t>
      </w:r>
      <w:r w:rsidR="00F44C2B">
        <w:rPr>
          <w:b/>
          <w:bCs/>
        </w:rPr>
        <w:t>dalších aktivit ve venkovském prostoru</w:t>
      </w:r>
      <w:r>
        <w:t xml:space="preserve">. </w:t>
      </w:r>
      <w:r w:rsidRPr="00360A34">
        <w:t xml:space="preserve">Stávající poradenství nepokrývá některé klíčové potřeby </w:t>
      </w:r>
      <w:r w:rsidR="00E76F21">
        <w:t>v těchto výše uvedených oblastech</w:t>
      </w:r>
      <w:r w:rsidRPr="00360A34">
        <w:t xml:space="preserve">, které navíc nejsou projeveny v poptávce </w:t>
      </w:r>
      <w:r w:rsidR="00E76F21">
        <w:t>cílových aktérů</w:t>
      </w:r>
      <w:r w:rsidRPr="00360A34">
        <w:t>. Je to dáno nedostatečnými kapacitami zejména nezávislých poradců a jejich zaměřením, které dostatečně nepokrývá některá důležitá témata, nutná k rozvoji udržitelného zemědělství</w:t>
      </w:r>
      <w:r w:rsidR="00E76F21">
        <w:t xml:space="preserve"> a politiky venkova</w:t>
      </w:r>
      <w:r w:rsidRPr="00360A34">
        <w:t xml:space="preserve"> </w:t>
      </w:r>
      <w:r w:rsidR="00E76F21">
        <w:t>včetně</w:t>
      </w:r>
      <w:r w:rsidR="00E76F21" w:rsidRPr="00360A34">
        <w:t xml:space="preserve"> </w:t>
      </w:r>
      <w:r w:rsidRPr="00360A34">
        <w:t>efektivní implementac</w:t>
      </w:r>
      <w:r w:rsidR="00E76F21">
        <w:t>e</w:t>
      </w:r>
      <w:r w:rsidRPr="00360A34">
        <w:t xml:space="preserve"> SZP. Objem vzdělávání je poměrně značný, avšak nepokrývá dostatečně některá důležitá témata, která jsou pro zemědělství</w:t>
      </w:r>
      <w:r>
        <w:t xml:space="preserve">, </w:t>
      </w:r>
      <w:r w:rsidRPr="00360A34">
        <w:t>lesnictví</w:t>
      </w:r>
      <w:r w:rsidR="00BA1D17">
        <w:t>, venkov</w:t>
      </w:r>
      <w:r w:rsidRPr="00360A34">
        <w:t xml:space="preserve"> a efektivní zavedení SZP potřebná</w:t>
      </w:r>
      <w:r>
        <w:t>. T</w:t>
      </w:r>
      <w:r w:rsidRPr="00360A34">
        <w:t>émata ve vzdělávání jsou často příliš obecně zaměřen</w:t>
      </w:r>
      <w:r>
        <w:t>a</w:t>
      </w:r>
      <w:r w:rsidRPr="00360A34">
        <w:t>. Rozsah spolupráce mezi výzkumem a praxí, projevující se např. v počtu skupin EIP, je neuspokojivý.</w:t>
      </w:r>
    </w:p>
    <w:p w14:paraId="5A1381D8" w14:textId="77777777" w:rsidR="00390125" w:rsidRPr="00390125" w:rsidRDefault="00390125" w:rsidP="000B08F0">
      <w:pPr>
        <w:rPr>
          <w:szCs w:val="24"/>
        </w:rPr>
      </w:pPr>
      <w:r w:rsidRPr="00390125">
        <w:rPr>
          <w:szCs w:val="24"/>
        </w:rPr>
        <w:t xml:space="preserve">Přenos znalostí a rozvoj nezávislého poradenství získává na úrovni EU prioritu, přičemž na EU úrovni jsou generovány využitelné znalosti. Globální nebo regionální trendy jsou příležitostí k urychlení a rozvoji poradenství a vzdělávání, jako příklad lze uvést: zrychlující se rozvoj informačních technologií, </w:t>
      </w:r>
      <w:r w:rsidR="00730F8E" w:rsidRPr="00390125">
        <w:rPr>
          <w:szCs w:val="24"/>
        </w:rPr>
        <w:t>změn</w:t>
      </w:r>
      <w:r w:rsidR="00730F8E">
        <w:rPr>
          <w:szCs w:val="24"/>
        </w:rPr>
        <w:t>u</w:t>
      </w:r>
      <w:r w:rsidR="00730F8E" w:rsidRPr="00390125">
        <w:rPr>
          <w:szCs w:val="24"/>
        </w:rPr>
        <w:t xml:space="preserve"> </w:t>
      </w:r>
      <w:r w:rsidRPr="00390125">
        <w:rPr>
          <w:szCs w:val="24"/>
        </w:rPr>
        <w:t xml:space="preserve">klimatu, růst zájmu o životní prostředí, kvalitní potraviny </w:t>
      </w:r>
      <w:r w:rsidR="00730F8E">
        <w:rPr>
          <w:szCs w:val="24"/>
        </w:rPr>
        <w:t xml:space="preserve">a </w:t>
      </w:r>
      <w:r w:rsidRPr="00390125">
        <w:rPr>
          <w:szCs w:val="24"/>
        </w:rPr>
        <w:t xml:space="preserve">další globální výzvy. Pro český AKIS je spatřována příležitost v rozvoji evropských struktur spolupráce (např. EIP, </w:t>
      </w:r>
      <w:proofErr w:type="spellStart"/>
      <w:r w:rsidRPr="00390125">
        <w:rPr>
          <w:szCs w:val="24"/>
        </w:rPr>
        <w:t>Horizon</w:t>
      </w:r>
      <w:proofErr w:type="spellEnd"/>
      <w:r w:rsidRPr="00390125">
        <w:rPr>
          <w:szCs w:val="24"/>
        </w:rPr>
        <w:t xml:space="preserve"> 2020) a dalších grantových a projektových výzev.</w:t>
      </w:r>
    </w:p>
    <w:p w14:paraId="396914DC" w14:textId="29E7BD27" w:rsidR="00360A34" w:rsidRDefault="00026B63" w:rsidP="007B0279">
      <w:r>
        <w:t>M</w:t>
      </w:r>
      <w:r w:rsidRPr="00026B63">
        <w:t>ateriál navazuje na sérii jednání PS v lednu až dubnu 2021.</w:t>
      </w:r>
    </w:p>
    <w:p w14:paraId="0F520A26" w14:textId="77777777" w:rsidR="00C01C4E" w:rsidRDefault="00C01C4E">
      <w:pPr>
        <w:spacing w:before="0" w:after="160" w:line="259" w:lineRule="auto"/>
        <w:jc w:val="left"/>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14:paraId="3E337CED" w14:textId="77777777" w:rsidTr="003E6B7A">
        <w:tc>
          <w:tcPr>
            <w:tcW w:w="9214" w:type="dxa"/>
            <w:shd w:val="clear" w:color="auto" w:fill="F2F2F2"/>
            <w:vAlign w:val="center"/>
          </w:tcPr>
          <w:p w14:paraId="595C1F8E" w14:textId="77777777" w:rsidR="007D35D1" w:rsidRPr="007D35D1" w:rsidRDefault="007D35D1" w:rsidP="003E6B7A">
            <w:pPr>
              <w:pStyle w:val="Nadpis1"/>
              <w:keepLines w:val="0"/>
              <w:spacing w:after="60"/>
              <w:jc w:val="left"/>
              <w:rPr>
                <w:rFonts w:ascii="Arial" w:eastAsia="Times New Roman" w:hAnsi="Arial" w:cs="Arial"/>
                <w:bCs/>
                <w:color w:val="76923C"/>
                <w:kern w:val="32"/>
                <w:sz w:val="28"/>
              </w:rPr>
            </w:pPr>
            <w:bookmarkStart w:id="1" w:name="_Toc63755659"/>
            <w:r w:rsidRPr="007D35D1">
              <w:rPr>
                <w:rFonts w:ascii="Arial" w:eastAsia="Times New Roman" w:hAnsi="Arial" w:cs="Arial"/>
                <w:bCs/>
                <w:color w:val="76923C"/>
                <w:kern w:val="32"/>
                <w:sz w:val="28"/>
              </w:rPr>
              <w:lastRenderedPageBreak/>
              <w:t xml:space="preserve">AKIS - </w:t>
            </w:r>
            <w:proofErr w:type="spellStart"/>
            <w:r w:rsidRPr="007D35D1">
              <w:rPr>
                <w:rFonts w:ascii="Arial" w:eastAsia="Times New Roman" w:hAnsi="Arial" w:cs="Arial"/>
                <w:bCs/>
                <w:color w:val="76923C"/>
                <w:kern w:val="32"/>
                <w:sz w:val="28"/>
              </w:rPr>
              <w:t>Agricultural</w:t>
            </w:r>
            <w:proofErr w:type="spellEnd"/>
            <w:r w:rsidRPr="007D35D1">
              <w:rPr>
                <w:rFonts w:ascii="Arial" w:eastAsia="Times New Roman" w:hAnsi="Arial" w:cs="Arial"/>
                <w:bCs/>
                <w:color w:val="76923C"/>
                <w:kern w:val="32"/>
                <w:sz w:val="28"/>
              </w:rPr>
              <w:t xml:space="preserve"> </w:t>
            </w:r>
            <w:proofErr w:type="spellStart"/>
            <w:r w:rsidRPr="007D35D1">
              <w:rPr>
                <w:rFonts w:ascii="Arial" w:eastAsia="Times New Roman" w:hAnsi="Arial" w:cs="Arial"/>
                <w:bCs/>
                <w:color w:val="76923C"/>
                <w:kern w:val="32"/>
                <w:sz w:val="28"/>
              </w:rPr>
              <w:t>Knowledge</w:t>
            </w:r>
            <w:proofErr w:type="spellEnd"/>
            <w:r w:rsidRPr="007D35D1">
              <w:rPr>
                <w:rFonts w:ascii="Arial" w:eastAsia="Times New Roman" w:hAnsi="Arial" w:cs="Arial"/>
                <w:bCs/>
                <w:color w:val="76923C"/>
                <w:kern w:val="32"/>
                <w:sz w:val="28"/>
              </w:rPr>
              <w:t xml:space="preserve"> and </w:t>
            </w:r>
            <w:proofErr w:type="spellStart"/>
            <w:r w:rsidRPr="007D35D1">
              <w:rPr>
                <w:rFonts w:ascii="Arial" w:eastAsia="Times New Roman" w:hAnsi="Arial" w:cs="Arial"/>
                <w:bCs/>
                <w:color w:val="76923C"/>
                <w:kern w:val="32"/>
                <w:sz w:val="28"/>
              </w:rPr>
              <w:t>Innovation</w:t>
            </w:r>
            <w:proofErr w:type="spellEnd"/>
            <w:r w:rsidRPr="007D35D1">
              <w:rPr>
                <w:rFonts w:ascii="Arial" w:eastAsia="Times New Roman" w:hAnsi="Arial" w:cs="Arial"/>
                <w:bCs/>
                <w:color w:val="76923C"/>
                <w:kern w:val="32"/>
                <w:sz w:val="28"/>
              </w:rPr>
              <w:t xml:space="preserve"> </w:t>
            </w:r>
            <w:proofErr w:type="spellStart"/>
            <w:r w:rsidRPr="007D35D1">
              <w:rPr>
                <w:rFonts w:ascii="Arial" w:eastAsia="Times New Roman" w:hAnsi="Arial" w:cs="Arial"/>
                <w:bCs/>
                <w:color w:val="76923C"/>
                <w:kern w:val="32"/>
                <w:sz w:val="28"/>
              </w:rPr>
              <w:t>System</w:t>
            </w:r>
            <w:bookmarkEnd w:id="1"/>
            <w:proofErr w:type="spellEnd"/>
          </w:p>
        </w:tc>
      </w:tr>
    </w:tbl>
    <w:p w14:paraId="584C70FB" w14:textId="77777777" w:rsidR="00360A34" w:rsidRPr="00D91161" w:rsidRDefault="00643E08" w:rsidP="000B08F0">
      <w:pPr>
        <w:ind w:firstLine="708"/>
      </w:pPr>
      <w:r w:rsidRPr="00643E08">
        <w:t>Kapacity státu podporovat přenos znalostí jsou značné (např. počty univerzit a ústavů, zabývajících se výzkumem). Dále existuje systém akreditovaných zemědělských poradců. Do jisté míry podporují přenos znalostí také</w:t>
      </w:r>
      <w:r w:rsidR="00623014">
        <w:t xml:space="preserve"> </w:t>
      </w:r>
      <w:r w:rsidR="00730F8E">
        <w:t>zemědělská sdružení</w:t>
      </w:r>
      <w:r w:rsidRPr="00643E08">
        <w:t xml:space="preserve"> (organizace zastupující zemědělce), dodavatelé vstupů a další aktéři AKIS</w:t>
      </w:r>
      <w:r>
        <w:t xml:space="preserve">. </w:t>
      </w:r>
      <w:r w:rsidR="004B663E">
        <w:t>S</w:t>
      </w:r>
      <w:r w:rsidRPr="00D91161">
        <w:t xml:space="preserve">ilnou stránkou AKIS je </w:t>
      </w:r>
      <w:r w:rsidR="00360A34" w:rsidRPr="00D91161">
        <w:t>příznivá vzdělanostní struktura vedoucích pracovníků v</w:t>
      </w:r>
      <w:r w:rsidR="00BA1D17">
        <w:t xml:space="preserve"> některých </w:t>
      </w:r>
      <w:r w:rsidR="00360A34" w:rsidRPr="00D91161">
        <w:t xml:space="preserve">zemědělských </w:t>
      </w:r>
      <w:r w:rsidR="00BA1D17">
        <w:t>právnických osobách</w:t>
      </w:r>
      <w:r w:rsidR="00360A34" w:rsidRPr="00D91161">
        <w:t xml:space="preserve">. V podnicích fyzických osob již tak příznivá </w:t>
      </w:r>
      <w:r w:rsidRPr="00D91161">
        <w:t xml:space="preserve">situace </w:t>
      </w:r>
      <w:r w:rsidR="00360A34" w:rsidRPr="00D91161">
        <w:t>není. Zemědělci</w:t>
      </w:r>
      <w:r w:rsidR="00BA1D17">
        <w:t xml:space="preserve">, </w:t>
      </w:r>
      <w:r w:rsidR="00360A34" w:rsidRPr="00D91161">
        <w:t>lesníci</w:t>
      </w:r>
      <w:r w:rsidR="00BA1D17">
        <w:t xml:space="preserve"> a aktéři venkova</w:t>
      </w:r>
      <w:r w:rsidR="00360A34" w:rsidRPr="00D91161">
        <w:t xml:space="preserve"> mají k dispozici vzdělávací akce a řada oborů je dobře pokryta výzkumem. AKIS má již tradici ve vzdělávání a poradci, kteří v AKIS působí, mají vhodné zázemí (např. akreditace, výcvik)</w:t>
      </w:r>
      <w:r w:rsidRPr="00D91161">
        <w:t>. A</w:t>
      </w:r>
      <w:r w:rsidR="00360A34" w:rsidRPr="00D91161">
        <w:t>ktivní poradci pak vykazují dobrou odbornou úroveň a širokou klientelu. Informace jsou sdíleny na webových stránkách, na polních dnech i na demonstračních farmách.</w:t>
      </w:r>
      <w:r w:rsidR="00255704" w:rsidRPr="00D91161">
        <w:t xml:space="preserve"> Zemědělský</w:t>
      </w:r>
      <w:r w:rsidR="00BA1D17">
        <w:t xml:space="preserve">, </w:t>
      </w:r>
      <w:r w:rsidR="00255704" w:rsidRPr="00D91161">
        <w:t>lesnický</w:t>
      </w:r>
      <w:r w:rsidR="00BA1D17">
        <w:t xml:space="preserve"> a částečně zahrnující problematiku venkova (např. pozemkové úpravy, Leader) </w:t>
      </w:r>
      <w:r w:rsidR="00255704" w:rsidRPr="00D91161">
        <w:t xml:space="preserve">poradenský systém </w:t>
      </w:r>
      <w:r w:rsidR="00730F8E">
        <w:t>Ministerstva zemědělství</w:t>
      </w:r>
      <w:r w:rsidR="00255704" w:rsidRPr="00D91161">
        <w:t xml:space="preserve"> pokrývá </w:t>
      </w:r>
      <w:r w:rsidR="00BA1D17">
        <w:t>většinu</w:t>
      </w:r>
      <w:r w:rsidR="00BA1D17" w:rsidRPr="00D91161">
        <w:t xml:space="preserve"> </w:t>
      </w:r>
      <w:r w:rsidR="00255704" w:rsidRPr="00D91161">
        <w:t>pilíř</w:t>
      </w:r>
      <w:r w:rsidR="00BA1D17">
        <w:t>ů</w:t>
      </w:r>
      <w:r w:rsidR="00255704" w:rsidRPr="00D91161">
        <w:t xml:space="preserve"> poradenství (Koncepce poraden</w:t>
      </w:r>
      <w:r w:rsidR="00A25DE0">
        <w:t>ského systému Ministerstva zemědělství na období</w:t>
      </w:r>
      <w:r w:rsidR="00255704" w:rsidRPr="00D91161">
        <w:t xml:space="preserve"> 2017-2025).</w:t>
      </w:r>
    </w:p>
    <w:p w14:paraId="079721B5" w14:textId="77777777" w:rsidR="00360A34" w:rsidRPr="00D91161" w:rsidRDefault="00643E08" w:rsidP="000B08F0">
      <w:r w:rsidRPr="00D91161">
        <w:t xml:space="preserve">Na základě Koncepce vzdělávání </w:t>
      </w:r>
      <w:r w:rsidR="004B663E">
        <w:t>M</w:t>
      </w:r>
      <w:r w:rsidRPr="00D91161">
        <w:t>inisterstva zemědělství</w:t>
      </w:r>
      <w:r w:rsidR="00730F8E">
        <w:t xml:space="preserve"> na období 2015-2020</w:t>
      </w:r>
      <w:r w:rsidRPr="00D91161">
        <w:t xml:space="preserve"> je dlouhodobě podporováno</w:t>
      </w:r>
      <w:r w:rsidR="00255704" w:rsidRPr="00D91161">
        <w:t xml:space="preserve"> další odborné vzdělávání. </w:t>
      </w:r>
      <w:r w:rsidR="00360A34" w:rsidRPr="00D91161">
        <w:t>Dostupnost služeb resortních organizací M</w:t>
      </w:r>
      <w:r w:rsidR="00255704" w:rsidRPr="00D91161">
        <w:t>inisterstva zemědělství</w:t>
      </w:r>
      <w:r w:rsidR="00360A34" w:rsidRPr="00D91161">
        <w:t xml:space="preserve"> i dalších subjektů pro o</w:t>
      </w:r>
      <w:r w:rsidR="004B663E">
        <w:t>d</w:t>
      </w:r>
      <w:r w:rsidR="00360A34" w:rsidRPr="00D91161">
        <w:t xml:space="preserve">bornou i laickou veřejnost je </w:t>
      </w:r>
      <w:r w:rsidR="00255704" w:rsidRPr="00D91161">
        <w:t xml:space="preserve">v rámci AKIS </w:t>
      </w:r>
      <w:r w:rsidR="00360A34" w:rsidRPr="00D91161">
        <w:t xml:space="preserve">silnou stránkou. Dostatečný počet subjektů, </w:t>
      </w:r>
      <w:r w:rsidR="00255704" w:rsidRPr="00D91161">
        <w:t xml:space="preserve">které </w:t>
      </w:r>
      <w:r w:rsidR="00360A34" w:rsidRPr="00D91161">
        <w:t>poskytují formální vzdělávání</w:t>
      </w:r>
      <w:r w:rsidR="001C7A70">
        <w:t>,</w:t>
      </w:r>
      <w:r w:rsidR="00360A34" w:rsidRPr="00D91161">
        <w:t xml:space="preserve"> tvoří stabilní a trvalou vzdělávací základnu.</w:t>
      </w:r>
    </w:p>
    <w:p w14:paraId="4BF4CC09" w14:textId="77777777" w:rsidR="00C01C4E" w:rsidRPr="00D91161" w:rsidRDefault="00C01C4E" w:rsidP="000B08F0">
      <w:r w:rsidRPr="00D91161">
        <w:t>V AKIS však nejsou všechna témata vzděláváním a poradenstvím dostatečně pokryta, a to jak v oblasti soukromého, tak zejména veřejného zájmu. Poradenství je nerovnoměrně poskytováno jak geograficky, tak s ohledem na podnikatelskou strukturu (menším podnikům je poskytováno méně často z důvodu mj. horší vzdělanostní struktury a menších personálních kapacit</w:t>
      </w:r>
      <w:r w:rsidR="002E1A0A">
        <w:t xml:space="preserve"> </w:t>
      </w:r>
      <w:r w:rsidR="002E1A0A" w:rsidRPr="007B3055">
        <w:t>v zemědělských podnicích</w:t>
      </w:r>
      <w:r w:rsidRPr="007B3055">
        <w:t>).</w:t>
      </w:r>
      <w:r w:rsidRPr="00D91161">
        <w:t xml:space="preserve"> Služby některých poradců a vzdělávacích akcí nedosahují žádoucí kvality. Akreditovaných poradců není dostatečný počet (např. na jednoho poradce v zemědělství připadá 161 zemědělských podniků). V AKIS nejsou dostatečně vybudovány trvalé vazby, posilující přenos znalostí z výzkumu do praxe, dále nejsou dostatečně rozvinuty náročnější metody poradenství (např. podpora řešení konfliktů, poradenská podpora spolupráce) a poradenství není podporováno dostatečně systematickým sběrem potřeb znalostí v praxi. Nejsou dostatečně pokryty potřeby výzkumu v oblasti přenosu znalostí v AKIS.</w:t>
      </w:r>
    </w:p>
    <w:p w14:paraId="0944405A" w14:textId="77777777" w:rsidR="00C01C4E" w:rsidRDefault="00C01C4E" w:rsidP="000B08F0">
      <w:proofErr w:type="gramStart"/>
      <w:r w:rsidRPr="00D91161">
        <w:t xml:space="preserve">Zemědělci </w:t>
      </w:r>
      <w:r w:rsidR="00E12AA9">
        <w:t>a další</w:t>
      </w:r>
      <w:proofErr w:type="gramEnd"/>
      <w:r w:rsidR="00E12AA9">
        <w:t xml:space="preserve"> aktéři venkovského prostoru </w:t>
      </w:r>
      <w:r w:rsidRPr="00D91161">
        <w:t>nepoptávají poradenské služby v rozsahu, který by odpovídal skutečné potřebě v zemědělství,</w:t>
      </w:r>
      <w:r w:rsidR="00AE3F09">
        <w:t xml:space="preserve"> mnozí poradci cítí nedostatečnou důvěru a uznání jejich role ze strany státní správy.</w:t>
      </w:r>
      <w:r w:rsidRPr="00D91161">
        <w:t xml:space="preserve"> </w:t>
      </w:r>
      <w:r w:rsidR="00E74496" w:rsidRPr="00623014">
        <w:t>Relativní úroveň důvěry, která je jedním z určujících faktorů úrovně spolupráce, je v ČR nízká</w:t>
      </w:r>
      <w:r w:rsidR="00E74496">
        <w:t>.</w:t>
      </w:r>
      <w:r w:rsidR="00E74496" w:rsidRPr="00E74496" w:rsidDel="00E74496">
        <w:rPr>
          <w:rStyle w:val="Odkaznakoment"/>
        </w:rPr>
        <w:t xml:space="preserve"> </w:t>
      </w:r>
      <w:r w:rsidR="00623014">
        <w:t>J</w:t>
      </w:r>
      <w:r w:rsidRPr="00E74496">
        <w:t>e jednou z příčin nízkého počtu EIP a obecně motivace ke spolupráci v sekt</w:t>
      </w:r>
      <w:r w:rsidRPr="00D91161">
        <w:t>oru, což je jednou z překážek přenosu/sdílení znalostí. Podpora přenosu znalostí je příznačná vysokou administrativní zátěží.</w:t>
      </w:r>
    </w:p>
    <w:p w14:paraId="1A657053" w14:textId="77777777" w:rsidR="000B08F0" w:rsidRDefault="000B08F0" w:rsidP="00C01C4E">
      <w:pPr>
        <w:rPr>
          <w:b/>
          <w:bCs/>
        </w:rPr>
      </w:pPr>
    </w:p>
    <w:p w14:paraId="4092D966" w14:textId="77777777" w:rsidR="009E4E33" w:rsidRDefault="009E4E33" w:rsidP="00C01C4E">
      <w:pPr>
        <w:rPr>
          <w:b/>
          <w:bCs/>
        </w:rPr>
      </w:pPr>
    </w:p>
    <w:p w14:paraId="5CAAEF33" w14:textId="77777777" w:rsidR="000B08F0" w:rsidRDefault="000B08F0" w:rsidP="00C01C4E">
      <w:pPr>
        <w:rPr>
          <w:b/>
          <w:bCs/>
        </w:rPr>
      </w:pPr>
    </w:p>
    <w:p w14:paraId="24A76CDE" w14:textId="77777777" w:rsidR="000B08F0" w:rsidRDefault="000B08F0" w:rsidP="00C01C4E">
      <w:pPr>
        <w:rPr>
          <w:b/>
          <w:bCs/>
        </w:rPr>
      </w:pPr>
    </w:p>
    <w:p w14:paraId="4608455C" w14:textId="77777777" w:rsidR="007B0551" w:rsidRPr="00960669" w:rsidRDefault="007B0551" w:rsidP="00C01C4E">
      <w:pPr>
        <w:rPr>
          <w:b/>
          <w:bCs/>
          <w:color w:val="00B050"/>
        </w:rPr>
      </w:pPr>
      <w:r w:rsidRPr="00960669">
        <w:rPr>
          <w:b/>
          <w:bCs/>
          <w:color w:val="00B050"/>
        </w:rPr>
        <w:t>Organizační struktura AKIS – navrhovaný stav</w:t>
      </w:r>
    </w:p>
    <w:p w14:paraId="4659A38D" w14:textId="77777777" w:rsidR="00CF2247" w:rsidRPr="00CF2247" w:rsidRDefault="00635AA2" w:rsidP="00CF2247">
      <w:r>
        <w:rPr>
          <w:noProof/>
          <w:lang w:eastAsia="cs-CZ"/>
        </w:rPr>
        <w:drawing>
          <wp:inline distT="0" distB="0" distL="0" distR="0" wp14:anchorId="36D1A7EE" wp14:editId="24242A82">
            <wp:extent cx="5760720" cy="47777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b="843"/>
                    <a:stretch/>
                  </pic:blipFill>
                  <pic:spPr bwMode="auto">
                    <a:xfrm>
                      <a:off x="0" y="0"/>
                      <a:ext cx="5760720" cy="4777740"/>
                    </a:xfrm>
                    <a:prstGeom prst="rect">
                      <a:avLst/>
                    </a:prstGeom>
                    <a:ln>
                      <a:noFill/>
                    </a:ln>
                    <a:extLst>
                      <a:ext uri="{53640926-AAD7-44D8-BBD7-CCE9431645EC}">
                        <a14:shadowObscured xmlns:a14="http://schemas.microsoft.com/office/drawing/2010/main"/>
                      </a:ext>
                    </a:extLst>
                  </pic:spPr>
                </pic:pic>
              </a:graphicData>
            </a:graphic>
          </wp:inline>
        </w:drawing>
      </w:r>
    </w:p>
    <w:p w14:paraId="77E43CD9" w14:textId="77777777" w:rsidR="00C01C4E" w:rsidRPr="007B0551" w:rsidRDefault="00C01C4E" w:rsidP="000B08F0">
      <w:pPr>
        <w:spacing w:after="0"/>
        <w:rPr>
          <w:b/>
          <w:bCs/>
        </w:rPr>
      </w:pPr>
      <w:r w:rsidRPr="007B0551">
        <w:rPr>
          <w:b/>
          <w:bCs/>
        </w:rPr>
        <w:t>Legenda:</w:t>
      </w:r>
    </w:p>
    <w:p w14:paraId="09FF4EDD" w14:textId="77777777" w:rsidR="00C01C4E" w:rsidRDefault="00C01C4E" w:rsidP="000B08F0">
      <w:pPr>
        <w:spacing w:after="0"/>
        <w:contextualSpacing/>
      </w:pPr>
      <w:r>
        <w:t>Tmavomodrá – vládní organizace</w:t>
      </w:r>
    </w:p>
    <w:p w14:paraId="22813BD8" w14:textId="77777777" w:rsidR="00C01C4E" w:rsidRDefault="00C01C4E" w:rsidP="000B08F0">
      <w:pPr>
        <w:spacing w:after="0"/>
        <w:contextualSpacing/>
      </w:pPr>
      <w:r>
        <w:t>Světle modrá – organizace poskytující výzkum a vzdělávání</w:t>
      </w:r>
    </w:p>
    <w:p w14:paraId="52E192DA" w14:textId="77777777" w:rsidR="00C01C4E" w:rsidRDefault="00C01C4E" w:rsidP="000B08F0">
      <w:pPr>
        <w:spacing w:after="0"/>
        <w:contextualSpacing/>
      </w:pPr>
      <w:r>
        <w:t>Zelená – nevládní organizace</w:t>
      </w:r>
    </w:p>
    <w:p w14:paraId="32CB96AE" w14:textId="77777777" w:rsidR="00C01C4E" w:rsidRDefault="00C01C4E" w:rsidP="000B08F0">
      <w:pPr>
        <w:spacing w:after="0"/>
        <w:contextualSpacing/>
      </w:pPr>
      <w:r>
        <w:t>Hnědá</w:t>
      </w:r>
      <w:r w:rsidR="007B0551">
        <w:t xml:space="preserve"> – </w:t>
      </w:r>
      <w:r>
        <w:t>poradci a dodavatelé vstupů, poskytující poradenství a vzdělávání</w:t>
      </w:r>
    </w:p>
    <w:p w14:paraId="476050C0" w14:textId="77777777" w:rsidR="00C01C4E" w:rsidRDefault="00C01C4E" w:rsidP="000B08F0">
      <w:pPr>
        <w:spacing w:after="0"/>
        <w:contextualSpacing/>
      </w:pPr>
      <w:r>
        <w:t>Šedá – podnikatelé v zemědělství, lesnictví a potravinářství</w:t>
      </w:r>
    </w:p>
    <w:p w14:paraId="5506B0C9" w14:textId="77777777" w:rsidR="00C01C4E" w:rsidRDefault="00C01C4E" w:rsidP="000B08F0">
      <w:pPr>
        <w:spacing w:after="0"/>
        <w:contextualSpacing/>
      </w:pPr>
      <w:r>
        <w:t>Oranžová – Ústav zemědělské ekonomiky a informací (ÚZEI)</w:t>
      </w:r>
    </w:p>
    <w:p w14:paraId="7CB90374" w14:textId="77777777" w:rsidR="00EC3B2A" w:rsidRDefault="00C01C4E" w:rsidP="000B08F0">
      <w:pPr>
        <w:spacing w:after="0"/>
      </w:pPr>
      <w:r w:rsidRPr="00EC3B2A">
        <w:rPr>
          <w:b/>
          <w:bCs/>
        </w:rPr>
        <w:t>Šipky vyjadřují toky znalostí/informací, pravidel</w:t>
      </w:r>
      <w:r>
        <w:t xml:space="preserve">. </w:t>
      </w:r>
    </w:p>
    <w:p w14:paraId="60C683AE" w14:textId="77777777" w:rsidR="00EC3B2A" w:rsidRDefault="00C01C4E" w:rsidP="000B08F0">
      <w:pPr>
        <w:spacing w:after="0"/>
        <w:contextualSpacing/>
      </w:pPr>
      <w:r>
        <w:t>Zelené – vzdělávání a informace (zesílené – oboustranný tok)</w:t>
      </w:r>
    </w:p>
    <w:p w14:paraId="3AB6A4DF" w14:textId="77777777" w:rsidR="00EC3B2A" w:rsidRDefault="00C01C4E" w:rsidP="000B08F0">
      <w:pPr>
        <w:spacing w:after="0"/>
        <w:contextualSpacing/>
      </w:pPr>
      <w:r>
        <w:t>Oranžové - individuální poradenství</w:t>
      </w:r>
      <w:r w:rsidR="00623014">
        <w:t xml:space="preserve">, oranžová v červeném oválu – zavedena nová aktivita - </w:t>
      </w:r>
      <w:r w:rsidR="00623014" w:rsidRPr="00623014">
        <w:t>Individuální poradenství – faremní plány</w:t>
      </w:r>
    </w:p>
    <w:p w14:paraId="0BDFBFC1" w14:textId="77777777" w:rsidR="00EC3B2A" w:rsidRDefault="00C01C4E" w:rsidP="000B08F0">
      <w:pPr>
        <w:spacing w:after="0"/>
        <w:contextualSpacing/>
      </w:pPr>
      <w:r>
        <w:t xml:space="preserve">Modrá – akreditace poradců </w:t>
      </w:r>
    </w:p>
    <w:p w14:paraId="21CC0032" w14:textId="77777777" w:rsidR="00EC3B2A" w:rsidRDefault="00C01C4E" w:rsidP="000B08F0">
      <w:pPr>
        <w:spacing w:after="0"/>
        <w:contextualSpacing/>
      </w:pPr>
      <w:r>
        <w:t xml:space="preserve">Fialová - certifikace </w:t>
      </w:r>
      <w:r w:rsidR="00033430">
        <w:t>subjektů</w:t>
      </w:r>
      <w:r>
        <w:t xml:space="preserve"> poskytující poradenství – </w:t>
      </w:r>
      <w:r w:rsidRPr="00163781">
        <w:rPr>
          <w:b/>
          <w:bCs/>
        </w:rPr>
        <w:t>bude nově zavedená</w:t>
      </w:r>
      <w:r>
        <w:t xml:space="preserve"> </w:t>
      </w:r>
    </w:p>
    <w:p w14:paraId="2A3030AB" w14:textId="77777777" w:rsidR="00313ECA" w:rsidRPr="00313ECA" w:rsidRDefault="00C01C4E" w:rsidP="000B08F0">
      <w:pPr>
        <w:spacing w:after="0"/>
        <w:contextualSpacing/>
      </w:pPr>
      <w:r>
        <w:t>Červená - spolupráce poradců s organizacemi poskytujícími výzkum, vzdělávání a poradenství</w:t>
      </w:r>
    </w:p>
    <w:p w14:paraId="15C7D3EF" w14:textId="77777777" w:rsidR="00725252" w:rsidRDefault="00725252" w:rsidP="00725252"/>
    <w:p w14:paraId="2E1A3A10" w14:textId="77777777" w:rsidR="00725252" w:rsidRDefault="00725252" w:rsidP="00725252"/>
    <w:p w14:paraId="3F32412B" w14:textId="77777777" w:rsidR="00635AA2" w:rsidRDefault="00635AA2" w:rsidP="00725252"/>
    <w:p w14:paraId="05FAE1CC" w14:textId="77777777" w:rsidR="00725252" w:rsidRPr="00960669" w:rsidRDefault="00725252" w:rsidP="00725252">
      <w:pPr>
        <w:rPr>
          <w:b/>
          <w:bCs/>
          <w:color w:val="00B050"/>
        </w:rPr>
      </w:pPr>
      <w:r w:rsidRPr="00960669">
        <w:rPr>
          <w:b/>
          <w:bCs/>
          <w:color w:val="00B050"/>
        </w:rPr>
        <w:t>Navrhované změny v AKIS na období 2021-2027</w:t>
      </w:r>
    </w:p>
    <w:p w14:paraId="04B4F40E" w14:textId="77777777" w:rsidR="00725252" w:rsidRDefault="00725252" w:rsidP="00725252">
      <w:pPr>
        <w:pStyle w:val="Odstavecseseznamem"/>
        <w:numPr>
          <w:ilvl w:val="0"/>
          <w:numId w:val="1"/>
        </w:numPr>
      </w:pPr>
      <w:r>
        <w:t>Certifikace subjektů poskytujících poradens</w:t>
      </w:r>
      <w:r w:rsidR="00392E8C">
        <w:t>ké služby</w:t>
      </w:r>
      <w:r w:rsidR="00730F8E">
        <w:t>.</w:t>
      </w:r>
      <w:r>
        <w:t xml:space="preserve"> </w:t>
      </w:r>
    </w:p>
    <w:p w14:paraId="2D035F41" w14:textId="77777777" w:rsidR="00725252" w:rsidRDefault="00725252" w:rsidP="00725252">
      <w:pPr>
        <w:pStyle w:val="Odstavecseseznamem"/>
        <w:numPr>
          <w:ilvl w:val="0"/>
          <w:numId w:val="1"/>
        </w:numPr>
      </w:pPr>
      <w:r>
        <w:t>Zavedení podpory poradenství v rámci nové SZP.</w:t>
      </w:r>
    </w:p>
    <w:p w14:paraId="756A13DB" w14:textId="77777777" w:rsidR="00725252" w:rsidRDefault="00725252" w:rsidP="00725252">
      <w:pPr>
        <w:pStyle w:val="Odstavecseseznamem"/>
        <w:numPr>
          <w:ilvl w:val="0"/>
          <w:numId w:val="1"/>
        </w:numPr>
      </w:pPr>
      <w:r>
        <w:t>Rozšíření intervence EIP o formy bez investic (zejména podpora neinvestičních inovací).</w:t>
      </w:r>
    </w:p>
    <w:p w14:paraId="0188B133" w14:textId="77777777" w:rsidR="00725252" w:rsidRDefault="00725252" w:rsidP="00725252">
      <w:pPr>
        <w:pStyle w:val="Odstavecseseznamem"/>
        <w:numPr>
          <w:ilvl w:val="0"/>
          <w:numId w:val="1"/>
        </w:numPr>
      </w:pPr>
      <w:r>
        <w:t xml:space="preserve">Rozšíření výcviku poradců v oblasti měkkých dovedností (např. facilitace, řízení skupin, projektové dovednosti) pro nedostatečně rozvinuté formy inovací (např. kolektivní akce, včetně EIP skupin) různými formami výcviku a sdílení zkušeností. </w:t>
      </w:r>
    </w:p>
    <w:p w14:paraId="74028FB8" w14:textId="77777777" w:rsidR="00725252" w:rsidRDefault="00725252" w:rsidP="00725252">
      <w:pPr>
        <w:pStyle w:val="Odstavecseseznamem"/>
        <w:numPr>
          <w:ilvl w:val="0"/>
          <w:numId w:val="1"/>
        </w:numPr>
      </w:pPr>
      <w:r>
        <w:t>Bude rozšířeno portfolio témat, na která budou vzdělávání a poradenství cílena tak, aby odpovídala potřebám efektivního zavedení intervencí SZP a aby poradci měli nejaktuálnější informace (mj. ochrana životního prostředí, klimatická změna a rychle se vyvíjející oblast digitalizace zemědělství).</w:t>
      </w:r>
    </w:p>
    <w:p w14:paraId="21508DC4" w14:textId="77777777" w:rsidR="00725252" w:rsidRDefault="00725252" w:rsidP="00725252">
      <w:pPr>
        <w:pStyle w:val="Odstavecseseznamem"/>
        <w:numPr>
          <w:ilvl w:val="0"/>
          <w:numId w:val="1"/>
        </w:numPr>
      </w:pPr>
      <w:r>
        <w:t>Pestřejší formy výcviku poradců budou podporovat hlubší spolupráci mezi výzkumem a praxí.</w:t>
      </w:r>
    </w:p>
    <w:p w14:paraId="2A5B6A40" w14:textId="77777777" w:rsidR="00725252" w:rsidRDefault="00725252" w:rsidP="00725252">
      <w:pPr>
        <w:pStyle w:val="Odstavecseseznamem"/>
        <w:numPr>
          <w:ilvl w:val="0"/>
          <w:numId w:val="1"/>
        </w:numPr>
      </w:pPr>
      <w:r>
        <w:t>Zjednodušení administrace podpory vzdělávání – zjednodušení vykazování</w:t>
      </w:r>
      <w:r w:rsidR="005C0C96">
        <w:t>.</w:t>
      </w:r>
    </w:p>
    <w:p w14:paraId="1007EF1F" w14:textId="77777777" w:rsidR="00150788" w:rsidRDefault="00150788" w:rsidP="00725252">
      <w:r w:rsidRPr="00150788">
        <w:t>Certifikace subjektů poskytujících poradenství, která bude nově zavedena</w:t>
      </w:r>
      <w:r w:rsidR="009D5562">
        <w:t>,</w:t>
      </w:r>
      <w:r w:rsidRPr="00150788">
        <w:t xml:space="preserve"> se řídí pravidly pro certifikační proces, která jsou stanovena normou ČSN EN ISO/IEC 17065 „Posuzování shody - Požadavky na orgány certifikující produkty, procesy a služby“ a dále jsou vymezena certifikačním schématem akreditovaného subjektu oprávněného provádět certifikaci poradenského subjektu. Ministerstvo zemědělství stanovilo požadavky, které jsou vydefinovány v dokumentu „Požadavky na systém řízení poradenských subjektů poskytujících poradenské služby v oblasti zemědělství“, schválený PV č. 15/2020 (</w:t>
      </w:r>
      <w:proofErr w:type="gramStart"/>
      <w:r w:rsidRPr="00150788">
        <w:t>21.04.2020</w:t>
      </w:r>
      <w:proofErr w:type="gramEnd"/>
      <w:r w:rsidRPr="00150788">
        <w:t>). Tento dokument stanovuje požadavky na systém řízení poradenského subjektu poskytujícího poradenské služby v oblasti zemědělství, vodního hospodářství, potravinářství, lesního hospodářství, myslivosti nebo rybářství. Žadatel o certifikaci musí být v souladu s tímto dokumentem.</w:t>
      </w:r>
    </w:p>
    <w:p w14:paraId="1B6D31E2" w14:textId="77777777" w:rsidR="00725252" w:rsidRDefault="00725252" w:rsidP="00725252">
      <w:r>
        <w:t>Obnovením podpor poradenství (v rámci intervencí nové SZP) bude možné ovlivnit zaměření poradenství a posílit stavy poradců s odpovídajícím výcvikem. Zahrnutím nových organizací do podporovaného individuálního poradenství jako poskytovatele (</w:t>
      </w:r>
      <w:r w:rsidR="00033430">
        <w:t>z</w:t>
      </w:r>
      <w:r>
        <w:t xml:space="preserve">emědělská sdružení, </w:t>
      </w:r>
      <w:r w:rsidR="00033430">
        <w:t>p</w:t>
      </w:r>
      <w:r>
        <w:t>oradenské organizace) a nového požadavku, aby si najímali akreditované poradce (ve stanoveném minimálním počtu) a také neakreditované poradce při dodržování certifikovaných procesů, se předpokládá zvýšení celkové kapacity poradců, kteří budou zahrnuti do AKIS.</w:t>
      </w:r>
      <w:r w:rsidR="0043689B">
        <w:t xml:space="preserve"> </w:t>
      </w:r>
      <w:r>
        <w:t>Rozšířením záběru školení poradců a odpovídajících odborných oblastí i výcvikem bude rozšířena odborná kapacita celého poradenství.</w:t>
      </w:r>
      <w:r w:rsidR="0043689B">
        <w:t xml:space="preserve"> </w:t>
      </w:r>
      <w:r>
        <w:t xml:space="preserve">Zavedením nových </w:t>
      </w:r>
      <w:r w:rsidR="00730F8E">
        <w:t xml:space="preserve">aktivit </w:t>
      </w:r>
      <w:r>
        <w:t>podporovaného poradenství (a odpovídajícího zaměření výcviku poradců) bude také rozšířen záběr využívaných metod v poradenství.</w:t>
      </w:r>
    </w:p>
    <w:p w14:paraId="471F78BA" w14:textId="77777777" w:rsidR="00725252" w:rsidRDefault="00725252" w:rsidP="00725252">
      <w:r>
        <w:t xml:space="preserve">Rozšíření EIP na podporu skupin bez investic bude také rozšířen záběr typů inovací, které budou podporovány. Vzniknou tak nové, nebo posílené vazby mezi státní správou a poradenskými subjekty (certifikace poradenských subjektů) a dále mezi poradenskými </w:t>
      </w:r>
      <w:r>
        <w:lastRenderedPageBreak/>
        <w:t xml:space="preserve">subjekty (zemědělská sdružení, poradenské organizace) a akreditovanými i neakreditovanými poradci. Pro zavádění projektů EIP budou dále využívána preferenční kritéria, pokud projekt navazuje na výsledky mezinárodního výzkumného projektu </w:t>
      </w:r>
      <w:proofErr w:type="spellStart"/>
      <w:r>
        <w:t>H</w:t>
      </w:r>
      <w:r w:rsidR="00B619BD">
        <w:t>orizon</w:t>
      </w:r>
      <w:proofErr w:type="spellEnd"/>
      <w:r w:rsidR="00B619BD">
        <w:t xml:space="preserve"> </w:t>
      </w:r>
      <w:r>
        <w:t>2020.</w:t>
      </w:r>
    </w:p>
    <w:p w14:paraId="1D67584E" w14:textId="77777777" w:rsidR="00725252" w:rsidRDefault="00725252" w:rsidP="00725252">
      <w:r>
        <w:t xml:space="preserve">Zejména výzkumné ústavy a univerzity, ale také </w:t>
      </w:r>
      <w:r w:rsidR="00B619BD">
        <w:t xml:space="preserve">zemědělská sdružení a </w:t>
      </w:r>
      <w:r>
        <w:t>dodavatelé vstupů, zajišťují přenos znalostí ze zahraničí do českého AKIS, přičemž je odborníky vnímán prostor pro zefektivnění tohoto přenosu.</w:t>
      </w:r>
      <w:r w:rsidR="0043689B">
        <w:t xml:space="preserve"> </w:t>
      </w:r>
      <w:r>
        <w:t>Spolupráce mezi výzkumem-poradci-zemědělci bude prohloubena i prostřednictvím různých tematických akc</w:t>
      </w:r>
      <w:r w:rsidR="005C0C96">
        <w:t>í</w:t>
      </w:r>
      <w:r>
        <w:t>, kulatých stolů, workshopů, diskusních fór, které kromě jiného pomohou definovat oblasti potřeb výzkumu.</w:t>
      </w:r>
    </w:p>
    <w:p w14:paraId="20B36EEC" w14:textId="77777777" w:rsidR="00725252" w:rsidRPr="00313ECA" w:rsidRDefault="00725252" w:rsidP="00725252">
      <w:r>
        <w:t xml:space="preserve">Posílení toků mezi výzkumem, poradenským systémem a </w:t>
      </w:r>
      <w:r w:rsidR="00730F8E">
        <w:t xml:space="preserve">vazbami </w:t>
      </w:r>
      <w:r>
        <w:t xml:space="preserve">v AKIS bude </w:t>
      </w:r>
      <w:r w:rsidR="00730F8E">
        <w:t xml:space="preserve">realizováno </w:t>
      </w:r>
      <w:r>
        <w:t>také vytvořením uložiště (</w:t>
      </w:r>
      <w:proofErr w:type="spellStart"/>
      <w:r>
        <w:t>depository</w:t>
      </w:r>
      <w:proofErr w:type="spellEnd"/>
      <w:r>
        <w:t>) pro výstupy vědecko-výzkumných a jiných projektů i iniciativ (zprávy, metodiky, články, videa, foto, link na užitečné odkazy) pro lepší přístup k informacím. Současně s podporou spolupráce mezi aktéry AKIS bude do jisté míry posílen i tok informací.</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14:paraId="55C3AD4E" w14:textId="77777777" w:rsidTr="003E6B7A">
        <w:tc>
          <w:tcPr>
            <w:tcW w:w="9214" w:type="dxa"/>
            <w:shd w:val="clear" w:color="auto" w:fill="F2F2F2"/>
            <w:vAlign w:val="center"/>
          </w:tcPr>
          <w:p w14:paraId="1EB30B42" w14:textId="77777777" w:rsidR="007D35D1" w:rsidRPr="007D35D1" w:rsidRDefault="007D35D1" w:rsidP="003E6B7A">
            <w:pPr>
              <w:pStyle w:val="Nadpis1"/>
              <w:keepLines w:val="0"/>
              <w:spacing w:after="60"/>
              <w:jc w:val="left"/>
              <w:rPr>
                <w:rFonts w:ascii="Arial" w:eastAsia="Times New Roman" w:hAnsi="Arial" w:cs="Arial"/>
                <w:bCs/>
                <w:color w:val="76923C"/>
                <w:kern w:val="32"/>
                <w:sz w:val="28"/>
              </w:rPr>
            </w:pPr>
            <w:bookmarkStart w:id="2" w:name="_Toc63755660"/>
            <w:r>
              <w:rPr>
                <w:rFonts w:ascii="Arial" w:eastAsia="Times New Roman" w:hAnsi="Arial" w:cs="Arial"/>
                <w:bCs/>
                <w:color w:val="76923C"/>
                <w:kern w:val="32"/>
                <w:sz w:val="28"/>
              </w:rPr>
              <w:t>Podpora poradenství</w:t>
            </w:r>
            <w:bookmarkEnd w:id="2"/>
          </w:p>
        </w:tc>
      </w:tr>
    </w:tbl>
    <w:p w14:paraId="4EDC6A5E" w14:textId="77777777" w:rsidR="00353511" w:rsidRDefault="00353511" w:rsidP="0010102C">
      <w:pPr>
        <w:ind w:firstLine="708"/>
      </w:pPr>
      <w:r>
        <w:t xml:space="preserve">Intervence je zacílena na slabé stránky přenosu znalostí, jako jsou nedostatek poradců zapojených do AKIS v některých </w:t>
      </w:r>
      <w:r w:rsidR="00730F8E">
        <w:t>oblastech</w:t>
      </w:r>
      <w:r>
        <w:t>, nedostatečné využívání celého spektra poradenských metod, a tím i nedostatečná podpora rozšiřování některých inovací (např. sociálních). Výcvik a odbornost poradců nedostatečně pokrývá mnohá témata odpovídající cílům SZP, a tím je nedostatečně podporována efektivní implementace SZP. Situaci odpovídá potřeba zvýšit úroveň znalostí v zemědělství, lesnictví a potravinářství</w:t>
      </w:r>
      <w:r w:rsidR="002E48F6">
        <w:t xml:space="preserve"> </w:t>
      </w:r>
      <w:r w:rsidR="002E48F6" w:rsidRPr="00434489">
        <w:rPr>
          <w:bCs/>
        </w:rPr>
        <w:t>a dalších aktivit ve venkovském prostoru</w:t>
      </w:r>
      <w:r>
        <w:t>. Intervence bude podporovat dosahování všech cílů v rámci SZP. Bude zajišťovat šíření znalostí a dovedností, které pro vysoký stupeň komplexity vyžaduj</w:t>
      </w:r>
      <w:r w:rsidR="00730F8E">
        <w:t>í</w:t>
      </w:r>
      <w:r>
        <w:t xml:space="preserve"> osobní přístup. Bude vyvíjet řešení, která jsou specifická dle situace klienta, a která chybějí pro efektivní dosažení cílů SZP.</w:t>
      </w:r>
    </w:p>
    <w:p w14:paraId="78E97A9A" w14:textId="77777777" w:rsidR="00353511" w:rsidRDefault="00353511" w:rsidP="00353511">
      <w:r>
        <w:t>Intervence bude zajišťovat podporu individuálního poskytování poradenství s různou mírou složitosti (od rady v případě investic do strojů až po strategické plány podniku, řešení konfliktů a facilitace vzniku asociací zemědělců). Intervence se tedy zaměří také na podporu poradců v žádoucích oblastech s podporou cíleného výcviku v chybějících tématech. Zvýšená pozornost bude věnována ochraně životního prostředí rozšířením odpovídajících témat, na která bude poradenství zaměřeno. Kvalita poskytování znalostí a poskytovaných poradenských služeb bude zajišťována systémem certifikace poskytovatelů poradenství a akreditace poradců. Vyšší počet poradců bude dosažen změnou institucionálního nastavení poradenského systému. Bude toho dosaženo např. zapojením zástupců zemědělců a dalších poradenských subjektů pomocí certifikace a pravidel účasti na podporách (tj. např. minimálním počtem akreditovaných poradců v projektu).</w:t>
      </w:r>
    </w:p>
    <w:p w14:paraId="301159B6" w14:textId="77777777" w:rsidR="00353511" w:rsidRDefault="00353511" w:rsidP="00353511">
      <w:r>
        <w:t>Rozšíření spektra typů služeb v poradenství bude zajištěno podporou náročnějších metod poradenství a cíleným zvyšováním kompetencí poradců. Zvyšování kompetenci se bude týkat i lesníků pro osvětovou činnost</w:t>
      </w:r>
      <w:r w:rsidR="001027C2">
        <w:t>.</w:t>
      </w:r>
    </w:p>
    <w:p w14:paraId="24AB6706" w14:textId="77777777" w:rsidR="00353511" w:rsidRPr="00960669" w:rsidRDefault="00353511" w:rsidP="00353511">
      <w:pPr>
        <w:rPr>
          <w:b/>
          <w:bCs/>
          <w:color w:val="00B050"/>
        </w:rPr>
      </w:pPr>
      <w:r w:rsidRPr="00960669">
        <w:rPr>
          <w:b/>
          <w:bCs/>
          <w:color w:val="00B050"/>
        </w:rPr>
        <w:t>Budou podporovány následující aktivity:</w:t>
      </w:r>
    </w:p>
    <w:p w14:paraId="5E9C04BB" w14:textId="77777777" w:rsidR="00353511" w:rsidRDefault="00353511" w:rsidP="00353511">
      <w:pPr>
        <w:pStyle w:val="Odstavecseseznamem"/>
        <w:numPr>
          <w:ilvl w:val="0"/>
          <w:numId w:val="3"/>
        </w:numPr>
      </w:pPr>
      <w:r w:rsidRPr="00353511">
        <w:rPr>
          <w:b/>
          <w:bCs/>
        </w:rPr>
        <w:lastRenderedPageBreak/>
        <w:t>Individuální poradenství:</w:t>
      </w:r>
      <w:r>
        <w:t xml:space="preserve"> náklady spojené s poskytnutím individuální poradenské služby (osobně) zemědělcům a potravinářům. Individuální poradenství zahrnuje nejběžnější typy poradenských služeb v živočišné/rostlinné výrobě, ochraně životního prostředí atd.</w:t>
      </w:r>
    </w:p>
    <w:p w14:paraId="226E5293" w14:textId="77777777" w:rsidR="00353511" w:rsidRDefault="00353511" w:rsidP="00353511">
      <w:pPr>
        <w:pStyle w:val="Odstavecseseznamem"/>
        <w:numPr>
          <w:ilvl w:val="0"/>
          <w:numId w:val="3"/>
        </w:numPr>
      </w:pPr>
      <w:r w:rsidRPr="00353511">
        <w:rPr>
          <w:b/>
          <w:bCs/>
        </w:rPr>
        <w:t>Individuální poradenství – faremní plány</w:t>
      </w:r>
      <w:r>
        <w:t xml:space="preserve">: náklady spojené s poskytnutím individuálního poradenství, které vyústí v dokument představující faremní plán, navrhující využití </w:t>
      </w:r>
      <w:proofErr w:type="spellStart"/>
      <w:r>
        <w:t>argoenvironmentální</w:t>
      </w:r>
      <w:proofErr w:type="spellEnd"/>
      <w:r>
        <w:t xml:space="preserve"> intervence v chráněných oblastech, odsouhlasené orgánem ochrany přírody. Tento typ poradenství se řídí specifickými pravidly pro vypracování faremního plánu: a) přechodu na ekologické zemědělství (na celém území ČR) a b) pro zvyšování biodiversity v chráněných oblastech a je poskytován poradci se specifickou přípravou a akreditací.</w:t>
      </w:r>
    </w:p>
    <w:p w14:paraId="7D62A6AB" w14:textId="77777777" w:rsidR="00353511" w:rsidRDefault="00353511" w:rsidP="00353511">
      <w:pPr>
        <w:pStyle w:val="Odstavecseseznamem"/>
        <w:numPr>
          <w:ilvl w:val="0"/>
          <w:numId w:val="3"/>
        </w:numPr>
      </w:pPr>
      <w:r w:rsidRPr="00353511">
        <w:rPr>
          <w:b/>
          <w:bCs/>
        </w:rPr>
        <w:t>Specializované poradenství:</w:t>
      </w:r>
      <w:r>
        <w:t xml:space="preserve"> náklady na projekt, na základě kterého se zajistí inovační servis pro zřízení a implementaci operačních skupin EIP nebo spolupráce obdobných skupin zemědělců a dalších aktérů na venkově. </w:t>
      </w:r>
    </w:p>
    <w:p w14:paraId="4CA0E315" w14:textId="77777777" w:rsidR="00353511" w:rsidRDefault="00353511" w:rsidP="00353511">
      <w:pPr>
        <w:pStyle w:val="Odstavecseseznamem"/>
        <w:numPr>
          <w:ilvl w:val="0"/>
          <w:numId w:val="3"/>
        </w:numPr>
      </w:pPr>
      <w:r w:rsidRPr="00353511">
        <w:rPr>
          <w:b/>
          <w:bCs/>
        </w:rPr>
        <w:t>Zřízení poradenské služby:</w:t>
      </w:r>
      <w:r>
        <w:t xml:space="preserve"> náklady na projekt, jehož cílem je vytvoření nového systému poradenství, včetně podpůrných dokumentů a výcviku poradců v nové službě (např. manuál, nebo výcvikový materiál), které umožní efektivně poskytovat novou poradenskou službu. Podpora má za cíl zřízení náročných typů služeb, jejich vývoj nebývá obvykle v zájmu poradenských subjektů, případně na jejich vypracování nemají odpovídající odbornou, nebo finanční kapacitu. Jedná se např. o programování specifického software jako nástroje pro podporu komplexních poradenských služeb, vytvoření poradenských nástrojů v oblastech, které jsou nedostatečně pokryty poradenstvím, doplněných odpovídajícím výcvikem poradců v nových metodách (příkladem je vytvoření systému faremního plánu), nebo mnoho jiných forem nových služeb, které by </w:t>
      </w:r>
      <w:r w:rsidR="002E1A0A" w:rsidRPr="007B3055">
        <w:t>ne</w:t>
      </w:r>
      <w:r w:rsidRPr="007B3055">
        <w:t>bylo</w:t>
      </w:r>
      <w:r>
        <w:t xml:space="preserve"> bez nového nástroje a případně výcviku poradců možné poskytovat.</w:t>
      </w:r>
    </w:p>
    <w:p w14:paraId="53348B4C" w14:textId="3E25D0D2" w:rsidR="00353511" w:rsidRDefault="00353511" w:rsidP="005A6268">
      <w:pPr>
        <w:pStyle w:val="Odstavecseseznamem"/>
        <w:numPr>
          <w:ilvl w:val="0"/>
          <w:numId w:val="3"/>
        </w:numPr>
      </w:pPr>
      <w:r w:rsidRPr="00353511">
        <w:rPr>
          <w:b/>
          <w:bCs/>
        </w:rPr>
        <w:t xml:space="preserve">Zvyšování kompetencí poradců v zemědělství a potravinářství a </w:t>
      </w:r>
      <w:r w:rsidR="005A6268" w:rsidRPr="005A6268">
        <w:rPr>
          <w:b/>
          <w:bCs/>
        </w:rPr>
        <w:t>lesnictví</w:t>
      </w:r>
      <w:r>
        <w:t xml:space="preserve">: náklady spojené s cíleným zvyšováním kompetencí pomocí specifických metod (např. výměna zkušeností na </w:t>
      </w:r>
      <w:proofErr w:type="spellStart"/>
      <w:r>
        <w:t>facilitovaném</w:t>
      </w:r>
      <w:proofErr w:type="spellEnd"/>
      <w:r>
        <w:t xml:space="preserve"> workshopu/na farmě, stáže, výcvik ve facilitaci, </w:t>
      </w:r>
      <w:proofErr w:type="spellStart"/>
      <w:r>
        <w:t>fokusové</w:t>
      </w:r>
      <w:proofErr w:type="spellEnd"/>
      <w:r>
        <w:t xml:space="preserve"> skupiny). Jedná se o rozšíření forem zvyšování kompetencí poradců, které současně napomohou vytváření nových vazeb v AKIS (např. interaktivní vzájemné učení mezi poradci nad vybranými tématy přímo na farmách).</w:t>
      </w:r>
    </w:p>
    <w:p w14:paraId="21D0C751" w14:textId="77777777" w:rsidR="00703533" w:rsidRPr="00703533" w:rsidRDefault="00353511" w:rsidP="00353511">
      <w:pPr>
        <w:pStyle w:val="Odstavecseseznamem"/>
        <w:numPr>
          <w:ilvl w:val="0"/>
          <w:numId w:val="3"/>
        </w:numPr>
      </w:pPr>
      <w:r w:rsidRPr="00353511">
        <w:rPr>
          <w:b/>
          <w:bCs/>
        </w:rPr>
        <w:t>E-</w:t>
      </w:r>
      <w:proofErr w:type="spellStart"/>
      <w:r w:rsidRPr="00353511">
        <w:rPr>
          <w:b/>
          <w:bCs/>
        </w:rPr>
        <w:t>learning</w:t>
      </w:r>
      <w:proofErr w:type="spellEnd"/>
      <w:r w:rsidRPr="00353511">
        <w:rPr>
          <w:b/>
          <w:bCs/>
        </w:rPr>
        <w:t>:</w:t>
      </w:r>
      <w:r>
        <w:t xml:space="preserve"> náklady na projekt, jehož cílem je vytvoření nového online e-</w:t>
      </w:r>
      <w:proofErr w:type="spellStart"/>
      <w:r>
        <w:t>learningového</w:t>
      </w:r>
      <w:proofErr w:type="spellEnd"/>
      <w:r>
        <w:t xml:space="preserve"> kurzu v programu LMS, který umožňuje řízené vzdělávání a zvyšování kompetencí za pomoci elektronické podpory. Umožní to vysokou míru flexibility učení, což zemědělci umožní personalizovaný přístup k informacím individuálním tempem v čase, kdy mu to vyhovuje. Dalšími přínosy jsou poskytování nejaktuálnějších informací a relevantního multimediálního obsahu, což přispěje k zvýšenému zapojení zemědělců. Předpokladem kvalitního e-</w:t>
      </w:r>
      <w:proofErr w:type="spellStart"/>
      <w:r>
        <w:t>learningu</w:t>
      </w:r>
      <w:proofErr w:type="spellEnd"/>
      <w:r>
        <w:t xml:space="preserve"> je interaktivita (možnost komunikace s tutorem a administrátorem). Aktivita přispívá i ke zvyšování digitální gramotnosti zemědělců.</w:t>
      </w:r>
    </w:p>
    <w:p w14:paraId="617B26B2" w14:textId="77777777" w:rsidR="00E4343E" w:rsidRDefault="00E4343E" w:rsidP="00E4343E">
      <w:r w:rsidRPr="00960669">
        <w:rPr>
          <w:b/>
          <w:bCs/>
          <w:color w:val="00B050"/>
        </w:rPr>
        <w:t>Vztah k WTO:</w:t>
      </w:r>
      <w:r w:rsidRPr="00960669">
        <w:rPr>
          <w:color w:val="00B050"/>
        </w:rPr>
        <w:t xml:space="preserve"> </w:t>
      </w:r>
      <w:r w:rsidR="000834F1">
        <w:t>I</w:t>
      </w:r>
      <w:r>
        <w:t>ntervence je v souladu s bodem 2 přílohy 2 Dohody WTO o zemědělství.</w:t>
      </w:r>
    </w:p>
    <w:p w14:paraId="4C886450" w14:textId="77777777" w:rsidR="000B08F0" w:rsidRPr="00960669" w:rsidRDefault="000B08F0" w:rsidP="00E4343E">
      <w:pPr>
        <w:rPr>
          <w:b/>
          <w:bCs/>
          <w:color w:val="00B050"/>
        </w:rPr>
      </w:pPr>
      <w:r w:rsidRPr="00960669">
        <w:rPr>
          <w:b/>
          <w:bCs/>
          <w:color w:val="00B050"/>
        </w:rPr>
        <w:t xml:space="preserve">Způsobilí příjemci: </w:t>
      </w:r>
    </w:p>
    <w:p w14:paraId="277D2F40" w14:textId="77777777" w:rsidR="000B08F0" w:rsidRDefault="000B08F0" w:rsidP="000B08F0">
      <w:pPr>
        <w:pStyle w:val="Odstavecseseznamem"/>
        <w:numPr>
          <w:ilvl w:val="0"/>
          <w:numId w:val="20"/>
        </w:numPr>
      </w:pPr>
      <w:r>
        <w:t>Aktivity 1. a 2. Certifikované subjekty poskytující poradenství</w:t>
      </w:r>
      <w:r w:rsidR="000834F1">
        <w:t>.</w:t>
      </w:r>
      <w:r>
        <w:t xml:space="preserve"> </w:t>
      </w:r>
    </w:p>
    <w:p w14:paraId="088A6A18" w14:textId="77777777" w:rsidR="000B08F0" w:rsidRDefault="000B08F0" w:rsidP="000B08F0">
      <w:pPr>
        <w:pStyle w:val="Odstavecseseznamem"/>
        <w:numPr>
          <w:ilvl w:val="0"/>
          <w:numId w:val="20"/>
        </w:numPr>
      </w:pPr>
      <w:r>
        <w:t>Aktivita 3. Subjekty poskytující poradenské a vzdělávací služby</w:t>
      </w:r>
      <w:r w:rsidR="000834F1">
        <w:t>.</w:t>
      </w:r>
      <w:r>
        <w:t xml:space="preserve"> </w:t>
      </w:r>
    </w:p>
    <w:p w14:paraId="4114C4E7" w14:textId="77777777" w:rsidR="000B08F0" w:rsidRDefault="000B08F0" w:rsidP="000B08F0">
      <w:pPr>
        <w:pStyle w:val="Odstavecseseznamem"/>
        <w:numPr>
          <w:ilvl w:val="0"/>
          <w:numId w:val="20"/>
        </w:numPr>
      </w:pPr>
      <w:r>
        <w:lastRenderedPageBreak/>
        <w:t>Aktivita 4. Certifikované a/nebo akreditované subjekty poskytující poradenství a/nebo vzdělávání a výzkumné organizace</w:t>
      </w:r>
      <w:r w:rsidR="000834F1">
        <w:t>.</w:t>
      </w:r>
    </w:p>
    <w:p w14:paraId="54D2B5DF" w14:textId="77777777" w:rsidR="000B08F0" w:rsidRDefault="000B08F0" w:rsidP="000B08F0">
      <w:pPr>
        <w:pStyle w:val="Odstavecseseznamem"/>
        <w:numPr>
          <w:ilvl w:val="0"/>
          <w:numId w:val="20"/>
        </w:numPr>
      </w:pPr>
      <w:r>
        <w:t>Aktivita 5. a 6. Certifikované a/nebo akreditované subjekty poskytující poradenství a/nebo vzdělávání a výzkumné organizace</w:t>
      </w:r>
      <w:r w:rsidR="000834F1">
        <w:t>.</w:t>
      </w:r>
    </w:p>
    <w:p w14:paraId="329811B1" w14:textId="77777777" w:rsidR="00E4343E" w:rsidRPr="00960669" w:rsidRDefault="00E4343E" w:rsidP="00E4343E">
      <w:pPr>
        <w:rPr>
          <w:b/>
          <w:bCs/>
          <w:color w:val="00B050"/>
        </w:rPr>
      </w:pPr>
      <w:r w:rsidRPr="00960669">
        <w:rPr>
          <w:b/>
          <w:bCs/>
          <w:color w:val="00B050"/>
        </w:rPr>
        <w:t>Podmínky způsobilosti:</w:t>
      </w:r>
    </w:p>
    <w:p w14:paraId="0EEB7970" w14:textId="77777777" w:rsidR="00E4343E" w:rsidRDefault="00E4343E" w:rsidP="0043689B">
      <w:pPr>
        <w:pStyle w:val="Odstavecseseznamem"/>
        <w:numPr>
          <w:ilvl w:val="0"/>
          <w:numId w:val="5"/>
        </w:numPr>
      </w:pPr>
      <w:r>
        <w:t>Subjekt poskytující poradenství musí naplňovat podmínky certifikace.</w:t>
      </w:r>
    </w:p>
    <w:p w14:paraId="7A9E71C2" w14:textId="77777777" w:rsidR="00E4343E" w:rsidRDefault="00E4343E" w:rsidP="0043689B">
      <w:pPr>
        <w:pStyle w:val="Odstavecseseznamem"/>
        <w:numPr>
          <w:ilvl w:val="0"/>
          <w:numId w:val="5"/>
        </w:numPr>
      </w:pPr>
      <w:r>
        <w:t>Poradenství naplňuje alespoň jeden specifický cíl SZP.</w:t>
      </w:r>
    </w:p>
    <w:p w14:paraId="2B7F28E6" w14:textId="77777777" w:rsidR="00E4343E" w:rsidRDefault="00E4343E" w:rsidP="00E4343E">
      <w:r w:rsidRPr="00960669">
        <w:rPr>
          <w:b/>
          <w:bCs/>
          <w:color w:val="00B050"/>
        </w:rPr>
        <w:t>Forma podpory:</w:t>
      </w:r>
      <w:r w:rsidRPr="00960669">
        <w:rPr>
          <w:color w:val="00B050"/>
        </w:rPr>
        <w:t xml:space="preserve"> </w:t>
      </w:r>
      <w:r>
        <w:t>Přímá nenávratná dotace na vynaložené výdaje.</w:t>
      </w:r>
    </w:p>
    <w:p w14:paraId="4850B820" w14:textId="77777777" w:rsidR="00E4343E" w:rsidRPr="00960669" w:rsidRDefault="00E4343E" w:rsidP="00E4343E">
      <w:pPr>
        <w:rPr>
          <w:b/>
          <w:bCs/>
          <w:color w:val="00B050"/>
        </w:rPr>
      </w:pPr>
      <w:r w:rsidRPr="00960669">
        <w:rPr>
          <w:b/>
          <w:bCs/>
          <w:color w:val="00B050"/>
        </w:rPr>
        <w:t>Míra podpory:</w:t>
      </w:r>
    </w:p>
    <w:p w14:paraId="5BB482C8" w14:textId="77777777" w:rsidR="00E4343E" w:rsidRDefault="00E4343E" w:rsidP="0043689B">
      <w:pPr>
        <w:pStyle w:val="Odstavecseseznamem"/>
        <w:numPr>
          <w:ilvl w:val="0"/>
          <w:numId w:val="7"/>
        </w:numPr>
      </w:pPr>
      <w:r w:rsidRPr="0043689B">
        <w:rPr>
          <w:b/>
          <w:bCs/>
        </w:rPr>
        <w:t>Individuální poradenství:</w:t>
      </w:r>
      <w:r>
        <w:t xml:space="preserve"> podpora bude představovat 80 % způsobilých nákladů a je omezena horní hranicí na jednu službu – 50 000 Kč (cca 2000 €). </w:t>
      </w:r>
    </w:p>
    <w:p w14:paraId="370A26B9" w14:textId="77777777" w:rsidR="00E4343E" w:rsidRDefault="00E4343E" w:rsidP="0043689B">
      <w:pPr>
        <w:pStyle w:val="Odstavecseseznamem"/>
        <w:numPr>
          <w:ilvl w:val="0"/>
          <w:numId w:val="7"/>
        </w:numPr>
      </w:pPr>
      <w:r w:rsidRPr="0043689B">
        <w:rPr>
          <w:b/>
          <w:bCs/>
        </w:rPr>
        <w:t>Individuální poradenství – faremní plány:</w:t>
      </w:r>
      <w:r>
        <w:t xml:space="preserve"> podpora bude představovat 100 % způsobilých nákladů a je omezena horní hranicí na jednu službu – 80 000 Kč (cca 3000</w:t>
      </w:r>
      <w:r w:rsidR="0043689B">
        <w:t> </w:t>
      </w:r>
      <w:r>
        <w:t xml:space="preserve">€). </w:t>
      </w:r>
    </w:p>
    <w:p w14:paraId="1B7C488C" w14:textId="77777777" w:rsidR="00E4343E" w:rsidRDefault="00E4343E" w:rsidP="0043689B">
      <w:pPr>
        <w:pStyle w:val="Odstavecseseznamem"/>
        <w:numPr>
          <w:ilvl w:val="0"/>
          <w:numId w:val="7"/>
        </w:numPr>
      </w:pPr>
      <w:r w:rsidRPr="0043689B">
        <w:rPr>
          <w:b/>
          <w:bCs/>
        </w:rPr>
        <w:t>Specializované poradenství:</w:t>
      </w:r>
      <w:r>
        <w:t xml:space="preserve"> podpora bude poskytována ve výši 100 % způsobilých nákladů a je omezena horní hranicí ve výši 70 000 Kč (cca 3000 €).</w:t>
      </w:r>
    </w:p>
    <w:p w14:paraId="09F7E553" w14:textId="77777777" w:rsidR="00E4343E" w:rsidRDefault="00E4343E" w:rsidP="0043689B">
      <w:pPr>
        <w:pStyle w:val="Odstavecseseznamem"/>
        <w:numPr>
          <w:ilvl w:val="0"/>
          <w:numId w:val="7"/>
        </w:numPr>
      </w:pPr>
      <w:r w:rsidRPr="0043689B">
        <w:rPr>
          <w:b/>
          <w:bCs/>
        </w:rPr>
        <w:t>Zřízení poradenské služby:</w:t>
      </w:r>
      <w:r>
        <w:t xml:space="preserve"> podpora bude poskytována ve výši 100 % způsobilých nákladů a je omezena horní hranicí na jeden projekt 200 000 EUR.  </w:t>
      </w:r>
    </w:p>
    <w:p w14:paraId="0625590D" w14:textId="6EB36C84" w:rsidR="00E4343E" w:rsidRDefault="00E4343E" w:rsidP="005A6268">
      <w:pPr>
        <w:pStyle w:val="Odstavecseseznamem"/>
        <w:numPr>
          <w:ilvl w:val="0"/>
          <w:numId w:val="7"/>
        </w:numPr>
      </w:pPr>
      <w:r w:rsidRPr="0043689B">
        <w:rPr>
          <w:b/>
          <w:bCs/>
        </w:rPr>
        <w:t xml:space="preserve">Zvyšování kompetencí poradců v zemědělství a potravinářství a </w:t>
      </w:r>
      <w:r w:rsidR="005A6268" w:rsidRPr="005A6268">
        <w:rPr>
          <w:b/>
          <w:bCs/>
        </w:rPr>
        <w:t>lesnictví</w:t>
      </w:r>
      <w:r>
        <w:t>: podpora bude poskytována ve výši 100 % způsobilých nákladů a je omezena horní hranicí na jeden projekt 150 000 Kč (cca 6 000 €).</w:t>
      </w:r>
    </w:p>
    <w:p w14:paraId="61D60E87" w14:textId="77777777" w:rsidR="00313ECA" w:rsidRPr="00313ECA" w:rsidRDefault="00E4343E" w:rsidP="0043689B">
      <w:pPr>
        <w:pStyle w:val="Odstavecseseznamem"/>
        <w:numPr>
          <w:ilvl w:val="0"/>
          <w:numId w:val="7"/>
        </w:numPr>
      </w:pPr>
      <w:r w:rsidRPr="0043689B">
        <w:rPr>
          <w:b/>
          <w:bCs/>
        </w:rPr>
        <w:t>E-</w:t>
      </w:r>
      <w:proofErr w:type="spellStart"/>
      <w:r w:rsidRPr="0043689B">
        <w:rPr>
          <w:b/>
          <w:bCs/>
        </w:rPr>
        <w:t>learning</w:t>
      </w:r>
      <w:proofErr w:type="spellEnd"/>
      <w:r w:rsidRPr="0043689B">
        <w:rPr>
          <w:b/>
          <w:bCs/>
        </w:rPr>
        <w:t>:</w:t>
      </w:r>
      <w:r>
        <w:t xml:space="preserve"> podpora bude poskytována ve výši 100 % způsobilých nákladů a je omezena horní hranicí na jeden projekt 300 000 Kč (cca 12 000 €).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14:paraId="2E4F26B6" w14:textId="77777777" w:rsidTr="003E6B7A">
        <w:tc>
          <w:tcPr>
            <w:tcW w:w="9214" w:type="dxa"/>
            <w:shd w:val="clear" w:color="auto" w:fill="F2F2F2"/>
            <w:vAlign w:val="center"/>
          </w:tcPr>
          <w:p w14:paraId="6BF843D5" w14:textId="77777777" w:rsidR="007D35D1" w:rsidRPr="007D35D1" w:rsidRDefault="007D35D1" w:rsidP="003E6B7A">
            <w:pPr>
              <w:pStyle w:val="Nadpis1"/>
              <w:keepLines w:val="0"/>
              <w:spacing w:after="60"/>
              <w:jc w:val="left"/>
              <w:rPr>
                <w:rFonts w:ascii="Arial" w:eastAsia="Times New Roman" w:hAnsi="Arial" w:cs="Arial"/>
                <w:bCs/>
                <w:color w:val="76923C"/>
                <w:kern w:val="32"/>
                <w:sz w:val="28"/>
              </w:rPr>
            </w:pPr>
            <w:bookmarkStart w:id="3" w:name="_Toc63755661"/>
            <w:r>
              <w:rPr>
                <w:rFonts w:ascii="Arial" w:eastAsia="Times New Roman" w:hAnsi="Arial" w:cs="Arial"/>
                <w:bCs/>
                <w:color w:val="76923C"/>
                <w:kern w:val="32"/>
                <w:sz w:val="28"/>
              </w:rPr>
              <w:t>Podpora vzdělávání</w:t>
            </w:r>
            <w:bookmarkEnd w:id="3"/>
          </w:p>
        </w:tc>
      </w:tr>
    </w:tbl>
    <w:p w14:paraId="2D8CCFFD" w14:textId="77777777" w:rsidR="00002AD6" w:rsidRDefault="00002AD6" w:rsidP="00E56F34">
      <w:pPr>
        <w:ind w:firstLine="708"/>
      </w:pPr>
      <w:r>
        <w:t>Intervence je zacílena na slabé stránky přenosu znalostí, nedostatečné pokrytí všech témat nezbytných pro naplnění klíčových cílů SZP (naprostá většina specifických cílů) i potřeb identifikovaných v analýze AKIS ČR, nejen zemědělců, ale také potravinářů</w:t>
      </w:r>
      <w:r w:rsidR="00E12AA9">
        <w:t>,</w:t>
      </w:r>
      <w:r w:rsidR="00FE3758">
        <w:t xml:space="preserve"> </w:t>
      </w:r>
      <w:r>
        <w:t>lesníků</w:t>
      </w:r>
      <w:r w:rsidR="00E12AA9">
        <w:t xml:space="preserve"> a</w:t>
      </w:r>
      <w:r w:rsidR="00E12AA9" w:rsidRPr="00E12AA9">
        <w:rPr>
          <w:b/>
          <w:bCs/>
        </w:rPr>
        <w:t xml:space="preserve"> </w:t>
      </w:r>
      <w:r w:rsidR="00E12AA9" w:rsidRPr="00FE3758">
        <w:rPr>
          <w:bCs/>
        </w:rPr>
        <w:t>dalších a</w:t>
      </w:r>
      <w:r w:rsidR="00D375C6" w:rsidRPr="00FE3758">
        <w:rPr>
          <w:bCs/>
        </w:rPr>
        <w:t>ktérů</w:t>
      </w:r>
      <w:r w:rsidR="00E12AA9" w:rsidRPr="00FE3758">
        <w:rPr>
          <w:bCs/>
        </w:rPr>
        <w:t xml:space="preserve"> ve venkovském prostoru</w:t>
      </w:r>
      <w:r>
        <w:t xml:space="preserve">. V případě lesníků se jedná o nedostatečný počet odborně proškolených lesníků pro osvětovou činnost (lesní pedagogiku), kdy poptávka veřejnosti převyšuje nabídku, a nedostatečné sociální a technické zázemí. Ukázal se také prostor ve zvyšování kvality při využívání skupinových forem předávání znalostí. Intervence se tedy zaměří na rozšíření témat vzdělávání o oblasti dosud nedostatečně školené a tím zajistí zvyšování kvalifikace pracovníků v resortu. Zvýšená pozornost bude věnována ochraně životního prostředí rozšířením odpovídajících témat, na která bude vzdělávání zaměřeno. Kvalita </w:t>
      </w:r>
      <w:r w:rsidR="000834F1">
        <w:t xml:space="preserve">předávání </w:t>
      </w:r>
      <w:r>
        <w:t xml:space="preserve">znalostí bude zajišťována systémem poskytovatelů vzdělávání s vyšším důrazem na výběr kvalitních poskytovatelů vzdělávání. Současně bude podpora vzdělávání cílena více na tu část zemědělství, které se dostává přenosu znalostí proporčně méně (např. FO a podniky s nižší rozlohou). Intervence bude také zaměřena na zajištění a zvýšení propagace vzdělávání v udržitelném rozvoji, tvorbu vzdělávacích materiálů a pokrytí souvisejících nákladů. V případě vzdělávání bude podpořeno efektivní zavedení SZP také tím, že bude </w:t>
      </w:r>
      <w:r>
        <w:lastRenderedPageBreak/>
        <w:t>rozšířen počet typů příjemců vzdělávání. Konečnými beneficienty jsou zemědělci, lesníci, potravináři a další aktéři venkova.</w:t>
      </w:r>
    </w:p>
    <w:p w14:paraId="0E13D569" w14:textId="77777777" w:rsidR="00002AD6" w:rsidRDefault="00002AD6" w:rsidP="00002AD6">
      <w:r>
        <w:t xml:space="preserve">Intervence bude podporovat dosahování všech cílů v rámci SZP tím, že bude zajišťovat šíření znalostí a dovedností, které lze předávat kolektivně pomocí seminářů a procvičování ve skupinách, a které chybějí pro efektivní dosažení cílů SZP. Intervence bude podporovat i akce realizované on-line formou, neboť tato forma výuky je běžnou praxí ve všech oblastech vzdělávání. </w:t>
      </w:r>
    </w:p>
    <w:p w14:paraId="29EECEF9" w14:textId="77777777" w:rsidR="00002AD6" w:rsidRPr="00960669" w:rsidRDefault="00002AD6" w:rsidP="00002AD6">
      <w:pPr>
        <w:rPr>
          <w:b/>
          <w:bCs/>
          <w:color w:val="00B050"/>
        </w:rPr>
      </w:pPr>
      <w:r w:rsidRPr="00960669">
        <w:rPr>
          <w:b/>
          <w:bCs/>
          <w:color w:val="00B050"/>
        </w:rPr>
        <w:t>Budou podporovány následující aktivity:</w:t>
      </w:r>
    </w:p>
    <w:p w14:paraId="4986F847" w14:textId="77777777" w:rsidR="00002AD6" w:rsidRDefault="00002AD6" w:rsidP="00002AD6">
      <w:pPr>
        <w:pStyle w:val="Odstavecseseznamem"/>
        <w:numPr>
          <w:ilvl w:val="0"/>
          <w:numId w:val="9"/>
        </w:numPr>
      </w:pPr>
      <w:r>
        <w:t>Vzdělávací akce včetně on-line formy</w:t>
      </w:r>
      <w:r w:rsidR="000834F1">
        <w:t>.</w:t>
      </w:r>
    </w:p>
    <w:p w14:paraId="59EFA31E" w14:textId="77777777" w:rsidR="00002AD6" w:rsidRDefault="00002AD6" w:rsidP="00002AD6">
      <w:pPr>
        <w:pStyle w:val="Odstavecseseznamem"/>
        <w:numPr>
          <w:ilvl w:val="0"/>
          <w:numId w:val="9"/>
        </w:numPr>
      </w:pPr>
      <w:r>
        <w:t>Informační akce včetně on-line formy</w:t>
      </w:r>
      <w:r w:rsidR="000834F1">
        <w:t>.</w:t>
      </w:r>
    </w:p>
    <w:p w14:paraId="5951A23E" w14:textId="77777777" w:rsidR="00002AD6" w:rsidRDefault="00002AD6" w:rsidP="00002AD6">
      <w:r w:rsidRPr="00960669">
        <w:rPr>
          <w:b/>
          <w:bCs/>
          <w:color w:val="00B050"/>
        </w:rPr>
        <w:t>Vztah k WTO:</w:t>
      </w:r>
      <w:r w:rsidRPr="00960669">
        <w:rPr>
          <w:color w:val="00B050"/>
        </w:rPr>
        <w:t xml:space="preserve"> </w:t>
      </w:r>
      <w:r w:rsidR="000834F1">
        <w:t>I</w:t>
      </w:r>
      <w:r>
        <w:t>ntervence je v souladu s bodem 2 přílohy 2 Dohody WTO o zemědělství</w:t>
      </w:r>
      <w:r w:rsidR="000834F1">
        <w:t>.</w:t>
      </w:r>
    </w:p>
    <w:p w14:paraId="2BCA1764" w14:textId="77777777" w:rsidR="000B08F0" w:rsidRDefault="000B08F0" w:rsidP="00002AD6">
      <w:r w:rsidRPr="00960669">
        <w:rPr>
          <w:b/>
          <w:bCs/>
          <w:color w:val="00B050"/>
        </w:rPr>
        <w:t>Způsobilí příjemci:</w:t>
      </w:r>
      <w:r w:rsidRPr="00960669">
        <w:rPr>
          <w:color w:val="00B050"/>
        </w:rPr>
        <w:t xml:space="preserve"> </w:t>
      </w:r>
      <w:r>
        <w:t>Akreditované organizace poskytující vzdělávání</w:t>
      </w:r>
    </w:p>
    <w:p w14:paraId="02F01C44" w14:textId="77777777" w:rsidR="00002AD6" w:rsidRPr="00960669" w:rsidRDefault="00002AD6" w:rsidP="00002AD6">
      <w:pPr>
        <w:rPr>
          <w:b/>
          <w:bCs/>
          <w:color w:val="00B050"/>
        </w:rPr>
      </w:pPr>
      <w:r w:rsidRPr="00960669">
        <w:rPr>
          <w:b/>
          <w:bCs/>
          <w:color w:val="00B050"/>
        </w:rPr>
        <w:t>Podmínky způsobilosti:</w:t>
      </w:r>
    </w:p>
    <w:p w14:paraId="50791460" w14:textId="77777777" w:rsidR="00002AD6" w:rsidRDefault="00002AD6" w:rsidP="00002AD6">
      <w:pPr>
        <w:pStyle w:val="Odstavecseseznamem"/>
        <w:numPr>
          <w:ilvl w:val="0"/>
          <w:numId w:val="11"/>
        </w:numPr>
      </w:pPr>
      <w:r>
        <w:t>Vzdělávání naplňuje alespoň jeden specifický cíl SZP.</w:t>
      </w:r>
    </w:p>
    <w:p w14:paraId="500F7F24" w14:textId="77777777" w:rsidR="00002AD6" w:rsidRDefault="00002AD6" w:rsidP="00002AD6">
      <w:pPr>
        <w:pStyle w:val="Odstavecseseznamem"/>
        <w:numPr>
          <w:ilvl w:val="0"/>
          <w:numId w:val="11"/>
        </w:numPr>
      </w:pPr>
      <w:r>
        <w:t xml:space="preserve">Vzdělávací subjekt je akreditován Ministerstvem zemědělství. </w:t>
      </w:r>
    </w:p>
    <w:p w14:paraId="7D8D77DE" w14:textId="77777777" w:rsidR="00002AD6" w:rsidRDefault="00002AD6" w:rsidP="00002AD6">
      <w:r w:rsidRPr="00960669">
        <w:rPr>
          <w:b/>
          <w:bCs/>
          <w:color w:val="00B050"/>
        </w:rPr>
        <w:t>Forma podpory:</w:t>
      </w:r>
      <w:r w:rsidRPr="00960669">
        <w:rPr>
          <w:color w:val="00B050"/>
        </w:rPr>
        <w:t xml:space="preserve"> </w:t>
      </w:r>
      <w:r>
        <w:t>Přímá nenávratná dotace na vynaložené výdaje.</w:t>
      </w:r>
    </w:p>
    <w:p w14:paraId="373C8027" w14:textId="77777777" w:rsidR="00002AD6" w:rsidRPr="00960669" w:rsidRDefault="00002AD6" w:rsidP="00002AD6">
      <w:pPr>
        <w:rPr>
          <w:b/>
          <w:bCs/>
          <w:color w:val="00B050"/>
        </w:rPr>
      </w:pPr>
      <w:r w:rsidRPr="00960669">
        <w:rPr>
          <w:b/>
          <w:bCs/>
          <w:color w:val="00B050"/>
        </w:rPr>
        <w:t>Míra podpory:</w:t>
      </w:r>
    </w:p>
    <w:p w14:paraId="270D1F6D" w14:textId="77777777" w:rsidR="00002AD6" w:rsidRDefault="00002AD6" w:rsidP="00002AD6">
      <w:r>
        <w:t>Míra podpory je u obou aktivit 100 %.</w:t>
      </w:r>
    </w:p>
    <w:p w14:paraId="3D7B6879" w14:textId="77777777" w:rsidR="0043689B" w:rsidRPr="0043689B" w:rsidRDefault="00C22D4F" w:rsidP="00002AD6">
      <w:r w:rsidRPr="00C22D4F">
        <w:t>Intervence bude administrována zjednodušenou formou vykazování, konkrétně bude využito jednotkových nákladů</w:t>
      </w:r>
      <w: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635AA2" w:rsidRPr="00B80C9B" w14:paraId="0639135B" w14:textId="77777777" w:rsidTr="003E6B7A">
        <w:tc>
          <w:tcPr>
            <w:tcW w:w="9214" w:type="dxa"/>
            <w:shd w:val="clear" w:color="auto" w:fill="F2F2F2"/>
            <w:vAlign w:val="center"/>
          </w:tcPr>
          <w:p w14:paraId="4263B58F" w14:textId="77777777" w:rsidR="00635AA2" w:rsidRPr="007D35D1" w:rsidRDefault="00635AA2" w:rsidP="003E6B7A">
            <w:pPr>
              <w:pStyle w:val="Nadpis1"/>
              <w:keepLines w:val="0"/>
              <w:spacing w:after="60"/>
              <w:jc w:val="left"/>
              <w:rPr>
                <w:rFonts w:ascii="Arial" w:eastAsia="Times New Roman" w:hAnsi="Arial" w:cs="Arial"/>
                <w:bCs/>
                <w:color w:val="76923C"/>
                <w:kern w:val="32"/>
                <w:sz w:val="28"/>
              </w:rPr>
            </w:pPr>
            <w:bookmarkStart w:id="4" w:name="_Toc63755662"/>
            <w:r>
              <w:rPr>
                <w:rFonts w:ascii="Arial" w:eastAsia="Times New Roman" w:hAnsi="Arial" w:cs="Arial"/>
                <w:bCs/>
                <w:color w:val="76923C"/>
                <w:kern w:val="32"/>
                <w:sz w:val="28"/>
              </w:rPr>
              <w:t>Podpora operačních skupin a projektů EIP</w:t>
            </w:r>
            <w:bookmarkEnd w:id="4"/>
          </w:p>
        </w:tc>
      </w:tr>
    </w:tbl>
    <w:p w14:paraId="56A84CD2" w14:textId="77777777" w:rsidR="00307CE8" w:rsidRDefault="00307CE8" w:rsidP="00635AA2">
      <w:pPr>
        <w:ind w:firstLine="708"/>
      </w:pPr>
      <w:r>
        <w:t xml:space="preserve">Intervence je zacílena na vybrané slabé stránky přenosu znalostí, jako je především nedostatečný přenos výsledků výzkumu do praxe v zemědělství a potravinářství, nedostatečná podpora rozšiřování některých inovací (např. sociálních v oblasti spolupráce v AKIS) a nedostatečně pružná reakce současného znalostního systému na výrazné změny v lesnickém hospodaření, vyvolané klimatickou změnou (např. velkoplošná poškození smrků) a dalšími jejími průvodními jevy (např. nárůst výskytu škůdců) a nutnost zavádět v relativně krátkém čase nové/inovativní způsoby obnovy lesa, které by měly být přizpůsobeny regionálním/místním podmínkám. Podpora operačních skupin EIP povede dlouhodobě zejména ke zlepšení propojení mezi praxí a výzkumem a také umožní postupně budovat sociální kapitál, který v českém zemědělství není dostatečně vyzrálý a brání v rozvoji toku znalostí, informací a zejména v tvorbě a šíření inovací. Jedná se v tomto případě o aktivitu iniciovanou zdola jedním z aktérů operační skupiny, která je </w:t>
      </w:r>
      <w:proofErr w:type="spellStart"/>
      <w:r>
        <w:t>facilitována</w:t>
      </w:r>
      <w:proofErr w:type="spellEnd"/>
      <w:r>
        <w:t xml:space="preserve"> poradci v roli brokerů. V oblasti lesního hospodářství se bude jednat o projekty zadávané držiteli lesa výzkumným </w:t>
      </w:r>
      <w:r>
        <w:lastRenderedPageBreak/>
        <w:t xml:space="preserve">organizacím, které budou zavádět inovativní postupy na místních specifických podmínkách hospodaření. Budou podporovány projekty, které představují inovativní řešení, spadající svým zaměřením do vybraných specifických cílů a vedou k naplňování i obecných cílů SZP. </w:t>
      </w:r>
    </w:p>
    <w:p w14:paraId="1197E810" w14:textId="77777777" w:rsidR="00307CE8" w:rsidRDefault="00307CE8" w:rsidP="00307CE8">
      <w:r>
        <w:t xml:space="preserve">Cílů bude dosaženo také snížením bariér v účasti na EIP (např. změny ve způsobech financování EIP, důkladnější vysvětlení procesů, podpora i spolupráce u neinvestičních projektů). V případě lesnictví se bude jednat o podporu projektů, jakými jsou například inovativní způsoby zalesňování dřevinami, které na daných stanovištích pro </w:t>
      </w:r>
      <w:r w:rsidR="000834F1">
        <w:t xml:space="preserve">uspokojivé </w:t>
      </w:r>
      <w:r>
        <w:t>odrůstání vyžadují speciální postupy, o inovativní ochranu výsadby před škodami zvěří, využití klestu po kalamitní těžbě v rámci managementu živin pro novou výsadbu, změny druhové skladby břehových porostů, provenienční pokus se zamýšlenou dřevinou na kalamitní holině a další.</w:t>
      </w:r>
    </w:p>
    <w:p w14:paraId="0BAE6424" w14:textId="77777777" w:rsidR="00307CE8" w:rsidRDefault="00307CE8" w:rsidP="00307CE8">
      <w:r>
        <w:t>Intervence bude podporovat dosahování cílů SZP tím, že bude zajišťovat vývoj a šíření inovací, které jsou řešením problémů, na které směřují cíle SZP a budou budovat kapacitu aktérů AKIS spolupracovat mezi sebou.</w:t>
      </w:r>
    </w:p>
    <w:p w14:paraId="3C4460A4" w14:textId="77777777" w:rsidR="00AC4507" w:rsidRPr="00960669" w:rsidRDefault="00AC4507" w:rsidP="00307CE8">
      <w:pPr>
        <w:rPr>
          <w:b/>
          <w:bCs/>
          <w:color w:val="00B050"/>
        </w:rPr>
      </w:pPr>
      <w:r w:rsidRPr="00960669">
        <w:rPr>
          <w:b/>
          <w:bCs/>
          <w:color w:val="00B050"/>
        </w:rPr>
        <w:t>Budou podporovány následující aktivity:</w:t>
      </w:r>
    </w:p>
    <w:p w14:paraId="263C49D3" w14:textId="77777777" w:rsidR="00AC4507" w:rsidRDefault="00AC4507" w:rsidP="00AC4507">
      <w:pPr>
        <w:pStyle w:val="Odstavecseseznamem"/>
        <w:numPr>
          <w:ilvl w:val="0"/>
          <w:numId w:val="15"/>
        </w:numPr>
      </w:pPr>
      <w:r>
        <w:t>I</w:t>
      </w:r>
      <w:r w:rsidR="00307CE8">
        <w:t xml:space="preserve">novace spojená s investicí (zejména inovace v technologiích) </w:t>
      </w:r>
      <w:r>
        <w:t>a to v zemědělství/potravinářství</w:t>
      </w:r>
    </w:p>
    <w:p w14:paraId="71E8D9BF" w14:textId="77777777" w:rsidR="00AC4507" w:rsidRDefault="00AC4507" w:rsidP="00AC4507">
      <w:pPr>
        <w:pStyle w:val="Odstavecseseznamem"/>
        <w:numPr>
          <w:ilvl w:val="0"/>
          <w:numId w:val="15"/>
        </w:numPr>
      </w:pPr>
      <w:r>
        <w:t>Inovace</w:t>
      </w:r>
      <w:r w:rsidR="00307CE8">
        <w:t xml:space="preserve"> bez investic</w:t>
      </w:r>
      <w:r>
        <w:t>e</w:t>
      </w:r>
      <w:r w:rsidR="00307CE8">
        <w:t xml:space="preserve"> (např. inovace organizační a změny technologických postupů) a to v zemědělství/potravinářství</w:t>
      </w:r>
    </w:p>
    <w:p w14:paraId="0CF67A23" w14:textId="77777777" w:rsidR="00AC4507" w:rsidRDefault="00AC4507" w:rsidP="00AC4507">
      <w:pPr>
        <w:pStyle w:val="Odstavecseseznamem"/>
        <w:numPr>
          <w:ilvl w:val="0"/>
          <w:numId w:val="15"/>
        </w:numPr>
      </w:pPr>
      <w:r>
        <w:t>Inovace v lesnictví bez investice</w:t>
      </w:r>
    </w:p>
    <w:p w14:paraId="66B84D08" w14:textId="77777777" w:rsidR="00307CE8" w:rsidRDefault="00307CE8" w:rsidP="00307CE8">
      <w:r w:rsidRPr="00960669">
        <w:rPr>
          <w:b/>
          <w:bCs/>
          <w:color w:val="00B050"/>
        </w:rPr>
        <w:t>Vztah k WTO:</w:t>
      </w:r>
      <w:r w:rsidRPr="00960669">
        <w:rPr>
          <w:color w:val="00B050"/>
        </w:rPr>
        <w:t xml:space="preserve"> </w:t>
      </w:r>
      <w:r w:rsidR="000834F1" w:rsidRPr="00623014">
        <w:t>V</w:t>
      </w:r>
      <w:r>
        <w:t xml:space="preserve"> řešení s</w:t>
      </w:r>
      <w:r w:rsidR="000834F1">
        <w:t> </w:t>
      </w:r>
      <w:r>
        <w:t>EK</w:t>
      </w:r>
      <w:r w:rsidR="000834F1">
        <w:t>.</w:t>
      </w:r>
      <w:r>
        <w:t xml:space="preserve"> </w:t>
      </w:r>
    </w:p>
    <w:p w14:paraId="47700E36" w14:textId="77777777" w:rsidR="000B08F0" w:rsidRPr="000B08F0" w:rsidRDefault="000B08F0" w:rsidP="00307CE8">
      <w:r w:rsidRPr="00960669">
        <w:rPr>
          <w:b/>
          <w:bCs/>
          <w:color w:val="00B050"/>
        </w:rPr>
        <w:t xml:space="preserve">Způsobilí příjemci: </w:t>
      </w:r>
      <w:r w:rsidRPr="000B08F0">
        <w:t>Zemědělský podnikatel, výrobce potravin, výzkumné organizace, brokeři (poradci) a další aktéři rozvoje venkova, držitelé lesa</w:t>
      </w:r>
      <w:r w:rsidR="000834F1">
        <w:t>.</w:t>
      </w:r>
    </w:p>
    <w:p w14:paraId="30DE1372" w14:textId="77777777" w:rsidR="00307CE8" w:rsidRPr="00960669" w:rsidRDefault="00307CE8" w:rsidP="00307CE8">
      <w:pPr>
        <w:rPr>
          <w:b/>
          <w:bCs/>
          <w:color w:val="00B050"/>
        </w:rPr>
      </w:pPr>
      <w:r w:rsidRPr="00960669">
        <w:rPr>
          <w:b/>
          <w:bCs/>
          <w:color w:val="00B050"/>
        </w:rPr>
        <w:t>Podmínky způsobilosti:</w:t>
      </w:r>
    </w:p>
    <w:p w14:paraId="529CD07C" w14:textId="77777777" w:rsidR="00307CE8" w:rsidRDefault="000834F1" w:rsidP="00AC4507">
      <w:pPr>
        <w:pStyle w:val="Odstavecseseznamem"/>
        <w:numPr>
          <w:ilvl w:val="0"/>
          <w:numId w:val="16"/>
        </w:numPr>
      </w:pPr>
      <w:r>
        <w:t>O</w:t>
      </w:r>
      <w:r w:rsidR="00307CE8">
        <w:t>perační skupina je složena minimálně ze zástupců podnikatelského a vědecko-výzkumného sektoru</w:t>
      </w:r>
      <w:r>
        <w:t>.</w:t>
      </w:r>
    </w:p>
    <w:p w14:paraId="64F6F73E" w14:textId="77777777" w:rsidR="00307CE8" w:rsidRDefault="000834F1" w:rsidP="00AC4507">
      <w:pPr>
        <w:pStyle w:val="Odstavecseseznamem"/>
        <w:numPr>
          <w:ilvl w:val="0"/>
          <w:numId w:val="16"/>
        </w:numPr>
      </w:pPr>
      <w:r>
        <w:t>B</w:t>
      </w:r>
      <w:r w:rsidR="00307CE8">
        <w:t>eneficientem jsou podnikatelské subjekty v odvětví zemědělství a potravinářství, lesnictví a zástupci vědecko-výzkumného sektoru</w:t>
      </w:r>
      <w:r>
        <w:t>.</w:t>
      </w:r>
    </w:p>
    <w:p w14:paraId="7177E953" w14:textId="77777777" w:rsidR="00307CE8" w:rsidRDefault="000834F1" w:rsidP="00AC4507">
      <w:pPr>
        <w:pStyle w:val="Odstavecseseznamem"/>
        <w:numPr>
          <w:ilvl w:val="0"/>
          <w:numId w:val="16"/>
        </w:numPr>
      </w:pPr>
      <w:r>
        <w:t>P</w:t>
      </w:r>
      <w:r w:rsidR="00307CE8">
        <w:t>rojekt přispívá alespoň k jednomu z</w:t>
      </w:r>
      <w:r w:rsidR="00AC4507">
        <w:t xml:space="preserve">e </w:t>
      </w:r>
      <w:r w:rsidR="00307CE8">
        <w:t>specifický</w:t>
      </w:r>
      <w:r w:rsidR="001C7A70">
        <w:t>ch</w:t>
      </w:r>
      <w:r w:rsidR="00307CE8">
        <w:t xml:space="preserve"> cílů SZP</w:t>
      </w:r>
      <w:r>
        <w:t>.</w:t>
      </w:r>
    </w:p>
    <w:p w14:paraId="203F1342" w14:textId="77777777" w:rsidR="00307CE8" w:rsidRDefault="00307CE8" w:rsidP="00AC4507">
      <w:r w:rsidRPr="00960669">
        <w:rPr>
          <w:b/>
          <w:bCs/>
          <w:color w:val="00B050"/>
        </w:rPr>
        <w:t>Forma podpory:</w:t>
      </w:r>
      <w:r w:rsidRPr="00960669">
        <w:rPr>
          <w:color w:val="00B050"/>
        </w:rPr>
        <w:t xml:space="preserve"> </w:t>
      </w:r>
      <w:r>
        <w:t>Přímá nenávratná dotace na vynaložené výdaje</w:t>
      </w:r>
      <w:r w:rsidR="00AC4507">
        <w:t>.</w:t>
      </w:r>
    </w:p>
    <w:p w14:paraId="2ED2996E" w14:textId="77777777" w:rsidR="00307CE8" w:rsidRPr="00960669" w:rsidRDefault="00307CE8" w:rsidP="00307CE8">
      <w:pPr>
        <w:rPr>
          <w:b/>
          <w:bCs/>
          <w:color w:val="00B050"/>
        </w:rPr>
      </w:pPr>
      <w:r w:rsidRPr="00960669">
        <w:rPr>
          <w:b/>
          <w:bCs/>
          <w:color w:val="00B050"/>
        </w:rPr>
        <w:t>Míra podpory:</w:t>
      </w:r>
    </w:p>
    <w:p w14:paraId="6054CB41" w14:textId="77777777" w:rsidR="00307CE8" w:rsidRDefault="00307CE8" w:rsidP="00AC4507">
      <w:pPr>
        <w:pStyle w:val="Odstavecseseznamem"/>
        <w:numPr>
          <w:ilvl w:val="0"/>
          <w:numId w:val="18"/>
        </w:numPr>
      </w:pPr>
      <w:r>
        <w:t>Inovace je spojená s investicí (navržená míra podpory je 100 % vyjma investic, u investic do výše 50</w:t>
      </w:r>
      <w:r w:rsidR="00AC4507">
        <w:t xml:space="preserve"> </w:t>
      </w:r>
      <w:r>
        <w:t xml:space="preserve">%), </w:t>
      </w:r>
    </w:p>
    <w:p w14:paraId="30066298" w14:textId="77777777" w:rsidR="00307CE8" w:rsidRDefault="00307CE8" w:rsidP="00AC4507">
      <w:pPr>
        <w:pStyle w:val="Odstavecseseznamem"/>
        <w:numPr>
          <w:ilvl w:val="0"/>
          <w:numId w:val="18"/>
        </w:numPr>
      </w:pPr>
      <w:r>
        <w:t>Inovace bez investice (např. nové metodické postupy nebo změny principů hospodaření, restrukturalizace farem, PR a marketing, sociální inovace jako např. kolektivní akce - např. společné zpracování/odbyt, organizační inovace). Navržená míra podpory je 100 %.</w:t>
      </w:r>
    </w:p>
    <w:p w14:paraId="00011CDE" w14:textId="77777777" w:rsidR="00307CE8" w:rsidRDefault="00307CE8" w:rsidP="00AC4507">
      <w:pPr>
        <w:pStyle w:val="Odstavecseseznamem"/>
        <w:numPr>
          <w:ilvl w:val="0"/>
          <w:numId w:val="18"/>
        </w:numPr>
      </w:pPr>
      <w:r>
        <w:lastRenderedPageBreak/>
        <w:t>Inovace v lesnictví bez investice. Navržená míra podpory je 100 %.</w:t>
      </w:r>
    </w:p>
    <w:p w14:paraId="45BD143D" w14:textId="77777777" w:rsidR="00510357" w:rsidRDefault="00307CE8" w:rsidP="00313ECA">
      <w:r>
        <w:t>Náklady budou vycházet z projektu realizace EIP (např. náklady na setkání, facilitaci, analýzy, první služby, a v případě investičních skupin EIP také z rozsahu investic).</w:t>
      </w:r>
    </w:p>
    <w:p w14:paraId="01BE4CB8" w14:textId="77777777" w:rsidR="00510357" w:rsidRDefault="00510357" w:rsidP="00510357"/>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62"/>
      </w:tblGrid>
      <w:tr w:rsidR="00510357" w:rsidRPr="00D57F5A" w14:paraId="70F7EF5E" w14:textId="77777777" w:rsidTr="00F01C45">
        <w:tc>
          <w:tcPr>
            <w:tcW w:w="5000" w:type="pct"/>
            <w:shd w:val="clear" w:color="auto" w:fill="F2F2F2"/>
          </w:tcPr>
          <w:p w14:paraId="7C91E709" w14:textId="77777777" w:rsidR="00510357" w:rsidRPr="00D57F5A" w:rsidRDefault="00510357" w:rsidP="00D57F5A">
            <w:pPr>
              <w:pStyle w:val="Nadpis1"/>
              <w:spacing w:before="0"/>
              <w:jc w:val="center"/>
              <w:rPr>
                <w:rFonts w:ascii="Arial" w:hAnsi="Arial" w:cs="Arial"/>
                <w:sz w:val="20"/>
                <w:szCs w:val="20"/>
              </w:rPr>
            </w:pPr>
            <w:bookmarkStart w:id="5" w:name="_GoBack"/>
            <w:bookmarkEnd w:id="5"/>
            <w:r w:rsidRPr="00D57F5A">
              <w:rPr>
                <w:rFonts w:ascii="Arial" w:hAnsi="Arial" w:cs="Arial"/>
                <w:sz w:val="20"/>
                <w:szCs w:val="20"/>
              </w:rPr>
              <w:t>Vypořádání připomínek k </w:t>
            </w:r>
            <w:r w:rsidR="00FD6CF5" w:rsidRPr="00D57F5A">
              <w:rPr>
                <w:rFonts w:ascii="Arial" w:hAnsi="Arial" w:cs="Arial"/>
                <w:sz w:val="20"/>
                <w:szCs w:val="20"/>
              </w:rPr>
              <w:t>i</w:t>
            </w:r>
            <w:r w:rsidRPr="00D57F5A">
              <w:rPr>
                <w:rFonts w:ascii="Arial" w:hAnsi="Arial" w:cs="Arial"/>
                <w:sz w:val="20"/>
                <w:szCs w:val="20"/>
              </w:rPr>
              <w:t>ntervencím AKIS</w:t>
            </w:r>
          </w:p>
          <w:p w14:paraId="04594D52" w14:textId="77777777" w:rsidR="00510357" w:rsidRPr="00D57F5A" w:rsidRDefault="00510357" w:rsidP="00D57F5A">
            <w:pPr>
              <w:pStyle w:val="Nadpis1"/>
              <w:spacing w:before="0"/>
              <w:jc w:val="center"/>
              <w:rPr>
                <w:rFonts w:ascii="Arial" w:hAnsi="Arial" w:cs="Arial"/>
                <w:b w:val="0"/>
                <w:sz w:val="20"/>
                <w:szCs w:val="20"/>
              </w:rPr>
            </w:pPr>
            <w:r w:rsidRPr="00D57F5A">
              <w:rPr>
                <w:rFonts w:ascii="Arial" w:hAnsi="Arial" w:cs="Arial"/>
                <w:sz w:val="20"/>
                <w:szCs w:val="20"/>
              </w:rPr>
              <w:t xml:space="preserve"> (Vzdělávání, Poradenství, Operační skupiny EIP)</w:t>
            </w:r>
          </w:p>
        </w:tc>
      </w:tr>
    </w:tbl>
    <w:tbl>
      <w:tblPr>
        <w:tblpPr w:leftFromText="141" w:rightFromText="141" w:vertAnchor="text" w:horzAnchor="margin" w:tblpY="2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1630"/>
        <w:gridCol w:w="2228"/>
        <w:gridCol w:w="4841"/>
      </w:tblGrid>
      <w:tr w:rsidR="00676CCE" w:rsidRPr="001E16FC" w14:paraId="4711953D" w14:textId="77777777" w:rsidTr="00676CCE">
        <w:trPr>
          <w:trHeight w:val="600"/>
        </w:trPr>
        <w:tc>
          <w:tcPr>
            <w:tcW w:w="200" w:type="pct"/>
          </w:tcPr>
          <w:p w14:paraId="72A6EC45" w14:textId="77777777" w:rsidR="00676CCE" w:rsidRPr="001E16FC" w:rsidRDefault="00676CCE" w:rsidP="00D57F5A">
            <w:pPr>
              <w:spacing w:before="0" w:after="0"/>
              <w:jc w:val="center"/>
              <w:rPr>
                <w:rFonts w:ascii="Arial" w:eastAsia="Times New Roman" w:hAnsi="Arial" w:cs="Arial"/>
                <w:b/>
                <w:bCs/>
                <w:color w:val="000000"/>
                <w:sz w:val="20"/>
                <w:szCs w:val="20"/>
                <w:lang w:eastAsia="cs-CZ"/>
              </w:rPr>
            </w:pPr>
            <w:r w:rsidRPr="001E16FC">
              <w:rPr>
                <w:rFonts w:ascii="Arial" w:eastAsia="Times New Roman" w:hAnsi="Arial" w:cs="Arial"/>
                <w:b/>
                <w:bCs/>
                <w:color w:val="000000"/>
                <w:sz w:val="20"/>
                <w:szCs w:val="20"/>
                <w:lang w:eastAsia="cs-CZ"/>
              </w:rPr>
              <w:t>Č.</w:t>
            </w:r>
          </w:p>
        </w:tc>
        <w:tc>
          <w:tcPr>
            <w:tcW w:w="899" w:type="pct"/>
          </w:tcPr>
          <w:p w14:paraId="08C30E7A" w14:textId="77777777" w:rsidR="00676CCE" w:rsidRPr="001E16FC" w:rsidRDefault="00676CCE" w:rsidP="00D57F5A">
            <w:pPr>
              <w:spacing w:before="0" w:after="0"/>
              <w:jc w:val="center"/>
              <w:rPr>
                <w:rFonts w:ascii="Arial" w:eastAsia="Times New Roman" w:hAnsi="Arial" w:cs="Arial"/>
                <w:b/>
                <w:bCs/>
                <w:color w:val="000000"/>
                <w:sz w:val="20"/>
                <w:szCs w:val="20"/>
                <w:lang w:eastAsia="cs-CZ"/>
              </w:rPr>
            </w:pPr>
            <w:r w:rsidRPr="001E16FC">
              <w:rPr>
                <w:rFonts w:ascii="Arial" w:eastAsia="Times New Roman" w:hAnsi="Arial" w:cs="Arial"/>
                <w:b/>
                <w:bCs/>
                <w:color w:val="000000"/>
                <w:sz w:val="20"/>
                <w:szCs w:val="20"/>
                <w:lang w:eastAsia="cs-CZ"/>
              </w:rPr>
              <w:t>Připomínkovací místo</w:t>
            </w:r>
          </w:p>
        </w:tc>
        <w:tc>
          <w:tcPr>
            <w:tcW w:w="1230" w:type="pct"/>
            <w:shd w:val="clear" w:color="auto" w:fill="auto"/>
            <w:hideMark/>
          </w:tcPr>
          <w:p w14:paraId="3E0F1817" w14:textId="77777777" w:rsidR="00676CCE" w:rsidRPr="001E16FC" w:rsidRDefault="00676CCE" w:rsidP="00D57F5A">
            <w:pPr>
              <w:spacing w:before="0" w:after="0"/>
              <w:jc w:val="center"/>
              <w:rPr>
                <w:rFonts w:ascii="Arial" w:eastAsia="Times New Roman" w:hAnsi="Arial" w:cs="Arial"/>
                <w:b/>
                <w:bCs/>
                <w:color w:val="000000"/>
                <w:sz w:val="20"/>
                <w:szCs w:val="20"/>
                <w:lang w:eastAsia="cs-CZ"/>
              </w:rPr>
            </w:pPr>
            <w:r w:rsidRPr="001E16FC">
              <w:rPr>
                <w:rFonts w:ascii="Arial" w:eastAsia="Times New Roman" w:hAnsi="Arial" w:cs="Arial"/>
                <w:b/>
                <w:bCs/>
                <w:color w:val="000000"/>
                <w:sz w:val="20"/>
                <w:szCs w:val="20"/>
                <w:lang w:eastAsia="cs-CZ"/>
              </w:rPr>
              <w:t>Připomínka</w:t>
            </w:r>
          </w:p>
        </w:tc>
        <w:tc>
          <w:tcPr>
            <w:tcW w:w="2671" w:type="pct"/>
            <w:shd w:val="clear" w:color="auto" w:fill="auto"/>
            <w:hideMark/>
          </w:tcPr>
          <w:p w14:paraId="228E459E" w14:textId="77777777" w:rsidR="00676CCE" w:rsidRPr="001E16FC" w:rsidRDefault="00676CCE" w:rsidP="00D57F5A">
            <w:pPr>
              <w:spacing w:before="0" w:after="0"/>
              <w:jc w:val="center"/>
              <w:rPr>
                <w:rFonts w:ascii="Arial" w:eastAsia="Times New Roman" w:hAnsi="Arial" w:cs="Arial"/>
                <w:b/>
                <w:bCs/>
                <w:color w:val="000000"/>
                <w:sz w:val="20"/>
                <w:szCs w:val="20"/>
                <w:lang w:eastAsia="cs-CZ"/>
              </w:rPr>
            </w:pPr>
            <w:r w:rsidRPr="001E16FC">
              <w:rPr>
                <w:rFonts w:ascii="Arial" w:eastAsia="Times New Roman" w:hAnsi="Arial" w:cs="Arial"/>
                <w:b/>
                <w:bCs/>
                <w:color w:val="000000"/>
                <w:sz w:val="20"/>
                <w:szCs w:val="20"/>
                <w:lang w:eastAsia="cs-CZ"/>
              </w:rPr>
              <w:t>Stručná reakce na připomínky</w:t>
            </w:r>
          </w:p>
        </w:tc>
      </w:tr>
      <w:tr w:rsidR="00676CCE" w:rsidRPr="001E16FC" w14:paraId="4852B1D8" w14:textId="77777777" w:rsidTr="00676CCE">
        <w:trPr>
          <w:trHeight w:val="5759"/>
        </w:trPr>
        <w:tc>
          <w:tcPr>
            <w:tcW w:w="200" w:type="pct"/>
          </w:tcPr>
          <w:p w14:paraId="08973302"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1</w:t>
            </w:r>
          </w:p>
        </w:tc>
        <w:tc>
          <w:tcPr>
            <w:tcW w:w="899" w:type="pct"/>
          </w:tcPr>
          <w:p w14:paraId="2B8C9225"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ČSO</w:t>
            </w:r>
          </w:p>
        </w:tc>
        <w:tc>
          <w:tcPr>
            <w:tcW w:w="1230" w:type="pct"/>
            <w:shd w:val="clear" w:color="auto" w:fill="auto"/>
          </w:tcPr>
          <w:p w14:paraId="4ACF54AE" w14:textId="77777777" w:rsidR="00676CCE" w:rsidRPr="001E16FC" w:rsidRDefault="00676CCE" w:rsidP="00D57F5A">
            <w:pPr>
              <w:spacing w:before="0" w:after="0"/>
              <w:rPr>
                <w:rFonts w:ascii="Arial" w:hAnsi="Arial" w:cs="Arial"/>
                <w:sz w:val="20"/>
                <w:szCs w:val="20"/>
              </w:rPr>
            </w:pPr>
            <w:proofErr w:type="gramStart"/>
            <w:r w:rsidRPr="001E16FC">
              <w:rPr>
                <w:rFonts w:ascii="Arial" w:hAnsi="Arial" w:cs="Arial"/>
                <w:sz w:val="20"/>
                <w:szCs w:val="20"/>
              </w:rPr>
              <w:t>5.3.48</w:t>
            </w:r>
            <w:proofErr w:type="gramEnd"/>
            <w:r w:rsidRPr="001E16FC">
              <w:rPr>
                <w:rFonts w:ascii="Arial" w:hAnsi="Arial" w:cs="Arial"/>
                <w:sz w:val="20"/>
                <w:szCs w:val="20"/>
              </w:rPr>
              <w:t>. Podpora poradenství (str. 339)</w:t>
            </w:r>
          </w:p>
          <w:p w14:paraId="0EF07CBE"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 xml:space="preserve">Připomínka: Možnost individuálního poradenství – faremních plánů by měla být v případě zvyšování biodiversity nejen umožněna nejen v chráněných oblastech, ale i v oblastech soustavy NATURA 2000 nebo na farmách s výskytem druhů chráněných v rámci soustavy NATURA 2000. </w:t>
            </w:r>
          </w:p>
          <w:p w14:paraId="3AEE3D38"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hAnsi="Arial" w:cs="Arial"/>
                <w:sz w:val="20"/>
                <w:szCs w:val="20"/>
              </w:rPr>
              <w:t>Zdůvodnění: Největší problémy s pohledu biodiverzity jsou zejména ve volné krajině, kde ještě přežívají vzácné a ohrožené druhy a kde má státní ochrana přírody jen omezené možnosti aktivnější spolupráce se zemědělci.</w:t>
            </w:r>
          </w:p>
        </w:tc>
        <w:tc>
          <w:tcPr>
            <w:tcW w:w="2671" w:type="pct"/>
            <w:shd w:val="clear" w:color="auto" w:fill="auto"/>
            <w:hideMark/>
          </w:tcPr>
          <w:p w14:paraId="158EBAC3" w14:textId="77777777" w:rsidR="00676CCE" w:rsidRPr="00627CBA" w:rsidRDefault="00676CCE" w:rsidP="00D57F5A">
            <w:pPr>
              <w:spacing w:before="0" w:after="0"/>
              <w:rPr>
                <w:rFonts w:ascii="Arial" w:eastAsia="Calibri" w:hAnsi="Arial" w:cs="Arial"/>
                <w:b/>
                <w:sz w:val="20"/>
                <w:szCs w:val="20"/>
              </w:rPr>
            </w:pPr>
            <w:r w:rsidRPr="00627CBA">
              <w:rPr>
                <w:rFonts w:ascii="Arial" w:hAnsi="Arial" w:cs="Arial"/>
                <w:b/>
                <w:sz w:val="20"/>
                <w:szCs w:val="20"/>
              </w:rPr>
              <w:t>Vysvětleno</w:t>
            </w:r>
          </w:p>
          <w:p w14:paraId="1F9F9638" w14:textId="77777777" w:rsidR="00676CCE" w:rsidRPr="001E16FC" w:rsidRDefault="00676CCE" w:rsidP="00D57F5A">
            <w:pPr>
              <w:spacing w:before="0" w:after="0"/>
              <w:rPr>
                <w:rFonts w:ascii="Arial" w:hAnsi="Arial" w:cs="Arial"/>
                <w:sz w:val="20"/>
                <w:szCs w:val="20"/>
              </w:rPr>
            </w:pPr>
            <w:r w:rsidRPr="001E16FC">
              <w:rPr>
                <w:rFonts w:ascii="Arial" w:eastAsia="Calibri" w:hAnsi="Arial" w:cs="Arial"/>
                <w:sz w:val="20"/>
                <w:szCs w:val="20"/>
              </w:rPr>
              <w:t>Souhlasíme s argumenty. Ale zatím nebude možné tento nástroj rozšířit mimo CHÚ. Jedná se o nový poměrně institucionálně složitý nástroj, který bude vyžadovat úzkou spolupráci se správou CHÚ. Pokud by byl rozšířen i mimo CHÚ, tak by riziko selhání tohoto nástroje bylo příliš vysoké a mohlo by na dlouho zabránit jeho plošnému rozšíření – nejprve je nutné jej vyzkoušet na menší rozloze, kde je pro zemědělce partner z ochrany přírody.</w:t>
            </w:r>
          </w:p>
        </w:tc>
      </w:tr>
      <w:tr w:rsidR="00676CCE" w:rsidRPr="001E16FC" w14:paraId="22E2A7CF" w14:textId="77777777" w:rsidTr="00676CCE">
        <w:trPr>
          <w:trHeight w:val="1905"/>
        </w:trPr>
        <w:tc>
          <w:tcPr>
            <w:tcW w:w="200" w:type="pct"/>
          </w:tcPr>
          <w:p w14:paraId="277D7A98"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2</w:t>
            </w:r>
          </w:p>
        </w:tc>
        <w:tc>
          <w:tcPr>
            <w:tcW w:w="899" w:type="pct"/>
          </w:tcPr>
          <w:p w14:paraId="13D4EBDE"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Hnutí Duha</w:t>
            </w:r>
          </w:p>
        </w:tc>
        <w:tc>
          <w:tcPr>
            <w:tcW w:w="1230" w:type="pct"/>
            <w:shd w:val="clear" w:color="auto" w:fill="auto"/>
          </w:tcPr>
          <w:p w14:paraId="6A696489"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8.1. Modernizace: AKIS a digitální technologie</w:t>
            </w:r>
          </w:p>
          <w:p w14:paraId="6842C125" w14:textId="77777777" w:rsidR="00676CCE" w:rsidRPr="001E16FC" w:rsidRDefault="00676CCE" w:rsidP="00D57F5A">
            <w:pPr>
              <w:spacing w:before="0" w:after="0"/>
              <w:rPr>
                <w:rFonts w:ascii="Arial" w:eastAsia="Times New Roman" w:hAnsi="Arial" w:cs="Arial"/>
                <w:sz w:val="20"/>
                <w:szCs w:val="20"/>
                <w:lang w:eastAsia="cs-CZ"/>
              </w:rPr>
            </w:pPr>
            <w:r w:rsidRPr="001E16FC">
              <w:rPr>
                <w:rFonts w:ascii="Arial" w:eastAsia="Times New Roman" w:hAnsi="Arial" w:cs="Arial"/>
                <w:sz w:val="20"/>
                <w:szCs w:val="20"/>
                <w:lang w:eastAsia="cs-CZ"/>
              </w:rPr>
              <w:t xml:space="preserve">Souhlasíme s analýzou, že poradenství ve veřejných zájmech, a to zejména v ochraně životního prostředí. Rozsah poradenství je nedostačující a jeho rozvoj je zásadní k tomu, aby zemědělci byli schopni reagovat na dopady klimatické změny i přecházet k udržitelnějšímu modelu hospodaření, zejména </w:t>
            </w:r>
            <w:r w:rsidRPr="001E16FC">
              <w:rPr>
                <w:rFonts w:ascii="Arial" w:eastAsia="Times New Roman" w:hAnsi="Arial" w:cs="Arial"/>
                <w:sz w:val="20"/>
                <w:szCs w:val="20"/>
                <w:lang w:eastAsia="cs-CZ"/>
              </w:rPr>
              <w:lastRenderedPageBreak/>
              <w:t xml:space="preserve">co se týká ochrany půdy a zlepšení stavu biodiverzity (to vyžaduje například cíl 3.1.1 Strategie pro ochranu biologické rozmanitosti). Je proto potřeba zvýšit podporu a kapacitu těchto aktivit tak, aby zemědělci měli snadný přístup k </w:t>
            </w:r>
            <w:proofErr w:type="spellStart"/>
            <w:r w:rsidRPr="001E16FC">
              <w:rPr>
                <w:rFonts w:ascii="Arial" w:eastAsia="Times New Roman" w:hAnsi="Arial" w:cs="Arial"/>
                <w:sz w:val="20"/>
                <w:szCs w:val="20"/>
                <w:lang w:eastAsia="cs-CZ"/>
              </w:rPr>
              <w:t>půdoochrannému</w:t>
            </w:r>
            <w:proofErr w:type="spellEnd"/>
            <w:r w:rsidRPr="001E16FC">
              <w:rPr>
                <w:rFonts w:ascii="Arial" w:eastAsia="Times New Roman" w:hAnsi="Arial" w:cs="Arial"/>
                <w:sz w:val="20"/>
                <w:szCs w:val="20"/>
                <w:lang w:eastAsia="cs-CZ"/>
              </w:rPr>
              <w:t xml:space="preserve"> a krajinnému poradenství. To by mělo být zastřešeno institucemi, jako je VÚMOP či AOPK. Vzdělávání poradců a skrze nich i zemědělců by mělo být komplexní, neřešící pouze důsledky, ale především příčiny nevyhovujícího environmentálního stavu. Vhodné poradenství předpokládá také přenos zkušeností z výzkumu do praxe a tím i systematický a stabilní výzkum, který by měl stát zajistit. Dosud nedostatečná podpora výzkumu je například  v oblasti </w:t>
            </w:r>
            <w:proofErr w:type="spellStart"/>
            <w:r w:rsidRPr="001E16FC">
              <w:rPr>
                <w:rFonts w:ascii="Arial" w:eastAsia="Times New Roman" w:hAnsi="Arial" w:cs="Arial"/>
                <w:sz w:val="20"/>
                <w:szCs w:val="20"/>
                <w:lang w:eastAsia="cs-CZ"/>
              </w:rPr>
              <w:t>půdoochranných</w:t>
            </w:r>
            <w:proofErr w:type="spellEnd"/>
            <w:r w:rsidRPr="001E16FC">
              <w:rPr>
                <w:rFonts w:ascii="Arial" w:eastAsia="Times New Roman" w:hAnsi="Arial" w:cs="Arial"/>
                <w:sz w:val="20"/>
                <w:szCs w:val="20"/>
                <w:lang w:eastAsia="cs-CZ"/>
              </w:rPr>
              <w:t xml:space="preserve"> technologií. </w:t>
            </w:r>
            <w:proofErr w:type="spellStart"/>
            <w:r w:rsidRPr="001E16FC">
              <w:rPr>
                <w:rFonts w:ascii="Arial" w:eastAsia="Times New Roman" w:hAnsi="Arial" w:cs="Arial"/>
                <w:sz w:val="20"/>
                <w:szCs w:val="20"/>
                <w:lang w:eastAsia="cs-CZ"/>
              </w:rPr>
              <w:t>Půdoochranné</w:t>
            </w:r>
            <w:proofErr w:type="spellEnd"/>
            <w:r w:rsidRPr="001E16FC">
              <w:rPr>
                <w:rFonts w:ascii="Arial" w:eastAsia="Times New Roman" w:hAnsi="Arial" w:cs="Arial"/>
                <w:sz w:val="20"/>
                <w:szCs w:val="20"/>
                <w:lang w:eastAsia="cs-CZ"/>
              </w:rPr>
              <w:t xml:space="preserve"> poradenství je také důležité pro naplňování opatření 5_1.2 v NAP adaptace na změnu klimatu.</w:t>
            </w:r>
          </w:p>
          <w:p w14:paraId="63F89F6D"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 xml:space="preserve">Přenos poradenství na certifikované organizace se zdá být dobrým opatřením, domníváme se však, že je potřeba zajistit, aby dané organizace poskytovaly poradenství vyváženě, tedy i s ohledem na veřejné zájmy. Hrozí, že se organizace zaměří zejména na poradenství podporující růst ekonomické produktivity a zanedbají </w:t>
            </w:r>
            <w:r w:rsidRPr="001E16FC">
              <w:rPr>
                <w:rFonts w:ascii="Arial" w:eastAsia="Times New Roman" w:hAnsi="Arial" w:cs="Arial"/>
                <w:color w:val="000000"/>
                <w:sz w:val="20"/>
                <w:szCs w:val="20"/>
                <w:lang w:eastAsia="cs-CZ"/>
              </w:rPr>
              <w:lastRenderedPageBreak/>
              <w:t>stav environmentální. Je třeba ověřovat, aby k této změně zacílení u poradenství nedocházelo. V dosavadním návrhu chybí, jakým způsobem bude toto ověřování dostatečně efektivně probíhat.</w:t>
            </w:r>
          </w:p>
          <w:p w14:paraId="54090385"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 xml:space="preserve">Samostatnou část problematiky tvoří poradenství pro ekologické zemědělství. Pro naplnění cíle strategií Zelené dohody pro Evropu, tedy 25 % plochy v režimu ekologického zemědělství, bude potřeba významně navýšit kapacity pro poradenství v ekologickém zemědělství, a to jak na samotné fungování podniků v EZ, tak ale i na poradenství v přechodu z konvenčního režimu do EZ, které vyžaduje jak finanční analýzu, tak "praktickou" podporu. Je potřeba také podpořit přenos zkušeností ze zahraničí, které mohou být významným podnětem pro zvýšení produktivnosti místního EZ i pro rozvoj poradenství. Podobně je potřeba podpořit rozvoj více demonstračních farem. Zároveň je v ČR významně podfinancován výzkum v EZ, což limituje možný rozvoj EZ. Není zřejmé, zda </w:t>
            </w:r>
            <w:proofErr w:type="spellStart"/>
            <w:r w:rsidRPr="001E16FC">
              <w:rPr>
                <w:rFonts w:ascii="Arial" w:eastAsia="Times New Roman" w:hAnsi="Arial" w:cs="Arial"/>
                <w:color w:val="000000"/>
                <w:sz w:val="20"/>
                <w:szCs w:val="20"/>
                <w:lang w:eastAsia="cs-CZ"/>
              </w:rPr>
              <w:t>MZe</w:t>
            </w:r>
            <w:proofErr w:type="spellEnd"/>
            <w:r w:rsidRPr="001E16FC">
              <w:rPr>
                <w:rFonts w:ascii="Arial" w:eastAsia="Times New Roman" w:hAnsi="Arial" w:cs="Arial"/>
                <w:color w:val="000000"/>
                <w:sz w:val="20"/>
                <w:szCs w:val="20"/>
                <w:lang w:eastAsia="cs-CZ"/>
              </w:rPr>
              <w:t xml:space="preserve"> plánuje zvýšenou podporou pro tuto oblast? Zvýšenou podporu vyžaduje také naplnění opatření 5_3.2 v NAP adaptace na změnu klimatu či cíl </w:t>
            </w:r>
            <w:r w:rsidRPr="001E16FC">
              <w:rPr>
                <w:rFonts w:ascii="Arial" w:eastAsia="Times New Roman" w:hAnsi="Arial" w:cs="Arial"/>
                <w:color w:val="000000"/>
                <w:sz w:val="20"/>
                <w:szCs w:val="20"/>
                <w:lang w:eastAsia="cs-CZ"/>
              </w:rPr>
              <w:lastRenderedPageBreak/>
              <w:t>3.1.2 Strategie ochrany biologické rozmanitosti.</w:t>
            </w:r>
          </w:p>
          <w:p w14:paraId="78D8E6DF" w14:textId="77777777" w:rsidR="00676CCE" w:rsidRPr="001E16FC" w:rsidRDefault="00676CCE" w:rsidP="00D57F5A">
            <w:pPr>
              <w:spacing w:before="0" w:after="0"/>
              <w:rPr>
                <w:rFonts w:ascii="Arial" w:eastAsia="Times New Roman" w:hAnsi="Arial" w:cs="Arial"/>
                <w:color w:val="000000"/>
                <w:sz w:val="20"/>
                <w:szCs w:val="20"/>
                <w:lang w:eastAsia="cs-CZ"/>
              </w:rPr>
            </w:pPr>
          </w:p>
          <w:p w14:paraId="341DE5E2" w14:textId="77777777" w:rsidR="00676CCE" w:rsidRPr="001E16FC" w:rsidRDefault="00676CCE" w:rsidP="00D57F5A">
            <w:pPr>
              <w:spacing w:before="0" w:after="0"/>
              <w:rPr>
                <w:rFonts w:ascii="Arial" w:eastAsia="Times New Roman" w:hAnsi="Arial" w:cs="Arial"/>
                <w:color w:val="000000"/>
                <w:sz w:val="20"/>
                <w:szCs w:val="20"/>
                <w:lang w:eastAsia="cs-CZ"/>
              </w:rPr>
            </w:pPr>
          </w:p>
        </w:tc>
        <w:tc>
          <w:tcPr>
            <w:tcW w:w="2671" w:type="pct"/>
            <w:shd w:val="clear" w:color="auto" w:fill="auto"/>
          </w:tcPr>
          <w:p w14:paraId="5D28A740" w14:textId="77777777" w:rsidR="00676CCE" w:rsidRPr="00627CBA" w:rsidRDefault="00676CCE" w:rsidP="00D57F5A">
            <w:pPr>
              <w:spacing w:before="0" w:after="0"/>
              <w:rPr>
                <w:rFonts w:ascii="Arial" w:hAnsi="Arial" w:cs="Arial"/>
                <w:b/>
                <w:sz w:val="20"/>
                <w:szCs w:val="20"/>
              </w:rPr>
            </w:pPr>
            <w:r w:rsidRPr="00627CBA">
              <w:rPr>
                <w:rFonts w:ascii="Arial" w:hAnsi="Arial" w:cs="Arial"/>
                <w:b/>
                <w:sz w:val="20"/>
                <w:szCs w:val="20"/>
              </w:rPr>
              <w:lastRenderedPageBreak/>
              <w:t>Vysvětleno</w:t>
            </w:r>
          </w:p>
          <w:p w14:paraId="7BA52899"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S argumenty lze jen souhlasit.</w:t>
            </w:r>
          </w:p>
          <w:p w14:paraId="0A137A6F"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 xml:space="preserve">Intervence je v příštím období nová a koncipovaná velmi odlišně oproti předchozímu období. Jsou navrženy nové formy poskytování poradenství (některé z nich bude náročné zavést, např. nedostatek kapacit školitelů pro některé obory) a bude zvýšena péče o vzdělávání poradců (toto je podporováno z národních zdrojů – proto není vidět v SP). Ve SP je pro EZ navržena aktivita mířená specificky na podporu procesu přechodu na EZ. Příslušný odbor na </w:t>
            </w:r>
            <w:proofErr w:type="spellStart"/>
            <w:r w:rsidRPr="001E16FC">
              <w:rPr>
                <w:rFonts w:ascii="Arial" w:hAnsi="Arial" w:cs="Arial"/>
                <w:sz w:val="20"/>
                <w:szCs w:val="20"/>
              </w:rPr>
              <w:t>MZe</w:t>
            </w:r>
            <w:proofErr w:type="spellEnd"/>
            <w:r w:rsidRPr="001E16FC">
              <w:rPr>
                <w:rFonts w:ascii="Arial" w:hAnsi="Arial" w:cs="Arial"/>
                <w:sz w:val="20"/>
                <w:szCs w:val="20"/>
              </w:rPr>
              <w:t xml:space="preserve"> získal v procesu přípravy SP seznam priorit pro obsahové zaměření poradenství (kde jsou priority životního prostředí a EZ zachyceny) a bude podle těchto priorit nastavovat jednotlivé výzvy, které budou definovány v nařízeních vlády – tento detail je příliš velký pro SP. </w:t>
            </w:r>
          </w:p>
          <w:p w14:paraId="284CA9C0"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lastRenderedPageBreak/>
              <w:t>Demonstrační farmy jsou podporovány z národních zdrojů, proto se neobjevují v SP.</w:t>
            </w:r>
          </w:p>
          <w:p w14:paraId="2018F1C9" w14:textId="77777777" w:rsidR="00676CCE" w:rsidRPr="001E16FC" w:rsidRDefault="00676CCE" w:rsidP="00D57F5A">
            <w:pPr>
              <w:pStyle w:val="Default"/>
              <w:rPr>
                <w:rFonts w:ascii="Arial" w:hAnsi="Arial" w:cs="Arial"/>
                <w:sz w:val="20"/>
                <w:szCs w:val="20"/>
              </w:rPr>
            </w:pPr>
            <w:r w:rsidRPr="001E16FC">
              <w:rPr>
                <w:rFonts w:ascii="Arial" w:hAnsi="Arial" w:cs="Arial"/>
                <w:sz w:val="20"/>
                <w:szCs w:val="20"/>
              </w:rPr>
              <w:t>Akceptujeme připomínku, aby byly zvýšeny kapacity v poradenství, z čehož vyplývá i odpovídající rozpočet, neboť rozšířením např. podpory faremních plánů i na konverzi na EZ vznikne navýšení nároků na rozpočet.</w:t>
            </w:r>
          </w:p>
          <w:p w14:paraId="780066FC" w14:textId="77777777" w:rsidR="00676CCE" w:rsidRPr="001E16FC" w:rsidRDefault="00676CCE" w:rsidP="00D57F5A">
            <w:pPr>
              <w:spacing w:before="0" w:after="0"/>
              <w:rPr>
                <w:rFonts w:ascii="Arial" w:hAnsi="Arial" w:cs="Arial"/>
                <w:color w:val="000000"/>
                <w:sz w:val="20"/>
                <w:szCs w:val="20"/>
              </w:rPr>
            </w:pPr>
            <w:r w:rsidRPr="001E16FC">
              <w:rPr>
                <w:rFonts w:ascii="Arial" w:hAnsi="Arial" w:cs="Arial"/>
                <w:color w:val="000000"/>
                <w:sz w:val="20"/>
                <w:szCs w:val="20"/>
              </w:rPr>
              <w:t xml:space="preserve">VÚMOP, </w:t>
            </w:r>
            <w:proofErr w:type="gramStart"/>
            <w:r w:rsidRPr="001E16FC">
              <w:rPr>
                <w:rFonts w:ascii="Arial" w:hAnsi="Arial" w:cs="Arial"/>
                <w:color w:val="000000"/>
                <w:sz w:val="20"/>
                <w:szCs w:val="20"/>
              </w:rPr>
              <w:t>v.v.</w:t>
            </w:r>
            <w:proofErr w:type="gramEnd"/>
            <w:r w:rsidRPr="001E16FC">
              <w:rPr>
                <w:rFonts w:ascii="Arial" w:hAnsi="Arial" w:cs="Arial"/>
                <w:color w:val="000000"/>
                <w:sz w:val="20"/>
                <w:szCs w:val="20"/>
              </w:rPr>
              <w:t xml:space="preserve">i. a AOPK spolupracovaly při vstupním vzdělávání uchazečů o akreditaci v podoblasti Péče o půdu a Zemědělství a ochrana přírody a krajiny. Poradci akreditovaní </w:t>
            </w:r>
            <w:proofErr w:type="spellStart"/>
            <w:r w:rsidRPr="001E16FC">
              <w:rPr>
                <w:rFonts w:ascii="Arial" w:hAnsi="Arial" w:cs="Arial"/>
                <w:color w:val="000000"/>
                <w:sz w:val="20"/>
                <w:szCs w:val="20"/>
              </w:rPr>
              <w:t>MZe</w:t>
            </w:r>
            <w:proofErr w:type="spellEnd"/>
            <w:r w:rsidRPr="001E16FC">
              <w:rPr>
                <w:rFonts w:ascii="Arial" w:hAnsi="Arial" w:cs="Arial"/>
                <w:color w:val="000000"/>
                <w:sz w:val="20"/>
                <w:szCs w:val="20"/>
              </w:rPr>
              <w:t xml:space="preserve"> se každoročně vzdělávají v povinných i nepovinných vzdělávacích akcích – důležitým prvkem tohoto systému je ale dostatek odborníků k předávání aktuálních informací. </w:t>
            </w:r>
            <w:proofErr w:type="spellStart"/>
            <w:r w:rsidRPr="001E16FC">
              <w:rPr>
                <w:rFonts w:ascii="Arial" w:hAnsi="Arial" w:cs="Arial"/>
                <w:color w:val="000000"/>
                <w:sz w:val="20"/>
                <w:szCs w:val="20"/>
              </w:rPr>
              <w:t>MZe</w:t>
            </w:r>
            <w:proofErr w:type="spellEnd"/>
            <w:r w:rsidRPr="001E16FC">
              <w:rPr>
                <w:rFonts w:ascii="Arial" w:hAnsi="Arial" w:cs="Arial"/>
                <w:color w:val="000000"/>
                <w:sz w:val="20"/>
                <w:szCs w:val="20"/>
              </w:rPr>
              <w:t xml:space="preserve"> podporuje navýšení kapacit poradenského systému.  Jednotlivá kola akreditace jsou vyhlašována podle zájmu veřejnosti (poradců) a nové oblasti/podoblasti akreditace jsou rozšiřovány v souladu  nových cílů a legislativních požadavků.  </w:t>
            </w:r>
          </w:p>
          <w:p w14:paraId="427BCFE0"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Orientace podporovaných poradenských služeb v novém programovém období, poskytovaných certifikovanými poradenskými subjekty, je plně v souladu se specifickými cíli Návrhu Nařízení EP a Rady, kterým se stanoví pravidla podpory pro strategické plány, jež mají být vypracovány členskými státy v rámci společné zemědělské politiky. Poradenství by mělo mít nejen ekonomický, environmentální a společenský rozměr, ale bude zaměřeno i na poradenství ekologické, k ochraně půdy, dále k biologické rozmanitosti, bude poskytovat i aktuální technologické a vědecké znalosti získané prostřednictvím výzkumu a inovací. Konkrétní zaměření podporovaných poradenských služeb není v současné době nastaveno, bude předmětem dalších jednání.</w:t>
            </w:r>
          </w:p>
        </w:tc>
      </w:tr>
      <w:tr w:rsidR="00676CCE" w:rsidRPr="001E16FC" w14:paraId="624E3A89" w14:textId="77777777" w:rsidTr="00676CCE">
        <w:trPr>
          <w:trHeight w:val="1905"/>
        </w:trPr>
        <w:tc>
          <w:tcPr>
            <w:tcW w:w="200" w:type="pct"/>
          </w:tcPr>
          <w:p w14:paraId="6C4C6519"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lastRenderedPageBreak/>
              <w:t>3</w:t>
            </w:r>
          </w:p>
        </w:tc>
        <w:tc>
          <w:tcPr>
            <w:tcW w:w="899" w:type="pct"/>
          </w:tcPr>
          <w:p w14:paraId="49CF5310"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Hnutí Duha</w:t>
            </w:r>
          </w:p>
        </w:tc>
        <w:tc>
          <w:tcPr>
            <w:tcW w:w="1230" w:type="pct"/>
            <w:shd w:val="clear" w:color="auto" w:fill="auto"/>
          </w:tcPr>
          <w:p w14:paraId="31B264B4"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hAnsi="Arial" w:cs="Arial"/>
                <w:sz w:val="20"/>
                <w:szCs w:val="20"/>
              </w:rPr>
              <w:t xml:space="preserve">Kap. </w:t>
            </w:r>
            <w:proofErr w:type="gramStart"/>
            <w:r w:rsidRPr="001E16FC">
              <w:rPr>
                <w:rFonts w:ascii="Arial" w:hAnsi="Arial" w:cs="Arial"/>
                <w:sz w:val="20"/>
                <w:szCs w:val="20"/>
              </w:rPr>
              <w:t>5.3.34</w:t>
            </w:r>
            <w:proofErr w:type="gramEnd"/>
            <w:r w:rsidRPr="001E16FC">
              <w:rPr>
                <w:rFonts w:ascii="Arial" w:hAnsi="Arial" w:cs="Arial"/>
                <w:sz w:val="20"/>
                <w:szCs w:val="20"/>
              </w:rPr>
              <w:t xml:space="preserve">, </w:t>
            </w:r>
            <w:r w:rsidRPr="001E16FC">
              <w:rPr>
                <w:rFonts w:ascii="Arial" w:eastAsia="Arial" w:hAnsi="Arial" w:cs="Arial"/>
                <w:sz w:val="20"/>
                <w:szCs w:val="20"/>
              </w:rPr>
              <w:t xml:space="preserve">5.3.49, 5.3.50 - </w:t>
            </w:r>
            <w:r w:rsidRPr="001E16FC">
              <w:rPr>
                <w:rFonts w:ascii="Arial" w:hAnsi="Arial" w:cs="Arial"/>
                <w:sz w:val="20"/>
                <w:szCs w:val="20"/>
              </w:rPr>
              <w:t>Doporučujeme u konkrétních intervencí, které naplňují cíl rozvoje venkova, pracovat v územním rozsahu intervence s typologií Koncepce pro rozvoj venkova tak, aby intervence měly cíl především v těch územích, kde je jich nejvíce potřeba</w:t>
            </w:r>
          </w:p>
        </w:tc>
        <w:tc>
          <w:tcPr>
            <w:tcW w:w="2671" w:type="pct"/>
            <w:shd w:val="clear" w:color="auto" w:fill="auto"/>
          </w:tcPr>
          <w:p w14:paraId="44537D9F" w14:textId="2248BEA2" w:rsidR="00627CBA" w:rsidRPr="00627CBA" w:rsidRDefault="00627CBA" w:rsidP="00D57F5A">
            <w:pPr>
              <w:spacing w:before="0" w:after="0"/>
              <w:rPr>
                <w:rFonts w:ascii="Arial" w:hAnsi="Arial" w:cs="Arial"/>
                <w:b/>
                <w:sz w:val="20"/>
                <w:szCs w:val="20"/>
              </w:rPr>
            </w:pPr>
            <w:r w:rsidRPr="00627CBA">
              <w:rPr>
                <w:rFonts w:ascii="Arial" w:hAnsi="Arial" w:cs="Arial"/>
                <w:b/>
                <w:sz w:val="20"/>
                <w:szCs w:val="20"/>
              </w:rPr>
              <w:t>Vysvětleno</w:t>
            </w:r>
          </w:p>
          <w:p w14:paraId="48C08F97" w14:textId="77AD0987" w:rsidR="00676CCE" w:rsidRPr="001E16FC" w:rsidRDefault="00676CCE" w:rsidP="00D57F5A">
            <w:pPr>
              <w:spacing w:before="0" w:after="0"/>
              <w:rPr>
                <w:rFonts w:ascii="Arial" w:hAnsi="Arial" w:cs="Arial"/>
                <w:sz w:val="20"/>
                <w:szCs w:val="20"/>
              </w:rPr>
            </w:pPr>
            <w:r w:rsidRPr="001E16FC">
              <w:rPr>
                <w:rFonts w:ascii="Arial" w:hAnsi="Arial" w:cs="Arial"/>
                <w:sz w:val="20"/>
                <w:szCs w:val="20"/>
              </w:rPr>
              <w:t>V případě diverzifikací z analýz nevyplynulo, že by se potřeby zemědělců výrazně lišily dle území specifikovaného pro účely Koncepce rozvoje venkova a proto toto rozlišení zde nepředpokládáme.</w:t>
            </w:r>
          </w:p>
          <w:p w14:paraId="1E516E72" w14:textId="77777777" w:rsidR="00676CCE" w:rsidRPr="001E16FC" w:rsidRDefault="00676CCE" w:rsidP="00D57F5A">
            <w:pPr>
              <w:spacing w:before="0" w:after="0"/>
              <w:rPr>
                <w:rFonts w:ascii="Arial" w:hAnsi="Arial" w:cs="Arial"/>
                <w:sz w:val="20"/>
                <w:szCs w:val="20"/>
              </w:rPr>
            </w:pPr>
          </w:p>
          <w:p w14:paraId="3506D60B"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V případě EIP a vzdělávání se jedná o průřezové operace, kdy příspěvek v případě cíle H se předpokládá spíše vedlejší. Zejména operace EIP je nastavena tak, že zemědělci mohou ve svých projektech řešit specifický problém pro daný region, zároveň však projekt může řešit otázky zemědělské praxe na celorepublikové úrovni.</w:t>
            </w:r>
          </w:p>
        </w:tc>
      </w:tr>
      <w:tr w:rsidR="00676CCE" w:rsidRPr="001E16FC" w14:paraId="358765B4" w14:textId="77777777" w:rsidTr="00676CCE">
        <w:trPr>
          <w:trHeight w:val="1905"/>
        </w:trPr>
        <w:tc>
          <w:tcPr>
            <w:tcW w:w="200" w:type="pct"/>
          </w:tcPr>
          <w:p w14:paraId="6E28921A"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4</w:t>
            </w:r>
          </w:p>
        </w:tc>
        <w:tc>
          <w:tcPr>
            <w:tcW w:w="899" w:type="pct"/>
          </w:tcPr>
          <w:p w14:paraId="2579E4B6" w14:textId="7D37AD97" w:rsidR="00676CCE" w:rsidRPr="001E16FC" w:rsidRDefault="00676CCE" w:rsidP="005A6268">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 xml:space="preserve">Hnutí Duha </w:t>
            </w:r>
          </w:p>
        </w:tc>
        <w:tc>
          <w:tcPr>
            <w:tcW w:w="1230" w:type="pct"/>
            <w:shd w:val="clear" w:color="auto" w:fill="auto"/>
          </w:tcPr>
          <w:p w14:paraId="5047D7EF"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hAnsi="Arial" w:cs="Arial"/>
                <w:sz w:val="20"/>
                <w:szCs w:val="20"/>
              </w:rPr>
              <w:t>Str. 345 - Je třeba stanovit podmínky on line formy vzdělávání.</w:t>
            </w:r>
          </w:p>
        </w:tc>
        <w:tc>
          <w:tcPr>
            <w:tcW w:w="2671" w:type="pct"/>
            <w:shd w:val="clear" w:color="auto" w:fill="auto"/>
          </w:tcPr>
          <w:p w14:paraId="5B9E3BA0" w14:textId="77777777" w:rsidR="00676CCE" w:rsidRPr="00627CBA" w:rsidRDefault="00676CCE" w:rsidP="00D57F5A">
            <w:pPr>
              <w:spacing w:before="0" w:after="0"/>
              <w:rPr>
                <w:rFonts w:ascii="Arial" w:hAnsi="Arial" w:cs="Arial"/>
                <w:b/>
                <w:sz w:val="20"/>
                <w:szCs w:val="20"/>
              </w:rPr>
            </w:pPr>
            <w:r w:rsidRPr="00627CBA">
              <w:rPr>
                <w:rFonts w:ascii="Arial" w:hAnsi="Arial" w:cs="Arial"/>
                <w:b/>
                <w:sz w:val="20"/>
                <w:szCs w:val="20"/>
              </w:rPr>
              <w:t>Akceptováno</w:t>
            </w:r>
          </w:p>
          <w:p w14:paraId="60624895" w14:textId="21A22E7E" w:rsidR="00676CCE" w:rsidRPr="001E16FC" w:rsidRDefault="00676CCE" w:rsidP="00676CCE">
            <w:pPr>
              <w:spacing w:before="0" w:after="0"/>
              <w:rPr>
                <w:rFonts w:ascii="Arial" w:hAnsi="Arial" w:cs="Arial"/>
                <w:sz w:val="20"/>
                <w:szCs w:val="20"/>
              </w:rPr>
            </w:pPr>
            <w:r w:rsidRPr="001E16FC">
              <w:rPr>
                <w:rFonts w:ascii="Arial" w:hAnsi="Arial" w:cs="Arial"/>
                <w:sz w:val="20"/>
                <w:szCs w:val="20"/>
              </w:rPr>
              <w:t>Konkrétní podmínky budou součástí prováděcích Pravidel. Již v současném období budou v rámci 12.</w:t>
            </w:r>
            <w:r>
              <w:rPr>
                <w:rFonts w:ascii="Arial" w:hAnsi="Arial" w:cs="Arial"/>
                <w:sz w:val="20"/>
                <w:szCs w:val="20"/>
              </w:rPr>
              <w:t xml:space="preserve"> </w:t>
            </w:r>
            <w:r w:rsidRPr="001E16FC">
              <w:rPr>
                <w:rFonts w:ascii="Arial" w:hAnsi="Arial" w:cs="Arial"/>
                <w:sz w:val="20"/>
                <w:szCs w:val="20"/>
              </w:rPr>
              <w:t xml:space="preserve">kola příjmu žádosti umožněny on-line vzdělávací </w:t>
            </w:r>
            <w:proofErr w:type="gramStart"/>
            <w:r w:rsidRPr="001E16FC">
              <w:rPr>
                <w:rFonts w:ascii="Arial" w:hAnsi="Arial" w:cs="Arial"/>
                <w:sz w:val="20"/>
                <w:szCs w:val="20"/>
              </w:rPr>
              <w:t>akce</w:t>
            </w:r>
            <w:r>
              <w:rPr>
                <w:rFonts w:ascii="Arial" w:hAnsi="Arial" w:cs="Arial"/>
                <w:sz w:val="20"/>
                <w:szCs w:val="20"/>
              </w:rPr>
              <w:t>.</w:t>
            </w:r>
            <w:r w:rsidRPr="001E16FC">
              <w:rPr>
                <w:rFonts w:ascii="Arial" w:hAnsi="Arial" w:cs="Arial"/>
                <w:sz w:val="20"/>
                <w:szCs w:val="20"/>
              </w:rPr>
              <w:t xml:space="preserve"> .Na</w:t>
            </w:r>
            <w:proofErr w:type="gramEnd"/>
            <w:r w:rsidRPr="001E16FC">
              <w:rPr>
                <w:rFonts w:ascii="Arial" w:hAnsi="Arial" w:cs="Arial"/>
                <w:sz w:val="20"/>
                <w:szCs w:val="20"/>
              </w:rPr>
              <w:t xml:space="preserve"> základě těchto zkušeností budou upraveny podmínky do budoucích Pravidel..</w:t>
            </w:r>
          </w:p>
        </w:tc>
      </w:tr>
      <w:tr w:rsidR="00676CCE" w:rsidRPr="001E16FC" w14:paraId="309DB912" w14:textId="77777777" w:rsidTr="00676CCE">
        <w:trPr>
          <w:trHeight w:val="1905"/>
        </w:trPr>
        <w:tc>
          <w:tcPr>
            <w:tcW w:w="200" w:type="pct"/>
          </w:tcPr>
          <w:p w14:paraId="2655819C"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5</w:t>
            </w:r>
          </w:p>
        </w:tc>
        <w:tc>
          <w:tcPr>
            <w:tcW w:w="899" w:type="pct"/>
          </w:tcPr>
          <w:p w14:paraId="395A01A2"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 xml:space="preserve">Hnutí Duha </w:t>
            </w:r>
          </w:p>
        </w:tc>
        <w:tc>
          <w:tcPr>
            <w:tcW w:w="1230" w:type="pct"/>
            <w:shd w:val="clear" w:color="auto" w:fill="auto"/>
          </w:tcPr>
          <w:p w14:paraId="4CFD7406"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Poradenství:</w:t>
            </w:r>
          </w:p>
          <w:p w14:paraId="3258F1A8"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Nad rámec výše uvedeného uvádíme ještě některé otázky/body k </w:t>
            </w:r>
            <w:proofErr w:type="spellStart"/>
            <w:r w:rsidRPr="001E16FC">
              <w:rPr>
                <w:rFonts w:ascii="Arial" w:hAnsi="Arial" w:cs="Arial"/>
                <w:sz w:val="20"/>
                <w:szCs w:val="20"/>
              </w:rPr>
              <w:t>dojasnění</w:t>
            </w:r>
            <w:proofErr w:type="spellEnd"/>
            <w:r w:rsidRPr="001E16FC">
              <w:rPr>
                <w:rFonts w:ascii="Arial" w:hAnsi="Arial" w:cs="Arial"/>
                <w:sz w:val="20"/>
                <w:szCs w:val="20"/>
              </w:rPr>
              <w:t>:</w:t>
            </w:r>
          </w:p>
          <w:p w14:paraId="193B8DF4"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 xml:space="preserve">Str. 342 - </w:t>
            </w:r>
            <w:r w:rsidRPr="001E16FC">
              <w:rPr>
                <w:rFonts w:ascii="Arial" w:hAnsi="Arial" w:cs="Arial"/>
                <w:i/>
                <w:iCs/>
                <w:sz w:val="20"/>
                <w:szCs w:val="20"/>
              </w:rPr>
              <w:t>Roční plánované výstupy pro každý titul/záměr</w:t>
            </w:r>
            <w:r w:rsidRPr="001E16FC">
              <w:rPr>
                <w:rFonts w:ascii="Arial" w:hAnsi="Arial" w:cs="Arial"/>
                <w:sz w:val="20"/>
                <w:szCs w:val="20"/>
              </w:rPr>
              <w:t xml:space="preserve">. Rozumím tomu tak, že u individuálního poradenství (aktivita 1) podpoří v roce 2023 pouze 100 poradenských služeb? To je sakra málo. I hodnota 1000 v dalších letech nevím, jestli není málo. Ale 100 a až v roce 2023, to není dobré. V podstatě není jasný ani termín „pro každý titul/záměr“. Znamená to, že např. u aktivity 1 (individuální poradenství) budou vypsány nějaké záměry? A pokud </w:t>
            </w:r>
            <w:proofErr w:type="gramStart"/>
            <w:r w:rsidRPr="001E16FC">
              <w:rPr>
                <w:rFonts w:ascii="Arial" w:hAnsi="Arial" w:cs="Arial"/>
                <w:sz w:val="20"/>
                <w:szCs w:val="20"/>
              </w:rPr>
              <w:t>bude</w:t>
            </w:r>
            <w:proofErr w:type="gramEnd"/>
            <w:r w:rsidRPr="001E16FC">
              <w:rPr>
                <w:rFonts w:ascii="Arial" w:hAnsi="Arial" w:cs="Arial"/>
                <w:sz w:val="20"/>
                <w:szCs w:val="20"/>
              </w:rPr>
              <w:t xml:space="preserve"> vypsáno např. 5 záměrů </w:t>
            </w:r>
            <w:proofErr w:type="gramStart"/>
            <w:r w:rsidRPr="001E16FC">
              <w:rPr>
                <w:rFonts w:ascii="Arial" w:hAnsi="Arial" w:cs="Arial"/>
                <w:sz w:val="20"/>
                <w:szCs w:val="20"/>
              </w:rPr>
              <w:t>bude</w:t>
            </w:r>
            <w:proofErr w:type="gramEnd"/>
            <w:r w:rsidRPr="001E16FC">
              <w:rPr>
                <w:rFonts w:ascii="Arial" w:hAnsi="Arial" w:cs="Arial"/>
                <w:sz w:val="20"/>
                <w:szCs w:val="20"/>
              </w:rPr>
              <w:t xml:space="preserve"> tedy </w:t>
            </w:r>
            <w:r w:rsidRPr="001E16FC">
              <w:rPr>
                <w:rFonts w:ascii="Arial" w:hAnsi="Arial" w:cs="Arial"/>
                <w:sz w:val="20"/>
                <w:szCs w:val="20"/>
              </w:rPr>
              <w:lastRenderedPageBreak/>
              <w:t>počet podpořených poradenských služeb v roce 2023 = X*100?</w:t>
            </w:r>
          </w:p>
          <w:p w14:paraId="1CC18DE7" w14:textId="77777777" w:rsidR="00676CCE" w:rsidRPr="001E16FC" w:rsidRDefault="00676CCE" w:rsidP="00D57F5A">
            <w:pPr>
              <w:numPr>
                <w:ilvl w:val="0"/>
                <w:numId w:val="22"/>
              </w:numPr>
              <w:spacing w:before="0" w:after="0"/>
              <w:rPr>
                <w:rFonts w:ascii="Arial" w:hAnsi="Arial" w:cs="Arial"/>
                <w:sz w:val="20"/>
                <w:szCs w:val="20"/>
              </w:rPr>
            </w:pPr>
            <w:r w:rsidRPr="001E16FC">
              <w:rPr>
                <w:rFonts w:ascii="Arial" w:hAnsi="Arial" w:cs="Arial"/>
                <w:sz w:val="20"/>
                <w:szCs w:val="20"/>
              </w:rPr>
              <w:t xml:space="preserve">Naproti tomu aktivita 2 faremní plány v roce 2023 je 120 akcí a pak mnohem méně. Nechápu filosofii těchto čísel. Jinak stejné otázky jako v bodě 1. </w:t>
            </w:r>
          </w:p>
          <w:p w14:paraId="486D9C9A" w14:textId="77777777" w:rsidR="00676CCE" w:rsidRPr="001E16FC" w:rsidRDefault="00676CCE" w:rsidP="00D57F5A">
            <w:pPr>
              <w:numPr>
                <w:ilvl w:val="0"/>
                <w:numId w:val="22"/>
              </w:numPr>
              <w:spacing w:before="0" w:after="0"/>
              <w:rPr>
                <w:rFonts w:ascii="Arial" w:hAnsi="Arial" w:cs="Arial"/>
                <w:sz w:val="20"/>
                <w:szCs w:val="20"/>
              </w:rPr>
            </w:pPr>
            <w:r w:rsidRPr="001E16FC">
              <w:rPr>
                <w:rFonts w:ascii="Arial" w:hAnsi="Arial" w:cs="Arial"/>
                <w:sz w:val="20"/>
                <w:szCs w:val="20"/>
              </w:rPr>
              <w:t>Výše uvedené souvisí i se stranou 341, kde jsou uvedena celková čísla:  </w:t>
            </w:r>
          </w:p>
          <w:p w14:paraId="301D96F0" w14:textId="77777777" w:rsidR="00676CCE" w:rsidRPr="001E16FC" w:rsidRDefault="00676CCE" w:rsidP="00D57F5A">
            <w:pPr>
              <w:spacing w:before="0" w:after="0"/>
              <w:rPr>
                <w:rFonts w:ascii="Arial" w:hAnsi="Arial" w:cs="Arial"/>
                <w:i/>
                <w:iCs/>
                <w:sz w:val="20"/>
                <w:szCs w:val="20"/>
              </w:rPr>
            </w:pPr>
            <w:r w:rsidRPr="001E16FC">
              <w:rPr>
                <w:rFonts w:ascii="Arial" w:hAnsi="Arial" w:cs="Arial"/>
                <w:i/>
                <w:iCs/>
                <w:sz w:val="20"/>
                <w:szCs w:val="20"/>
              </w:rPr>
              <w:t xml:space="preserve">Používané výstupové ukazatele: </w:t>
            </w:r>
          </w:p>
          <w:p w14:paraId="7A344A9A" w14:textId="77777777" w:rsidR="00676CCE" w:rsidRPr="001E16FC" w:rsidRDefault="00676CCE" w:rsidP="00D57F5A">
            <w:pPr>
              <w:spacing w:before="0" w:after="0"/>
              <w:rPr>
                <w:rFonts w:ascii="Arial" w:hAnsi="Arial" w:cs="Arial"/>
                <w:i/>
                <w:iCs/>
                <w:sz w:val="20"/>
                <w:szCs w:val="20"/>
              </w:rPr>
            </w:pPr>
            <w:proofErr w:type="gramStart"/>
            <w:r w:rsidRPr="001E16FC">
              <w:rPr>
                <w:rFonts w:ascii="Arial" w:hAnsi="Arial" w:cs="Arial"/>
                <w:i/>
                <w:iCs/>
                <w:sz w:val="20"/>
                <w:szCs w:val="20"/>
              </w:rPr>
              <w:t>O.2:</w:t>
            </w:r>
            <w:proofErr w:type="gramEnd"/>
            <w:r w:rsidRPr="001E16FC">
              <w:rPr>
                <w:rFonts w:ascii="Arial" w:hAnsi="Arial" w:cs="Arial"/>
                <w:i/>
                <w:iCs/>
                <w:sz w:val="20"/>
                <w:szCs w:val="20"/>
              </w:rPr>
              <w:t xml:space="preserve"> Počet poradenských akcí na poskytnutí podpory inovací na přípravu nebo implementaci projektů EIP operačních skupin (vzhledem k aktivitě 3 Specializované poradenství). Cíl je 40 akcí. </w:t>
            </w:r>
          </w:p>
          <w:p w14:paraId="431EF8D8" w14:textId="77777777" w:rsidR="00676CCE" w:rsidRPr="001E16FC" w:rsidRDefault="00676CCE" w:rsidP="00D57F5A">
            <w:pPr>
              <w:spacing w:before="0" w:after="0"/>
              <w:rPr>
                <w:rFonts w:ascii="Arial" w:hAnsi="Arial" w:cs="Arial"/>
                <w:i/>
                <w:iCs/>
                <w:sz w:val="20"/>
                <w:szCs w:val="20"/>
              </w:rPr>
            </w:pPr>
            <w:proofErr w:type="gramStart"/>
            <w:r w:rsidRPr="001E16FC">
              <w:rPr>
                <w:rFonts w:ascii="Arial" w:hAnsi="Arial" w:cs="Arial"/>
                <w:i/>
                <w:iCs/>
                <w:sz w:val="20"/>
                <w:szCs w:val="20"/>
              </w:rPr>
              <w:t>O.29</w:t>
            </w:r>
            <w:proofErr w:type="gramEnd"/>
            <w:r w:rsidRPr="001E16FC">
              <w:rPr>
                <w:rFonts w:ascii="Arial" w:hAnsi="Arial" w:cs="Arial"/>
                <w:i/>
                <w:iCs/>
                <w:sz w:val="20"/>
                <w:szCs w:val="20"/>
              </w:rPr>
              <w:t xml:space="preserve">: Počet akcí vzdělávání a poradenství pro zemědělce a nezemědělce (mimo </w:t>
            </w:r>
            <w:proofErr w:type="gramStart"/>
            <w:r w:rsidRPr="001E16FC">
              <w:rPr>
                <w:rFonts w:ascii="Arial" w:hAnsi="Arial" w:cs="Arial"/>
                <w:i/>
                <w:iCs/>
                <w:sz w:val="20"/>
                <w:szCs w:val="20"/>
              </w:rPr>
              <w:t>O.2) (vzhledem</w:t>
            </w:r>
            <w:proofErr w:type="gramEnd"/>
            <w:r w:rsidRPr="001E16FC">
              <w:rPr>
                <w:rFonts w:ascii="Arial" w:hAnsi="Arial" w:cs="Arial"/>
                <w:i/>
                <w:iCs/>
                <w:sz w:val="20"/>
                <w:szCs w:val="20"/>
              </w:rPr>
              <w:t xml:space="preserve"> k aktivitě 1 a 2) – cíl je 4500 akcí </w:t>
            </w:r>
          </w:p>
          <w:p w14:paraId="163D5CE6" w14:textId="77777777" w:rsidR="00676CCE" w:rsidRPr="001E16FC" w:rsidRDefault="00676CCE" w:rsidP="00D57F5A">
            <w:pPr>
              <w:spacing w:before="0" w:after="0"/>
              <w:rPr>
                <w:rFonts w:ascii="Arial" w:hAnsi="Arial" w:cs="Arial"/>
                <w:i/>
                <w:iCs/>
                <w:sz w:val="20"/>
                <w:szCs w:val="20"/>
              </w:rPr>
            </w:pPr>
            <w:proofErr w:type="gramStart"/>
            <w:r w:rsidRPr="001E16FC">
              <w:rPr>
                <w:rFonts w:ascii="Arial" w:hAnsi="Arial" w:cs="Arial"/>
                <w:i/>
                <w:iCs/>
                <w:sz w:val="20"/>
                <w:szCs w:val="20"/>
              </w:rPr>
              <w:t>O.29</w:t>
            </w:r>
            <w:proofErr w:type="gramEnd"/>
            <w:r w:rsidRPr="001E16FC">
              <w:rPr>
                <w:rFonts w:ascii="Arial" w:hAnsi="Arial" w:cs="Arial"/>
                <w:i/>
                <w:iCs/>
                <w:sz w:val="20"/>
                <w:szCs w:val="20"/>
              </w:rPr>
              <w:t xml:space="preserve">: Počet akcí vzdělávání a poradenství pro zemědělce a nezemědělce (mimo </w:t>
            </w:r>
            <w:proofErr w:type="gramStart"/>
            <w:r w:rsidRPr="001E16FC">
              <w:rPr>
                <w:rFonts w:ascii="Arial" w:hAnsi="Arial" w:cs="Arial"/>
                <w:i/>
                <w:iCs/>
                <w:sz w:val="20"/>
                <w:szCs w:val="20"/>
              </w:rPr>
              <w:t>O.2) (vzhledem</w:t>
            </w:r>
            <w:proofErr w:type="gramEnd"/>
            <w:r w:rsidRPr="001E16FC">
              <w:rPr>
                <w:rFonts w:ascii="Arial" w:hAnsi="Arial" w:cs="Arial"/>
                <w:i/>
                <w:iCs/>
                <w:sz w:val="20"/>
                <w:szCs w:val="20"/>
              </w:rPr>
              <w:t xml:space="preserve"> k aktivitě 4, 5, 6) – cíl je 40 akcí</w:t>
            </w:r>
          </w:p>
          <w:p w14:paraId="4B21A2A5"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 xml:space="preserve">4) </w:t>
            </w:r>
            <w:proofErr w:type="gramStart"/>
            <w:r w:rsidRPr="001E16FC">
              <w:rPr>
                <w:rFonts w:ascii="Arial" w:hAnsi="Arial" w:cs="Arial"/>
                <w:sz w:val="20"/>
                <w:szCs w:val="20"/>
              </w:rPr>
              <w:t>str.345</w:t>
            </w:r>
            <w:proofErr w:type="gramEnd"/>
            <w:r w:rsidRPr="001E16FC">
              <w:rPr>
                <w:rFonts w:ascii="Arial" w:hAnsi="Arial" w:cs="Arial"/>
                <w:sz w:val="20"/>
                <w:szCs w:val="20"/>
              </w:rPr>
              <w:t xml:space="preserve"> - Roční plánované výstupy pro každý titul/záměr – znamená to tedy, že budou vyhlášeny záměry, jako je to v tomto období (2A, 2B, 2C.. atd.)? Tj. v tabulce uvedené počty v jednotlivých letech se </w:t>
            </w:r>
            <w:r w:rsidRPr="001E16FC">
              <w:rPr>
                <w:rFonts w:ascii="Arial" w:hAnsi="Arial" w:cs="Arial"/>
                <w:sz w:val="20"/>
                <w:szCs w:val="20"/>
              </w:rPr>
              <w:lastRenderedPageBreak/>
              <w:t xml:space="preserve">opravdu vztahují na jednotlivé záměry, tj. pokud bude 5 záměrů, pak bude </w:t>
            </w:r>
            <w:r w:rsidRPr="001E16FC">
              <w:rPr>
                <w:rFonts w:ascii="Arial" w:hAnsi="Arial" w:cs="Arial"/>
                <w:i/>
                <w:iCs/>
                <w:sz w:val="20"/>
                <w:szCs w:val="20"/>
              </w:rPr>
              <w:t xml:space="preserve">Počet akcí výcviku a poradenství pro zemědělce a nezemědělce (mimo </w:t>
            </w:r>
            <w:proofErr w:type="gramStart"/>
            <w:r w:rsidRPr="001E16FC">
              <w:rPr>
                <w:rFonts w:ascii="Arial" w:hAnsi="Arial" w:cs="Arial"/>
                <w:i/>
                <w:iCs/>
                <w:sz w:val="20"/>
                <w:szCs w:val="20"/>
              </w:rPr>
              <w:t>O.2) – Vzdělávací</w:t>
            </w:r>
            <w:proofErr w:type="gramEnd"/>
            <w:r w:rsidRPr="001E16FC">
              <w:rPr>
                <w:rFonts w:ascii="Arial" w:hAnsi="Arial" w:cs="Arial"/>
                <w:i/>
                <w:iCs/>
                <w:sz w:val="20"/>
                <w:szCs w:val="20"/>
              </w:rPr>
              <w:t xml:space="preserve"> akce</w:t>
            </w:r>
            <w:r w:rsidRPr="001E16FC">
              <w:rPr>
                <w:rFonts w:ascii="Arial" w:hAnsi="Arial" w:cs="Arial"/>
                <w:sz w:val="20"/>
                <w:szCs w:val="20"/>
              </w:rPr>
              <w:t xml:space="preserve"> v roce 2024 = 5*136? Termín „1 akce výcviku a poradenství“ = 1 seminář? Nejasný termín „Počet akcí výcviku a poradenství“ – hlavně proč je v kapitole Podpora vzdělávání použito slovo poradenství.</w:t>
            </w:r>
          </w:p>
        </w:tc>
        <w:tc>
          <w:tcPr>
            <w:tcW w:w="2671" w:type="pct"/>
            <w:shd w:val="clear" w:color="auto" w:fill="auto"/>
          </w:tcPr>
          <w:p w14:paraId="22E73A6D" w14:textId="77777777" w:rsidR="00676CCE" w:rsidRPr="00627CBA" w:rsidRDefault="00676CCE" w:rsidP="00D57F5A">
            <w:pPr>
              <w:spacing w:before="0" w:after="0"/>
              <w:rPr>
                <w:rFonts w:ascii="Arial" w:hAnsi="Arial" w:cs="Arial"/>
                <w:b/>
                <w:sz w:val="20"/>
                <w:szCs w:val="20"/>
              </w:rPr>
            </w:pPr>
            <w:r w:rsidRPr="00627CBA">
              <w:rPr>
                <w:rFonts w:ascii="Arial" w:hAnsi="Arial" w:cs="Arial"/>
                <w:b/>
                <w:sz w:val="20"/>
                <w:szCs w:val="20"/>
              </w:rPr>
              <w:lastRenderedPageBreak/>
              <w:t>Vysvětleno</w:t>
            </w:r>
          </w:p>
          <w:p w14:paraId="1BB929E9"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Očekávání, kdy bude první rok implementace SZP, se několikrát měnilo a je nezbytné překontrolovat, aby počáteční rok byl správně reflektován v plánech naplňování cílů. Pojmy titul/záměr/aktivita – souhlasíme, že je nezbytné pojmy sjednotit</w:t>
            </w:r>
            <w:r>
              <w:rPr>
                <w:rFonts w:ascii="Arial" w:hAnsi="Arial" w:cs="Arial"/>
                <w:sz w:val="20"/>
                <w:szCs w:val="20"/>
              </w:rPr>
              <w:t>, ale až po vyjasnění konečné podoby intervencí</w:t>
            </w:r>
            <w:r w:rsidRPr="001E16FC">
              <w:rPr>
                <w:rFonts w:ascii="Arial" w:hAnsi="Arial" w:cs="Arial"/>
                <w:sz w:val="20"/>
                <w:szCs w:val="20"/>
              </w:rPr>
              <w:t xml:space="preserve">. Aktivita se již dále nečlení (u jiných intervencí se jim říká titul/záměr) a zahrnuje jednotlivé akce (např. jedna poskytnutá poradenská služba, nebo jeden seminář). Nebudou tedy již vyhlašované další záměry, jen může být vyhlašována již uvedená aktivita s prioritami na vybrané priority např. u vzdělávání. Uvedené číslo (např. 100 nebo 1000) za rok představuje počet poradenských služeb. Počáteční nízké číslo odráží zkušenost s rozbíháním každé nové intervence a zkušenost říká, že je i vůči plnění cílů vůči EK vhodnější překročit cíle než nenaplňovat. Jinak roční cílová hodnota 1000 poradenských služeb vychází ze zkušeností z období, kdy byla tato služba naposledy podporována. Naplnění ambicióznějších cílů je brzděno nízkými kapacitami poradců, jejich stavy mohou teprve dále růst, jak budou podpory pokračovat (dosud počty klesaly). Je nutno připomenout, že se neplnění postupných plánovaných cílů může projevit v redukci rozpočtu ze strany EK. Faremní plány jsou nová aktivita, jejíž zavedení je podmíněno řadou úspěšně provedených kroků (fungující institucionální spolupráce, dobře připravený celý systém přípravy poradců včetně </w:t>
            </w:r>
            <w:r w:rsidRPr="001E16FC">
              <w:rPr>
                <w:rFonts w:ascii="Arial" w:hAnsi="Arial" w:cs="Arial"/>
                <w:sz w:val="20"/>
                <w:szCs w:val="20"/>
              </w:rPr>
              <w:lastRenderedPageBreak/>
              <w:t xml:space="preserve">náplně pro jejich výcvik, dobře rozpracované a vysvětlené osnovy plánů, zavedená pravidla pro součinnost správ CHÚ, dostatek vyškolených poradců atd.). Proto je riskantní dávat vysoké cíle první roky, zatímco v pozdějších letech programového období už bude menší poptávka po plánech, protože většina zemědělců bude v </w:t>
            </w:r>
            <w:proofErr w:type="spellStart"/>
            <w:r w:rsidRPr="001E16FC">
              <w:rPr>
                <w:rFonts w:ascii="Arial" w:hAnsi="Arial" w:cs="Arial"/>
                <w:sz w:val="20"/>
                <w:szCs w:val="20"/>
              </w:rPr>
              <w:t>agro-envi</w:t>
            </w:r>
            <w:proofErr w:type="spellEnd"/>
            <w:r w:rsidRPr="001E16FC">
              <w:rPr>
                <w:rFonts w:ascii="Arial" w:hAnsi="Arial" w:cs="Arial"/>
                <w:sz w:val="20"/>
                <w:szCs w:val="20"/>
              </w:rPr>
              <w:t xml:space="preserve"> intervenci už přihlášena. Nejasnosti u cílových ukazatelů: U EIP je podporována zvlášť samotná skupina spolupracujících organizací (např. 40 akcí) a zvlášť je podpora poradců, kteří mohou (ale nemusí) takovou EIP provázet (taktéž může být cíl max. 40). Jeden z ukazatelů spojuje všechny akce, ve kterých dochází k přenosu znalostí, tj.: vzdělávání, poradenství a EIP, proto se u vzdělávání objevuje i slovo poradenství.</w:t>
            </w:r>
          </w:p>
          <w:p w14:paraId="29899FF8" w14:textId="77777777" w:rsidR="00676CCE" w:rsidRPr="001E16FC" w:rsidRDefault="00676CCE" w:rsidP="00D57F5A">
            <w:pPr>
              <w:spacing w:before="0" w:after="0"/>
              <w:rPr>
                <w:rFonts w:ascii="Arial" w:hAnsi="Arial" w:cs="Arial"/>
                <w:color w:val="00B050"/>
                <w:sz w:val="20"/>
                <w:szCs w:val="20"/>
              </w:rPr>
            </w:pPr>
          </w:p>
          <w:p w14:paraId="1FCABC25"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 xml:space="preserve">V rámci aktivit už nebudou vypisovány záměry.  Rok 2023 byl navrhován s předpokladem delšího odkladu zahájení nového programového období;  bude přizpůsoben dle skutečného zahájení (na začátku bývá méně požadavků a jsou vykazovány jen proplacené akce). </w:t>
            </w:r>
          </w:p>
          <w:p w14:paraId="3FA0A31F"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U faremních plánů v CHKO se předpokládá jejich využití na podporu žádostí o AEKO (</w:t>
            </w:r>
            <w:proofErr w:type="spellStart"/>
            <w:r w:rsidRPr="001E16FC">
              <w:rPr>
                <w:rFonts w:ascii="Arial" w:hAnsi="Arial" w:cs="Arial"/>
                <w:sz w:val="20"/>
                <w:szCs w:val="20"/>
              </w:rPr>
              <w:t>agroenvironmentálně</w:t>
            </w:r>
            <w:proofErr w:type="spellEnd"/>
            <w:r w:rsidRPr="001E16FC">
              <w:rPr>
                <w:rFonts w:ascii="Arial" w:hAnsi="Arial" w:cs="Arial"/>
                <w:sz w:val="20"/>
                <w:szCs w:val="20"/>
              </w:rPr>
              <w:t xml:space="preserve">-klimatické opatření), což s postupujícími roky bude méně smysluplné (většina zemědělců se přihlásí na začátku programového období).  </w:t>
            </w:r>
            <w:r w:rsidRPr="001E16FC">
              <w:rPr>
                <w:rFonts w:ascii="Arial" w:hAnsi="Arial" w:cs="Arial"/>
                <w:sz w:val="20"/>
                <w:szCs w:val="20"/>
                <w:shd w:val="clear" w:color="auto" w:fill="FFFFFF"/>
              </w:rPr>
              <w:t>Dalším mechanismem může být, že pravidla pro faremní plány se teprve budou tvořit, což může znamenat naopak opožděný nástup této aktivity. </w:t>
            </w:r>
          </w:p>
          <w:p w14:paraId="109EA146" w14:textId="77777777" w:rsidR="00676CCE" w:rsidRPr="001E16FC" w:rsidRDefault="00676CCE" w:rsidP="00D57F5A">
            <w:pPr>
              <w:spacing w:before="0" w:after="0"/>
              <w:rPr>
                <w:rFonts w:ascii="Arial" w:hAnsi="Arial" w:cs="Arial"/>
                <w:sz w:val="20"/>
                <w:szCs w:val="20"/>
              </w:rPr>
            </w:pPr>
          </w:p>
        </w:tc>
      </w:tr>
      <w:tr w:rsidR="00676CCE" w:rsidRPr="001E16FC" w14:paraId="784401CA" w14:textId="77777777" w:rsidTr="00676CCE">
        <w:trPr>
          <w:trHeight w:val="1905"/>
        </w:trPr>
        <w:tc>
          <w:tcPr>
            <w:tcW w:w="200" w:type="pct"/>
          </w:tcPr>
          <w:p w14:paraId="2DD1BBAF"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lastRenderedPageBreak/>
              <w:t>6</w:t>
            </w:r>
          </w:p>
        </w:tc>
        <w:tc>
          <w:tcPr>
            <w:tcW w:w="899" w:type="pct"/>
          </w:tcPr>
          <w:p w14:paraId="621A01BD"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 xml:space="preserve">Hnutí Duha </w:t>
            </w:r>
          </w:p>
        </w:tc>
        <w:tc>
          <w:tcPr>
            <w:tcW w:w="1230" w:type="pct"/>
            <w:shd w:val="clear" w:color="auto" w:fill="auto"/>
          </w:tcPr>
          <w:p w14:paraId="1AC18F59"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 xml:space="preserve">Kap. 2.9.2 - V souladu se schválenými koncepčními materiály (SRR 21+ a KRV) požadujeme do SP SZP významněji zapracovat i koncept Smart </w:t>
            </w:r>
            <w:proofErr w:type="spellStart"/>
            <w:r w:rsidRPr="001E16FC">
              <w:rPr>
                <w:rFonts w:ascii="Arial" w:hAnsi="Arial" w:cs="Arial"/>
                <w:sz w:val="20"/>
                <w:szCs w:val="20"/>
              </w:rPr>
              <w:t>Village</w:t>
            </w:r>
            <w:proofErr w:type="spellEnd"/>
            <w:r w:rsidRPr="001E16FC">
              <w:rPr>
                <w:rFonts w:ascii="Arial" w:hAnsi="Arial" w:cs="Arial"/>
                <w:sz w:val="20"/>
                <w:szCs w:val="20"/>
              </w:rPr>
              <w:t xml:space="preserve"> (např. v rámci intervence </w:t>
            </w:r>
            <w:proofErr w:type="gramStart"/>
            <w:r w:rsidRPr="001E16FC">
              <w:rPr>
                <w:rFonts w:ascii="Arial" w:hAnsi="Arial" w:cs="Arial"/>
                <w:sz w:val="20"/>
                <w:szCs w:val="20"/>
              </w:rPr>
              <w:t>5.3.50</w:t>
            </w:r>
            <w:proofErr w:type="gramEnd"/>
            <w:r w:rsidRPr="001E16FC">
              <w:rPr>
                <w:rFonts w:ascii="Arial" w:hAnsi="Arial" w:cs="Arial"/>
                <w:sz w:val="20"/>
                <w:szCs w:val="20"/>
              </w:rPr>
              <w:t>).</w:t>
            </w:r>
          </w:p>
        </w:tc>
        <w:tc>
          <w:tcPr>
            <w:tcW w:w="2671" w:type="pct"/>
            <w:shd w:val="clear" w:color="auto" w:fill="auto"/>
          </w:tcPr>
          <w:p w14:paraId="0112CF3F" w14:textId="7A565725" w:rsidR="00627CBA" w:rsidRPr="00627CBA" w:rsidRDefault="00627CBA" w:rsidP="00D57F5A">
            <w:pPr>
              <w:spacing w:before="0" w:after="0"/>
              <w:rPr>
                <w:rFonts w:ascii="Arial" w:hAnsi="Arial" w:cs="Arial"/>
                <w:b/>
                <w:sz w:val="20"/>
                <w:szCs w:val="20"/>
              </w:rPr>
            </w:pPr>
            <w:r w:rsidRPr="00627CBA">
              <w:rPr>
                <w:rFonts w:ascii="Arial" w:hAnsi="Arial" w:cs="Arial"/>
                <w:b/>
                <w:sz w:val="20"/>
                <w:szCs w:val="20"/>
              </w:rPr>
              <w:t>Vysvětleno</w:t>
            </w:r>
          </w:p>
          <w:p w14:paraId="65215AEA" w14:textId="24AC4D00" w:rsidR="00676CCE" w:rsidRPr="001E16FC" w:rsidRDefault="00676CCE" w:rsidP="00D57F5A">
            <w:pPr>
              <w:spacing w:before="0" w:after="0"/>
              <w:rPr>
                <w:rFonts w:ascii="Arial" w:hAnsi="Arial" w:cs="Arial"/>
                <w:sz w:val="20"/>
                <w:szCs w:val="20"/>
              </w:rPr>
            </w:pPr>
            <w:r w:rsidRPr="001E16FC">
              <w:rPr>
                <w:rFonts w:ascii="Arial" w:hAnsi="Arial" w:cs="Arial"/>
                <w:sz w:val="20"/>
                <w:szCs w:val="20"/>
              </w:rPr>
              <w:t>V případě diverzifikací z analýz nevyplynulo, že by se potřeby zemědělců výrazně lišily dle území specifikovaného pro účely Koncepce rozvoje venkova a proto toto rozlišení zde nepředpokládáme.</w:t>
            </w:r>
          </w:p>
          <w:p w14:paraId="4BA9AEFB" w14:textId="77777777" w:rsidR="00676CCE" w:rsidRPr="001E16FC" w:rsidRDefault="00676CCE" w:rsidP="00D57F5A">
            <w:pPr>
              <w:spacing w:before="0" w:after="0"/>
              <w:rPr>
                <w:rFonts w:ascii="Arial" w:hAnsi="Arial" w:cs="Arial"/>
                <w:sz w:val="20"/>
                <w:szCs w:val="20"/>
              </w:rPr>
            </w:pPr>
          </w:p>
          <w:p w14:paraId="47AAA335" w14:textId="77777777" w:rsidR="00676CCE" w:rsidRPr="001E16FC" w:rsidRDefault="00676CCE" w:rsidP="00D57F5A">
            <w:pPr>
              <w:spacing w:before="0" w:after="0"/>
              <w:rPr>
                <w:rFonts w:ascii="Arial" w:hAnsi="Arial" w:cs="Arial"/>
                <w:sz w:val="20"/>
                <w:szCs w:val="20"/>
              </w:rPr>
            </w:pPr>
            <w:r w:rsidRPr="001E16FC">
              <w:rPr>
                <w:rFonts w:ascii="Arial" w:hAnsi="Arial" w:cs="Arial"/>
                <w:sz w:val="20"/>
                <w:szCs w:val="20"/>
              </w:rPr>
              <w:t>V případě EIP a vzdělávání se jedná o průřezové operace, kdy příspěvek v případě cíle H se předpokládá spíše vedlejší. Zejména operace EIP je nastavena tak, že zemědělci mohou ve svých projektech řešit specifický problém pro daný region, zároveň však projekt může řešit otázky zemědělské praxe na celorepublikové úrovni.</w:t>
            </w:r>
          </w:p>
        </w:tc>
      </w:tr>
      <w:tr w:rsidR="00676CCE" w:rsidRPr="001E16FC" w14:paraId="29A23EA3" w14:textId="77777777" w:rsidTr="00676CCE">
        <w:trPr>
          <w:trHeight w:val="1905"/>
        </w:trPr>
        <w:tc>
          <w:tcPr>
            <w:tcW w:w="200" w:type="pct"/>
          </w:tcPr>
          <w:p w14:paraId="6405A4E8"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7</w:t>
            </w:r>
          </w:p>
        </w:tc>
        <w:tc>
          <w:tcPr>
            <w:tcW w:w="899" w:type="pct"/>
          </w:tcPr>
          <w:p w14:paraId="4794424E"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ZS ČR</w:t>
            </w:r>
          </w:p>
        </w:tc>
        <w:tc>
          <w:tcPr>
            <w:tcW w:w="1230" w:type="pct"/>
            <w:shd w:val="clear" w:color="auto" w:fill="auto"/>
          </w:tcPr>
          <w:p w14:paraId="1DC08500" w14:textId="77777777" w:rsidR="00676CCE" w:rsidRPr="001E16FC" w:rsidRDefault="00676CCE" w:rsidP="00D57F5A">
            <w:pPr>
              <w:spacing w:before="0" w:after="0"/>
              <w:rPr>
                <w:rFonts w:ascii="Arial" w:hAnsi="Arial" w:cs="Arial"/>
                <w:sz w:val="20"/>
                <w:szCs w:val="20"/>
              </w:rPr>
            </w:pPr>
            <w:r w:rsidRPr="001E16FC">
              <w:rPr>
                <w:rFonts w:ascii="Arial" w:hAnsi="Arial" w:cs="Arial"/>
                <w:color w:val="000000"/>
                <w:sz w:val="20"/>
                <w:szCs w:val="20"/>
              </w:rPr>
              <w:t xml:space="preserve">Dobrý den, chtěl jsem se zeptat jak a kdy bude modifikován ev. zrušen národní </w:t>
            </w:r>
            <w:proofErr w:type="gramStart"/>
            <w:r w:rsidRPr="001E16FC">
              <w:rPr>
                <w:rFonts w:ascii="Arial" w:hAnsi="Arial" w:cs="Arial"/>
                <w:color w:val="000000"/>
                <w:sz w:val="20"/>
                <w:szCs w:val="20"/>
              </w:rPr>
              <w:t>program 9.F.e pokud</w:t>
            </w:r>
            <w:proofErr w:type="gramEnd"/>
            <w:r w:rsidRPr="001E16FC">
              <w:rPr>
                <w:rFonts w:ascii="Arial" w:hAnsi="Arial" w:cs="Arial"/>
                <w:color w:val="000000"/>
                <w:sz w:val="20"/>
                <w:szCs w:val="20"/>
              </w:rPr>
              <w:t xml:space="preserve"> tento systém vejde v platnost? Ev. je v plánu nějaký souběh těchto programů a po jakou dobu?</w:t>
            </w:r>
          </w:p>
        </w:tc>
        <w:tc>
          <w:tcPr>
            <w:tcW w:w="2671" w:type="pct"/>
            <w:shd w:val="clear" w:color="auto" w:fill="auto"/>
          </w:tcPr>
          <w:p w14:paraId="03916AB7" w14:textId="1D689601" w:rsidR="00676CCE" w:rsidRPr="00627CBA" w:rsidRDefault="00627CBA" w:rsidP="00D57F5A">
            <w:pPr>
              <w:autoSpaceDE w:val="0"/>
              <w:autoSpaceDN w:val="0"/>
              <w:adjustRightInd w:val="0"/>
              <w:spacing w:before="0" w:after="0"/>
              <w:jc w:val="left"/>
              <w:rPr>
                <w:rFonts w:ascii="Arial" w:hAnsi="Arial" w:cs="Arial"/>
                <w:b/>
                <w:color w:val="000000"/>
                <w:sz w:val="20"/>
                <w:szCs w:val="20"/>
              </w:rPr>
            </w:pPr>
            <w:r w:rsidRPr="00627CBA">
              <w:rPr>
                <w:rFonts w:ascii="Arial" w:hAnsi="Arial" w:cs="Arial"/>
                <w:b/>
                <w:color w:val="000000"/>
                <w:sz w:val="20"/>
                <w:szCs w:val="20"/>
              </w:rPr>
              <w:t>Vysvětleno</w:t>
            </w:r>
          </w:p>
          <w:p w14:paraId="7CB7937E" w14:textId="77777777" w:rsidR="00676CCE" w:rsidRPr="001E16FC" w:rsidRDefault="00676CCE" w:rsidP="00D57F5A">
            <w:pPr>
              <w:spacing w:before="0" w:after="0"/>
              <w:rPr>
                <w:rFonts w:ascii="Arial" w:hAnsi="Arial" w:cs="Arial"/>
                <w:sz w:val="20"/>
                <w:szCs w:val="20"/>
              </w:rPr>
            </w:pPr>
            <w:r w:rsidRPr="001E16FC">
              <w:rPr>
                <w:rFonts w:ascii="Arial" w:hAnsi="Arial" w:cs="Arial"/>
                <w:color w:val="000000"/>
                <w:sz w:val="20"/>
                <w:szCs w:val="20"/>
              </w:rPr>
              <w:t xml:space="preserve"> Dotační </w:t>
            </w:r>
            <w:proofErr w:type="gramStart"/>
            <w:r w:rsidRPr="001E16FC">
              <w:rPr>
                <w:rFonts w:ascii="Arial" w:hAnsi="Arial" w:cs="Arial"/>
                <w:color w:val="000000"/>
                <w:sz w:val="20"/>
                <w:szCs w:val="20"/>
              </w:rPr>
              <w:t>titul 9.F.e. nebude</w:t>
            </w:r>
            <w:proofErr w:type="gramEnd"/>
            <w:r w:rsidRPr="001E16FC">
              <w:rPr>
                <w:rFonts w:ascii="Arial" w:hAnsi="Arial" w:cs="Arial"/>
                <w:color w:val="000000"/>
                <w:sz w:val="20"/>
                <w:szCs w:val="20"/>
              </w:rPr>
              <w:t xml:space="preserve"> rušen. Bude upraven v souladu s aktuální legislativou. Nástroje budou komplementární.</w:t>
            </w:r>
          </w:p>
        </w:tc>
      </w:tr>
      <w:tr w:rsidR="00676CCE" w:rsidRPr="001E16FC" w14:paraId="3710C1AD" w14:textId="77777777" w:rsidTr="00676CCE">
        <w:trPr>
          <w:trHeight w:val="1905"/>
        </w:trPr>
        <w:tc>
          <w:tcPr>
            <w:tcW w:w="200" w:type="pct"/>
          </w:tcPr>
          <w:p w14:paraId="5049C26A"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8</w:t>
            </w:r>
          </w:p>
        </w:tc>
        <w:tc>
          <w:tcPr>
            <w:tcW w:w="899" w:type="pct"/>
          </w:tcPr>
          <w:p w14:paraId="38B4361F" w14:textId="77777777" w:rsidR="00676CCE" w:rsidRPr="00627CBA" w:rsidRDefault="00676CCE" w:rsidP="00D57F5A">
            <w:pPr>
              <w:spacing w:before="0" w:after="0"/>
              <w:rPr>
                <w:rFonts w:ascii="Arial" w:eastAsia="Times New Roman" w:hAnsi="Arial" w:cs="Arial"/>
                <w:color w:val="000000"/>
                <w:sz w:val="20"/>
                <w:szCs w:val="20"/>
                <w:lang w:eastAsia="cs-CZ"/>
              </w:rPr>
            </w:pPr>
            <w:r w:rsidRPr="00627CBA">
              <w:rPr>
                <w:rFonts w:ascii="Arial" w:eastAsia="Times New Roman" w:hAnsi="Arial" w:cs="Arial"/>
                <w:color w:val="000000"/>
                <w:sz w:val="20"/>
                <w:szCs w:val="20"/>
                <w:lang w:eastAsia="cs-CZ"/>
              </w:rPr>
              <w:t xml:space="preserve">Hnutí Duha </w:t>
            </w:r>
          </w:p>
        </w:tc>
        <w:tc>
          <w:tcPr>
            <w:tcW w:w="1230" w:type="pct"/>
            <w:shd w:val="clear" w:color="auto" w:fill="auto"/>
          </w:tcPr>
          <w:p w14:paraId="6606B014" w14:textId="77777777" w:rsidR="00676CCE" w:rsidRPr="00627CBA" w:rsidRDefault="00676CCE" w:rsidP="00D57F5A">
            <w:pPr>
              <w:autoSpaceDE w:val="0"/>
              <w:autoSpaceDN w:val="0"/>
              <w:adjustRightInd w:val="0"/>
              <w:spacing w:before="0" w:after="0"/>
              <w:jc w:val="left"/>
              <w:rPr>
                <w:rFonts w:ascii="Arial" w:hAnsi="Arial" w:cs="Arial"/>
                <w:color w:val="000000"/>
                <w:sz w:val="20"/>
                <w:szCs w:val="20"/>
              </w:rPr>
            </w:pPr>
            <w:r w:rsidRPr="00627CBA">
              <w:rPr>
                <w:rFonts w:ascii="Arial" w:hAnsi="Arial" w:cs="Arial"/>
                <w:color w:val="000000"/>
                <w:sz w:val="20"/>
                <w:szCs w:val="20"/>
              </w:rPr>
              <w:t xml:space="preserve"> Velmi vítám obnovu podpory poradenství a zvýšený akcent na jeho environmentální složky. Obrovský potenciál spatřuji zejména v zavedení faremního plánování jako komplexního nástroje pro optimalizaci environmentálních opatření na farmách. </w:t>
            </w:r>
          </w:p>
          <w:p w14:paraId="299DE2E2" w14:textId="77777777" w:rsidR="00676CCE" w:rsidRPr="00627CBA" w:rsidRDefault="00676CCE" w:rsidP="00D57F5A">
            <w:pPr>
              <w:spacing w:before="0" w:after="0"/>
              <w:rPr>
                <w:rFonts w:ascii="Arial" w:hAnsi="Arial" w:cs="Arial"/>
                <w:color w:val="000000"/>
                <w:sz w:val="20"/>
                <w:szCs w:val="20"/>
              </w:rPr>
            </w:pPr>
            <w:r w:rsidRPr="00627CBA">
              <w:rPr>
                <w:rFonts w:ascii="Arial" w:hAnsi="Arial" w:cs="Arial"/>
                <w:color w:val="000000"/>
                <w:sz w:val="20"/>
                <w:szCs w:val="20"/>
              </w:rPr>
              <w:t xml:space="preserve">Nicméně, i z vlastní praxe vím, že po environmentálních poradenských službách není ze strany zemědělců poptávka příliš vysoká. Zajímá </w:t>
            </w:r>
            <w:r w:rsidRPr="00627CBA">
              <w:rPr>
                <w:rFonts w:ascii="Arial" w:hAnsi="Arial" w:cs="Arial"/>
                <w:color w:val="000000"/>
                <w:sz w:val="20"/>
                <w:szCs w:val="20"/>
              </w:rPr>
              <w:lastRenderedPageBreak/>
              <w:t xml:space="preserve">mne, zdali byla v rámci přípravy opatření poradenství tato poptávka zjišťována </w:t>
            </w:r>
            <w:proofErr w:type="gramStart"/>
            <w:r w:rsidRPr="00627CBA">
              <w:rPr>
                <w:rFonts w:ascii="Arial" w:hAnsi="Arial" w:cs="Arial"/>
                <w:color w:val="000000"/>
                <w:sz w:val="20"/>
                <w:szCs w:val="20"/>
              </w:rPr>
              <w:t>resp. zda</w:t>
            </w:r>
            <w:proofErr w:type="gramEnd"/>
            <w:r w:rsidRPr="00627CBA">
              <w:rPr>
                <w:rFonts w:ascii="Arial" w:hAnsi="Arial" w:cs="Arial"/>
                <w:color w:val="000000"/>
                <w:sz w:val="20"/>
                <w:szCs w:val="20"/>
              </w:rPr>
              <w:t xml:space="preserve"> byla odhadována absorpční kapacita např. pro faremní plány, a zda podpora poradenství počítá s mechanismy, jak méně poptávaná environmentální témata posílit – tak aby byla více uváděna do praxe.</w:t>
            </w:r>
          </w:p>
        </w:tc>
        <w:tc>
          <w:tcPr>
            <w:tcW w:w="2671" w:type="pct"/>
            <w:shd w:val="clear" w:color="auto" w:fill="auto"/>
          </w:tcPr>
          <w:p w14:paraId="54476FEB" w14:textId="0CC07BD7" w:rsidR="00627CBA" w:rsidRPr="00627CBA" w:rsidRDefault="00627CBA" w:rsidP="007E3D82">
            <w:pPr>
              <w:autoSpaceDE w:val="0"/>
              <w:autoSpaceDN w:val="0"/>
              <w:adjustRightInd w:val="0"/>
              <w:spacing w:before="0" w:after="0"/>
              <w:jc w:val="left"/>
              <w:rPr>
                <w:rFonts w:ascii="Arial" w:hAnsi="Arial" w:cs="Arial"/>
                <w:b/>
                <w:sz w:val="20"/>
                <w:szCs w:val="20"/>
              </w:rPr>
            </w:pPr>
            <w:r w:rsidRPr="00627CBA">
              <w:rPr>
                <w:rFonts w:ascii="Arial" w:hAnsi="Arial" w:cs="Arial"/>
                <w:b/>
                <w:sz w:val="20"/>
                <w:szCs w:val="20"/>
              </w:rPr>
              <w:lastRenderedPageBreak/>
              <w:t>Vysvětleno</w:t>
            </w:r>
          </w:p>
          <w:p w14:paraId="5F2C06E1" w14:textId="3DA2833D" w:rsidR="00676CCE" w:rsidRPr="00627CBA" w:rsidRDefault="007E3D82" w:rsidP="007E3D82">
            <w:pPr>
              <w:autoSpaceDE w:val="0"/>
              <w:autoSpaceDN w:val="0"/>
              <w:adjustRightInd w:val="0"/>
              <w:spacing w:before="0" w:after="0"/>
              <w:jc w:val="left"/>
              <w:rPr>
                <w:rFonts w:ascii="Arial" w:hAnsi="Arial" w:cs="Arial"/>
                <w:color w:val="000000"/>
                <w:sz w:val="20"/>
                <w:szCs w:val="20"/>
              </w:rPr>
            </w:pPr>
            <w:r w:rsidRPr="00627CBA">
              <w:rPr>
                <w:rFonts w:ascii="Arial" w:hAnsi="Arial" w:cs="Arial"/>
                <w:sz w:val="20"/>
                <w:szCs w:val="20"/>
              </w:rPr>
              <w:t>A</w:t>
            </w:r>
            <w:r w:rsidR="00676CCE" w:rsidRPr="00627CBA">
              <w:rPr>
                <w:rFonts w:ascii="Arial" w:hAnsi="Arial" w:cs="Arial"/>
                <w:sz w:val="20"/>
                <w:szCs w:val="20"/>
              </w:rPr>
              <w:t xml:space="preserve">bsorpční kapacita </w:t>
            </w:r>
            <w:r w:rsidRPr="00627CBA">
              <w:rPr>
                <w:rFonts w:ascii="Arial" w:hAnsi="Arial" w:cs="Arial"/>
                <w:sz w:val="20"/>
                <w:szCs w:val="20"/>
              </w:rPr>
              <w:t xml:space="preserve">faremních plánů </w:t>
            </w:r>
            <w:r w:rsidR="00676CCE" w:rsidRPr="00627CBA">
              <w:rPr>
                <w:rFonts w:ascii="Arial" w:hAnsi="Arial" w:cs="Arial"/>
                <w:sz w:val="20"/>
                <w:szCs w:val="20"/>
              </w:rPr>
              <w:t>se v průběhu přípravy zjišťuje</w:t>
            </w:r>
            <w:r w:rsidRPr="00627CBA">
              <w:rPr>
                <w:rFonts w:ascii="Arial" w:hAnsi="Arial" w:cs="Arial"/>
                <w:sz w:val="20"/>
                <w:szCs w:val="20"/>
              </w:rPr>
              <w:t>. Z</w:t>
            </w:r>
            <w:r w:rsidR="00676CCE" w:rsidRPr="00627CBA">
              <w:rPr>
                <w:rFonts w:ascii="Arial" w:hAnsi="Arial" w:cs="Arial"/>
                <w:sz w:val="20"/>
                <w:szCs w:val="20"/>
              </w:rPr>
              <w:t xml:space="preserve">aměření pouze na chráněné oblasti je pilotně nastaveno v rámci </w:t>
            </w:r>
            <w:proofErr w:type="spellStart"/>
            <w:r w:rsidR="00676CCE" w:rsidRPr="00627CBA">
              <w:rPr>
                <w:rFonts w:ascii="Arial" w:hAnsi="Arial" w:cs="Arial"/>
                <w:sz w:val="20"/>
                <w:szCs w:val="20"/>
              </w:rPr>
              <w:t>agroenvi</w:t>
            </w:r>
            <w:proofErr w:type="spellEnd"/>
            <w:r w:rsidR="00676CCE" w:rsidRPr="00627CBA">
              <w:rPr>
                <w:rFonts w:ascii="Arial" w:hAnsi="Arial" w:cs="Arial"/>
                <w:sz w:val="20"/>
                <w:szCs w:val="20"/>
              </w:rPr>
              <w:t xml:space="preserve">, v případě, že se osvědčí, bude se rozšiřovat do dalších oblastí. Faremní plány </w:t>
            </w:r>
            <w:r w:rsidRPr="00627CBA">
              <w:rPr>
                <w:rFonts w:ascii="Arial" w:hAnsi="Arial" w:cs="Arial"/>
                <w:sz w:val="20"/>
                <w:szCs w:val="20"/>
              </w:rPr>
              <w:t xml:space="preserve">jsou </w:t>
            </w:r>
            <w:r w:rsidR="00676CCE" w:rsidRPr="00627CBA">
              <w:rPr>
                <w:rFonts w:ascii="Arial" w:hAnsi="Arial" w:cs="Arial"/>
                <w:sz w:val="20"/>
                <w:szCs w:val="20"/>
              </w:rPr>
              <w:t xml:space="preserve">primárně myšleny na </w:t>
            </w:r>
            <w:proofErr w:type="spellStart"/>
            <w:r w:rsidR="00676CCE" w:rsidRPr="00627CBA">
              <w:rPr>
                <w:rFonts w:ascii="Arial" w:hAnsi="Arial" w:cs="Arial"/>
                <w:sz w:val="20"/>
                <w:szCs w:val="20"/>
              </w:rPr>
              <w:t>agroenvironmentálně</w:t>
            </w:r>
            <w:proofErr w:type="spellEnd"/>
            <w:r w:rsidR="00676CCE" w:rsidRPr="00627CBA">
              <w:rPr>
                <w:rFonts w:ascii="Arial" w:hAnsi="Arial" w:cs="Arial"/>
                <w:sz w:val="20"/>
                <w:szCs w:val="20"/>
              </w:rPr>
              <w:t>-</w:t>
            </w:r>
            <w:r w:rsidRPr="00627CBA">
              <w:rPr>
                <w:rFonts w:ascii="Arial" w:hAnsi="Arial" w:cs="Arial"/>
                <w:sz w:val="20"/>
                <w:szCs w:val="20"/>
              </w:rPr>
              <w:t xml:space="preserve">klimatická </w:t>
            </w:r>
            <w:r w:rsidR="00676CCE" w:rsidRPr="00627CBA">
              <w:rPr>
                <w:rFonts w:ascii="Arial" w:hAnsi="Arial" w:cs="Arial"/>
                <w:sz w:val="20"/>
                <w:szCs w:val="20"/>
              </w:rPr>
              <w:t>opatření</w:t>
            </w:r>
            <w:r w:rsidRPr="00627CBA">
              <w:rPr>
                <w:rFonts w:ascii="Arial" w:hAnsi="Arial" w:cs="Arial"/>
                <w:sz w:val="20"/>
                <w:szCs w:val="20"/>
              </w:rPr>
              <w:t>.</w:t>
            </w:r>
          </w:p>
        </w:tc>
      </w:tr>
      <w:tr w:rsidR="00676CCE" w:rsidRPr="001E16FC" w14:paraId="3D257A65" w14:textId="77777777" w:rsidTr="00676CCE">
        <w:trPr>
          <w:trHeight w:val="1905"/>
        </w:trPr>
        <w:tc>
          <w:tcPr>
            <w:tcW w:w="200" w:type="pct"/>
          </w:tcPr>
          <w:p w14:paraId="18E2DED2"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9</w:t>
            </w:r>
          </w:p>
        </w:tc>
        <w:tc>
          <w:tcPr>
            <w:tcW w:w="899" w:type="pct"/>
          </w:tcPr>
          <w:p w14:paraId="528AD104"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Obecný požadavek</w:t>
            </w:r>
          </w:p>
        </w:tc>
        <w:tc>
          <w:tcPr>
            <w:tcW w:w="1230" w:type="pct"/>
            <w:shd w:val="clear" w:color="auto" w:fill="auto"/>
          </w:tcPr>
          <w:p w14:paraId="32815F2B" w14:textId="77777777" w:rsidR="00676CCE" w:rsidRPr="001E16FC" w:rsidRDefault="00676CCE" w:rsidP="00D57F5A">
            <w:pPr>
              <w:autoSpaceDE w:val="0"/>
              <w:autoSpaceDN w:val="0"/>
              <w:adjustRightInd w:val="0"/>
              <w:spacing w:before="0" w:after="0"/>
              <w:jc w:val="left"/>
              <w:rPr>
                <w:rFonts w:ascii="Arial" w:hAnsi="Arial" w:cs="Arial"/>
                <w:color w:val="000000"/>
                <w:sz w:val="20"/>
                <w:szCs w:val="20"/>
              </w:rPr>
            </w:pPr>
            <w:r w:rsidRPr="001E16FC">
              <w:rPr>
                <w:rFonts w:ascii="Arial" w:hAnsi="Arial" w:cs="Arial"/>
                <w:color w:val="000000"/>
                <w:sz w:val="20"/>
                <w:szCs w:val="20"/>
              </w:rPr>
              <w:t>Zvážit zálohové platby u všech intervencí AKIS</w:t>
            </w:r>
          </w:p>
        </w:tc>
        <w:tc>
          <w:tcPr>
            <w:tcW w:w="2671" w:type="pct"/>
            <w:shd w:val="clear" w:color="auto" w:fill="auto"/>
          </w:tcPr>
          <w:p w14:paraId="3E6C6B57" w14:textId="1AB61D0E" w:rsidR="00627CBA" w:rsidRPr="00627CBA" w:rsidRDefault="00627CBA" w:rsidP="00D57F5A">
            <w:pPr>
              <w:autoSpaceDE w:val="0"/>
              <w:autoSpaceDN w:val="0"/>
              <w:adjustRightInd w:val="0"/>
              <w:spacing w:before="0" w:after="0"/>
              <w:jc w:val="left"/>
              <w:rPr>
                <w:rFonts w:ascii="Arial" w:hAnsi="Arial" w:cs="Arial"/>
                <w:b/>
                <w:color w:val="000000"/>
                <w:sz w:val="20"/>
                <w:szCs w:val="20"/>
              </w:rPr>
            </w:pPr>
            <w:r w:rsidRPr="00627CBA">
              <w:rPr>
                <w:rFonts w:ascii="Arial" w:hAnsi="Arial" w:cs="Arial"/>
                <w:b/>
                <w:color w:val="000000"/>
                <w:sz w:val="20"/>
                <w:szCs w:val="20"/>
              </w:rPr>
              <w:t>Vysvětleno</w:t>
            </w:r>
          </w:p>
          <w:p w14:paraId="16470207" w14:textId="7D6247E1" w:rsidR="00676CCE" w:rsidRPr="001E16FC" w:rsidRDefault="00676CCE" w:rsidP="00D57F5A">
            <w:pPr>
              <w:autoSpaceDE w:val="0"/>
              <w:autoSpaceDN w:val="0"/>
              <w:adjustRightInd w:val="0"/>
              <w:spacing w:before="0" w:after="0"/>
              <w:jc w:val="left"/>
              <w:rPr>
                <w:rFonts w:ascii="Arial" w:hAnsi="Arial" w:cs="Arial"/>
                <w:color w:val="000000"/>
                <w:sz w:val="20"/>
                <w:szCs w:val="20"/>
              </w:rPr>
            </w:pPr>
            <w:r w:rsidRPr="001E16FC">
              <w:rPr>
                <w:rFonts w:ascii="Arial" w:hAnsi="Arial" w:cs="Arial"/>
                <w:color w:val="000000"/>
                <w:sz w:val="20"/>
                <w:szCs w:val="20"/>
              </w:rPr>
              <w:t>Budeme s touto variantou pracovat, nicméně zálohy jsou otázkou prováděcích předpisů</w:t>
            </w:r>
            <w:r>
              <w:rPr>
                <w:rFonts w:ascii="Arial" w:hAnsi="Arial" w:cs="Arial"/>
                <w:color w:val="000000"/>
                <w:sz w:val="20"/>
                <w:szCs w:val="20"/>
              </w:rPr>
              <w:t>.</w:t>
            </w:r>
          </w:p>
        </w:tc>
      </w:tr>
      <w:tr w:rsidR="00676CCE" w:rsidRPr="001E16FC" w14:paraId="5F6C2FB2" w14:textId="77777777" w:rsidTr="00676CCE">
        <w:trPr>
          <w:trHeight w:val="1905"/>
        </w:trPr>
        <w:tc>
          <w:tcPr>
            <w:tcW w:w="200" w:type="pct"/>
          </w:tcPr>
          <w:p w14:paraId="61D542D7"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10</w:t>
            </w:r>
          </w:p>
        </w:tc>
        <w:tc>
          <w:tcPr>
            <w:tcW w:w="899" w:type="pct"/>
          </w:tcPr>
          <w:p w14:paraId="4D721D41"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SUIZ</w:t>
            </w:r>
          </w:p>
        </w:tc>
        <w:tc>
          <w:tcPr>
            <w:tcW w:w="1230" w:type="pct"/>
            <w:shd w:val="clear" w:color="auto" w:fill="auto"/>
          </w:tcPr>
          <w:p w14:paraId="2DD916B7" w14:textId="77777777" w:rsidR="00676CCE" w:rsidRPr="001E16FC" w:rsidRDefault="00676CCE" w:rsidP="00D57F5A">
            <w:pPr>
              <w:autoSpaceDE w:val="0"/>
              <w:autoSpaceDN w:val="0"/>
              <w:adjustRightInd w:val="0"/>
              <w:spacing w:before="0" w:after="0"/>
              <w:jc w:val="left"/>
              <w:rPr>
                <w:rFonts w:ascii="Arial" w:hAnsi="Arial" w:cs="Arial"/>
                <w:color w:val="000000"/>
                <w:sz w:val="20"/>
                <w:szCs w:val="20"/>
              </w:rPr>
            </w:pPr>
            <w:r w:rsidRPr="001E16FC">
              <w:rPr>
                <w:rFonts w:ascii="Arial" w:hAnsi="Arial" w:cs="Arial"/>
                <w:bCs/>
                <w:sz w:val="20"/>
                <w:szCs w:val="20"/>
              </w:rPr>
              <w:t xml:space="preserve">Poradenství a výzkum zaměřený na přípravu technologických řešení k očekávaným ukončením povolených účinných látek. </w:t>
            </w:r>
            <w:r w:rsidRPr="001E16FC">
              <w:rPr>
                <w:rFonts w:ascii="Arial" w:hAnsi="Arial" w:cs="Arial"/>
                <w:sz w:val="20"/>
                <w:szCs w:val="20"/>
              </w:rPr>
              <w:t>Problematika rozšíření nových významných chorob a škůdců, na které zemědělci ve svých technologiích nejsou připraveni, a je zde riziko nadužívání úzkého spektra zbylých přípravků a zvyšování spotřeby POR.</w:t>
            </w:r>
          </w:p>
        </w:tc>
        <w:tc>
          <w:tcPr>
            <w:tcW w:w="2671" w:type="pct"/>
            <w:shd w:val="clear" w:color="auto" w:fill="auto"/>
          </w:tcPr>
          <w:p w14:paraId="5FA0C394" w14:textId="77777777" w:rsidR="00676CCE" w:rsidRPr="00627CBA" w:rsidRDefault="00676CCE" w:rsidP="00D57F5A">
            <w:pPr>
              <w:spacing w:before="0" w:after="0"/>
              <w:rPr>
                <w:rFonts w:ascii="Arial" w:eastAsia="Times New Roman" w:hAnsi="Arial" w:cs="Arial"/>
                <w:b/>
                <w:color w:val="000000"/>
                <w:sz w:val="20"/>
                <w:szCs w:val="20"/>
                <w:lang w:eastAsia="cs-CZ"/>
              </w:rPr>
            </w:pPr>
            <w:r w:rsidRPr="00627CBA">
              <w:rPr>
                <w:rFonts w:ascii="Arial" w:eastAsia="Times New Roman" w:hAnsi="Arial" w:cs="Arial"/>
                <w:b/>
                <w:color w:val="000000"/>
                <w:sz w:val="20"/>
                <w:szCs w:val="20"/>
                <w:lang w:eastAsia="cs-CZ"/>
              </w:rPr>
              <w:t>Vysvětleno</w:t>
            </w:r>
          </w:p>
          <w:p w14:paraId="357BFB4E" w14:textId="77777777" w:rsidR="00676CCE" w:rsidRPr="005A6268" w:rsidRDefault="00676CCE" w:rsidP="00D57F5A">
            <w:pPr>
              <w:spacing w:before="0" w:after="0"/>
              <w:rPr>
                <w:rFonts w:ascii="Arial" w:hAnsi="Arial" w:cs="Arial"/>
                <w:i/>
                <w:color w:val="1F497D"/>
                <w:sz w:val="20"/>
                <w:szCs w:val="20"/>
              </w:rPr>
            </w:pPr>
            <w:r w:rsidRPr="00676CCE">
              <w:rPr>
                <w:rStyle w:val="Zdraznn"/>
                <w:rFonts w:ascii="Arial" w:hAnsi="Arial" w:cs="Arial"/>
                <w:i w:val="0"/>
                <w:color w:val="000000"/>
                <w:sz w:val="20"/>
                <w:szCs w:val="20"/>
              </w:rPr>
              <w:t>Poskytované poradenství úzce navázáno na transfer poznatků vědy a výzkumu do praxe. Podpora odolných faremních systémů bude zacílena na šíření těchto znalostí.</w:t>
            </w:r>
          </w:p>
          <w:p w14:paraId="7064A072" w14:textId="77777777" w:rsidR="00676CCE" w:rsidRPr="001E16FC" w:rsidRDefault="00676CCE" w:rsidP="00D57F5A">
            <w:pPr>
              <w:autoSpaceDE w:val="0"/>
              <w:autoSpaceDN w:val="0"/>
              <w:adjustRightInd w:val="0"/>
              <w:spacing w:before="0" w:after="0"/>
              <w:jc w:val="left"/>
              <w:rPr>
                <w:rFonts w:ascii="Arial" w:hAnsi="Arial" w:cs="Arial"/>
                <w:color w:val="000000"/>
                <w:sz w:val="20"/>
                <w:szCs w:val="20"/>
              </w:rPr>
            </w:pPr>
          </w:p>
        </w:tc>
      </w:tr>
      <w:tr w:rsidR="00676CCE" w:rsidRPr="001E16FC" w14:paraId="65E1CB3B" w14:textId="77777777" w:rsidTr="00676CCE">
        <w:trPr>
          <w:trHeight w:val="1905"/>
        </w:trPr>
        <w:tc>
          <w:tcPr>
            <w:tcW w:w="200" w:type="pct"/>
          </w:tcPr>
          <w:p w14:paraId="546EAA49"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11</w:t>
            </w:r>
          </w:p>
        </w:tc>
        <w:tc>
          <w:tcPr>
            <w:tcW w:w="899" w:type="pct"/>
          </w:tcPr>
          <w:p w14:paraId="34879E91"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SUIZ</w:t>
            </w:r>
          </w:p>
        </w:tc>
        <w:tc>
          <w:tcPr>
            <w:tcW w:w="1230" w:type="pct"/>
            <w:shd w:val="clear" w:color="auto" w:fill="auto"/>
          </w:tcPr>
          <w:p w14:paraId="51DAF7AB" w14:textId="77777777" w:rsidR="00676CCE" w:rsidRPr="001E16FC" w:rsidRDefault="00676CCE" w:rsidP="00D57F5A">
            <w:pPr>
              <w:autoSpaceDE w:val="0"/>
              <w:autoSpaceDN w:val="0"/>
              <w:adjustRightInd w:val="0"/>
              <w:spacing w:before="0" w:after="0"/>
              <w:rPr>
                <w:rFonts w:ascii="Arial" w:hAnsi="Arial" w:cs="Arial"/>
                <w:color w:val="000000"/>
                <w:sz w:val="20"/>
                <w:szCs w:val="20"/>
              </w:rPr>
            </w:pPr>
            <w:r w:rsidRPr="001E16FC">
              <w:rPr>
                <w:rFonts w:ascii="Arial" w:hAnsi="Arial" w:cs="Arial"/>
                <w:color w:val="000000"/>
                <w:sz w:val="20"/>
                <w:szCs w:val="20"/>
              </w:rPr>
              <w:t xml:space="preserve">Finanční podpora na poradenství pro precizní zemědělství, vypracování optimalizace tvaru a velikosti pozemku (s tím související dlouhodobé nastavení velikosti půdních bloků). </w:t>
            </w:r>
          </w:p>
          <w:p w14:paraId="585C308A" w14:textId="77777777" w:rsidR="00676CCE" w:rsidRPr="001E16FC" w:rsidRDefault="00676CCE" w:rsidP="00D57F5A">
            <w:pPr>
              <w:autoSpaceDE w:val="0"/>
              <w:autoSpaceDN w:val="0"/>
              <w:adjustRightInd w:val="0"/>
              <w:spacing w:before="0" w:after="0"/>
              <w:rPr>
                <w:rFonts w:ascii="Arial" w:hAnsi="Arial" w:cs="Arial"/>
                <w:sz w:val="20"/>
                <w:szCs w:val="20"/>
              </w:rPr>
            </w:pPr>
          </w:p>
          <w:p w14:paraId="63BEFAAB" w14:textId="77777777" w:rsidR="00676CCE" w:rsidRPr="001E16FC" w:rsidRDefault="00676CCE" w:rsidP="00D57F5A">
            <w:pPr>
              <w:autoSpaceDE w:val="0"/>
              <w:autoSpaceDN w:val="0"/>
              <w:adjustRightInd w:val="0"/>
              <w:spacing w:before="0" w:after="0"/>
              <w:jc w:val="left"/>
              <w:rPr>
                <w:rFonts w:ascii="Arial" w:hAnsi="Arial" w:cs="Arial"/>
                <w:bCs/>
                <w:sz w:val="20"/>
                <w:szCs w:val="20"/>
              </w:rPr>
            </w:pPr>
            <w:r w:rsidRPr="001E16FC">
              <w:rPr>
                <w:rFonts w:ascii="Arial" w:hAnsi="Arial" w:cs="Arial"/>
                <w:bCs/>
                <w:sz w:val="20"/>
                <w:szCs w:val="20"/>
              </w:rPr>
              <w:t xml:space="preserve">Zavedení optimalizace tvaru pozemku, vedle produkčních ploch vzniknou plochy s technickou a environmentální funkcí = neprodukční plochy, které mohou u některých podniků převýšit i požadované % pro </w:t>
            </w:r>
            <w:proofErr w:type="spellStart"/>
            <w:r w:rsidRPr="001E16FC">
              <w:rPr>
                <w:rFonts w:ascii="Arial" w:hAnsi="Arial" w:cs="Arial"/>
                <w:bCs/>
                <w:sz w:val="20"/>
                <w:szCs w:val="20"/>
              </w:rPr>
              <w:t>ekoplatby</w:t>
            </w:r>
            <w:proofErr w:type="spellEnd"/>
            <w:r w:rsidRPr="001E16FC">
              <w:rPr>
                <w:rFonts w:ascii="Arial" w:hAnsi="Arial" w:cs="Arial"/>
                <w:bCs/>
                <w:sz w:val="20"/>
                <w:szCs w:val="20"/>
              </w:rPr>
              <w:t xml:space="preserve">. </w:t>
            </w:r>
            <w:r w:rsidRPr="001E16FC">
              <w:rPr>
                <w:rFonts w:ascii="Arial" w:hAnsi="Arial" w:cs="Arial"/>
                <w:bCs/>
                <w:sz w:val="20"/>
                <w:szCs w:val="20"/>
              </w:rPr>
              <w:lastRenderedPageBreak/>
              <w:t>Návrh: zvýšení dotační sazby za každé procento neprodukční plochy na víc.</w:t>
            </w:r>
          </w:p>
        </w:tc>
        <w:tc>
          <w:tcPr>
            <w:tcW w:w="2671" w:type="pct"/>
            <w:shd w:val="clear" w:color="auto" w:fill="auto"/>
          </w:tcPr>
          <w:p w14:paraId="7F98E2C2" w14:textId="77777777" w:rsidR="00676CCE" w:rsidRPr="00627CBA" w:rsidRDefault="00676CCE" w:rsidP="00D57F5A">
            <w:pPr>
              <w:spacing w:before="0" w:after="0"/>
              <w:rPr>
                <w:rFonts w:ascii="Arial" w:eastAsia="Times New Roman" w:hAnsi="Arial" w:cs="Arial"/>
                <w:b/>
                <w:color w:val="000000"/>
                <w:sz w:val="20"/>
                <w:szCs w:val="20"/>
                <w:lang w:eastAsia="cs-CZ"/>
              </w:rPr>
            </w:pPr>
            <w:r w:rsidRPr="00627CBA">
              <w:rPr>
                <w:rFonts w:ascii="Arial" w:eastAsia="Times New Roman" w:hAnsi="Arial" w:cs="Arial"/>
                <w:b/>
                <w:color w:val="000000"/>
                <w:sz w:val="20"/>
                <w:szCs w:val="20"/>
                <w:lang w:eastAsia="cs-CZ"/>
              </w:rPr>
              <w:lastRenderedPageBreak/>
              <w:t>Vysvětleno</w:t>
            </w:r>
          </w:p>
          <w:p w14:paraId="27403945"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Konkrétní zaměření podpory poradenského systému bude součástí jednání k nastavení pravidel intervence.</w:t>
            </w:r>
          </w:p>
        </w:tc>
      </w:tr>
      <w:tr w:rsidR="00676CCE" w:rsidRPr="001E16FC" w14:paraId="3F908B4E" w14:textId="77777777" w:rsidTr="00676CCE">
        <w:trPr>
          <w:trHeight w:val="1905"/>
        </w:trPr>
        <w:tc>
          <w:tcPr>
            <w:tcW w:w="200" w:type="pct"/>
          </w:tcPr>
          <w:p w14:paraId="223E74FF"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12</w:t>
            </w:r>
          </w:p>
        </w:tc>
        <w:tc>
          <w:tcPr>
            <w:tcW w:w="899" w:type="pct"/>
          </w:tcPr>
          <w:p w14:paraId="511B16F4"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 xml:space="preserve">Hnutí Duha </w:t>
            </w:r>
          </w:p>
        </w:tc>
        <w:tc>
          <w:tcPr>
            <w:tcW w:w="1230" w:type="pct"/>
            <w:shd w:val="clear" w:color="auto" w:fill="auto"/>
          </w:tcPr>
          <w:p w14:paraId="174C70F3" w14:textId="3E276343" w:rsidR="00676CCE" w:rsidRPr="001E16FC" w:rsidRDefault="00676CCE" w:rsidP="00D57F5A">
            <w:pPr>
              <w:spacing w:before="0" w:after="0"/>
              <w:rPr>
                <w:rFonts w:ascii="Arial" w:hAnsi="Arial" w:cs="Arial"/>
                <w:color w:val="000000"/>
                <w:sz w:val="20"/>
                <w:szCs w:val="20"/>
              </w:rPr>
            </w:pPr>
            <w:r w:rsidRPr="001E16FC">
              <w:rPr>
                <w:rFonts w:ascii="Arial" w:hAnsi="Arial" w:cs="Arial"/>
                <w:color w:val="000000"/>
                <w:sz w:val="20"/>
                <w:szCs w:val="20"/>
              </w:rPr>
              <w:t>Bude možné v rámci intervence financovat také výměnu zkušeností se zahraničím (např. zv</w:t>
            </w:r>
            <w:r>
              <w:rPr>
                <w:rFonts w:ascii="Arial" w:hAnsi="Arial" w:cs="Arial"/>
                <w:color w:val="000000"/>
                <w:sz w:val="20"/>
                <w:szCs w:val="20"/>
              </w:rPr>
              <w:t>a</w:t>
            </w:r>
            <w:r w:rsidRPr="001E16FC">
              <w:rPr>
                <w:rFonts w:ascii="Arial" w:hAnsi="Arial" w:cs="Arial"/>
                <w:color w:val="000000"/>
                <w:sz w:val="20"/>
                <w:szCs w:val="20"/>
              </w:rPr>
              <w:t>ní odborných poradců z blízkých zemí, kde je praxe či poradenství dál než u nás - např. pro oblast EZ)? To považujeme za velmi důležitou součást, která může napomoci rozvoji poradenství i praxe u nás. Nabízí se jak účast ve výcviku poradců, tak účast na workshopech pro zemědělce, tak ale i třeba zapojení do e-</w:t>
            </w:r>
            <w:proofErr w:type="spellStart"/>
            <w:r w:rsidRPr="001E16FC">
              <w:rPr>
                <w:rFonts w:ascii="Arial" w:hAnsi="Arial" w:cs="Arial"/>
                <w:color w:val="000000"/>
                <w:sz w:val="20"/>
                <w:szCs w:val="20"/>
              </w:rPr>
              <w:t>learningových</w:t>
            </w:r>
            <w:proofErr w:type="spellEnd"/>
            <w:r w:rsidRPr="001E16FC">
              <w:rPr>
                <w:rFonts w:ascii="Arial" w:hAnsi="Arial" w:cs="Arial"/>
                <w:color w:val="000000"/>
                <w:sz w:val="20"/>
                <w:szCs w:val="20"/>
              </w:rPr>
              <w:t xml:space="preserve"> modulů.</w:t>
            </w:r>
            <w:r w:rsidRPr="001E16FC">
              <w:rPr>
                <w:rFonts w:ascii="Arial" w:hAnsi="Arial" w:cs="Arial"/>
                <w:color w:val="000000"/>
                <w:sz w:val="20"/>
                <w:szCs w:val="20"/>
              </w:rPr>
              <w:br/>
              <w:t>Aktivita 4 má poměrně vysoký rozpočet - uvažuje se už o nějakém konkrétním projektu?</w:t>
            </w:r>
            <w:r w:rsidRPr="001E16FC">
              <w:rPr>
                <w:rFonts w:ascii="Arial" w:hAnsi="Arial" w:cs="Arial"/>
                <w:color w:val="000000"/>
                <w:sz w:val="20"/>
                <w:szCs w:val="20"/>
              </w:rPr>
              <w:br/>
              <w:t xml:space="preserve">Kvitujeme záměr celkového většího zaměření na ochranu životního prostředí a možnost dotovaného poradenství na přechod k ekologickému zemědělství - jak ale komentujeme u </w:t>
            </w:r>
            <w:proofErr w:type="gramStart"/>
            <w:r w:rsidRPr="001E16FC">
              <w:rPr>
                <w:rFonts w:ascii="Arial" w:hAnsi="Arial" w:cs="Arial"/>
                <w:color w:val="000000"/>
                <w:sz w:val="20"/>
                <w:szCs w:val="20"/>
              </w:rPr>
              <w:t>5.3.21</w:t>
            </w:r>
            <w:proofErr w:type="gramEnd"/>
            <w:r w:rsidRPr="001E16FC">
              <w:rPr>
                <w:rFonts w:ascii="Arial" w:hAnsi="Arial" w:cs="Arial"/>
                <w:color w:val="000000"/>
                <w:sz w:val="20"/>
                <w:szCs w:val="20"/>
              </w:rPr>
              <w:t xml:space="preserve">, podobně je potřeba i vytvořit dotační program na samotný (postupný) přechod do EZ, pokud do EZ mají vstupovat i větší podniky. Kvitujeme také možnost vzniku faremních plánů, které jsou zásadní pro komplexní ochranu životního prostředí v zemědělské krajině - bude však potřeba tuto možnost rozšířit i mimo chráněné oblasti. Např. obnova krajinné struktury a 10 % </w:t>
            </w:r>
            <w:r w:rsidRPr="001E16FC">
              <w:rPr>
                <w:rFonts w:ascii="Arial" w:hAnsi="Arial" w:cs="Arial"/>
                <w:color w:val="000000"/>
                <w:sz w:val="20"/>
                <w:szCs w:val="20"/>
              </w:rPr>
              <w:lastRenderedPageBreak/>
              <w:t xml:space="preserve">přírodních prvků by měly probíhat ideálně také v rámci promyšleného plánu tak, aby byla co </w:t>
            </w:r>
            <w:proofErr w:type="spellStart"/>
            <w:r w:rsidRPr="001E16FC">
              <w:rPr>
                <w:rFonts w:ascii="Arial" w:hAnsi="Arial" w:cs="Arial"/>
                <w:color w:val="000000"/>
                <w:sz w:val="20"/>
                <w:szCs w:val="20"/>
              </w:rPr>
              <w:t>nejlpe</w:t>
            </w:r>
            <w:proofErr w:type="spellEnd"/>
            <w:r w:rsidRPr="001E16FC">
              <w:rPr>
                <w:rFonts w:ascii="Arial" w:hAnsi="Arial" w:cs="Arial"/>
                <w:color w:val="000000"/>
                <w:sz w:val="20"/>
                <w:szCs w:val="20"/>
              </w:rPr>
              <w:t xml:space="preserve"> zajištěna ekologická </w:t>
            </w:r>
            <w:proofErr w:type="spellStart"/>
            <w:r w:rsidRPr="001E16FC">
              <w:rPr>
                <w:rFonts w:ascii="Arial" w:hAnsi="Arial" w:cs="Arial"/>
                <w:color w:val="000000"/>
                <w:sz w:val="20"/>
                <w:szCs w:val="20"/>
              </w:rPr>
              <w:t>stabiltia</w:t>
            </w:r>
            <w:proofErr w:type="spellEnd"/>
            <w:r w:rsidRPr="001E16FC">
              <w:rPr>
                <w:rFonts w:ascii="Arial" w:hAnsi="Arial" w:cs="Arial"/>
                <w:color w:val="000000"/>
                <w:sz w:val="20"/>
                <w:szCs w:val="20"/>
              </w:rPr>
              <w:t xml:space="preserve"> krajiny.</w:t>
            </w:r>
            <w:r w:rsidRPr="001E16FC">
              <w:rPr>
                <w:rFonts w:ascii="Arial" w:hAnsi="Arial" w:cs="Arial"/>
                <w:color w:val="000000"/>
                <w:sz w:val="20"/>
                <w:szCs w:val="20"/>
              </w:rPr>
              <w:br/>
              <w:t>Obecně je potřeba se zaváděním systému (např. skrze národní podpory) začít již před spuštěním nové SZP tak, aby se potenciál poradenství využil ve zkráceném období SZP co nejvíce.</w:t>
            </w:r>
          </w:p>
          <w:p w14:paraId="6A95D9BD" w14:textId="77777777" w:rsidR="00676CCE" w:rsidRPr="001E16FC" w:rsidRDefault="00676CCE" w:rsidP="00D57F5A">
            <w:pPr>
              <w:autoSpaceDE w:val="0"/>
              <w:autoSpaceDN w:val="0"/>
              <w:adjustRightInd w:val="0"/>
              <w:spacing w:before="0" w:after="0"/>
              <w:rPr>
                <w:rFonts w:ascii="Arial" w:hAnsi="Arial" w:cs="Arial"/>
                <w:color w:val="000000"/>
                <w:sz w:val="20"/>
                <w:szCs w:val="20"/>
              </w:rPr>
            </w:pPr>
          </w:p>
        </w:tc>
        <w:tc>
          <w:tcPr>
            <w:tcW w:w="2671" w:type="pct"/>
            <w:shd w:val="clear" w:color="auto" w:fill="auto"/>
          </w:tcPr>
          <w:p w14:paraId="776108EC" w14:textId="7274D2E0" w:rsidR="00627CBA" w:rsidRPr="00627CBA" w:rsidRDefault="00627CBA" w:rsidP="00D57F5A">
            <w:pPr>
              <w:spacing w:before="0" w:after="0"/>
              <w:rPr>
                <w:rFonts w:ascii="Arial" w:eastAsia="Times New Roman" w:hAnsi="Arial" w:cs="Arial"/>
                <w:b/>
                <w:color w:val="000000"/>
                <w:sz w:val="20"/>
                <w:szCs w:val="20"/>
                <w:lang w:eastAsia="cs-CZ"/>
              </w:rPr>
            </w:pPr>
            <w:r w:rsidRPr="00627CBA">
              <w:rPr>
                <w:rFonts w:ascii="Arial" w:eastAsia="Times New Roman" w:hAnsi="Arial" w:cs="Arial"/>
                <w:b/>
                <w:color w:val="000000"/>
                <w:sz w:val="20"/>
                <w:szCs w:val="20"/>
                <w:lang w:eastAsia="cs-CZ"/>
              </w:rPr>
              <w:lastRenderedPageBreak/>
              <w:t>Vysvětleno</w:t>
            </w:r>
          </w:p>
          <w:p w14:paraId="259E28D0" w14:textId="07C3A36C"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Bude součástí jednání k nastavení pravidel intervence.                                                                                                 Podporujeme výraznější podporu poradenství v EZ. Kvalitní a široce dostupné poradenství je jedním z důležitých nástrojů pro dosažení cílů stanovených strategie F2F a strategie Biodiverzita.</w:t>
            </w:r>
          </w:p>
        </w:tc>
      </w:tr>
      <w:tr w:rsidR="00676CCE" w:rsidRPr="001E16FC" w14:paraId="33754BA5" w14:textId="77777777" w:rsidTr="00676CCE">
        <w:trPr>
          <w:trHeight w:val="1905"/>
        </w:trPr>
        <w:tc>
          <w:tcPr>
            <w:tcW w:w="200" w:type="pct"/>
          </w:tcPr>
          <w:p w14:paraId="273CFDB6"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13</w:t>
            </w:r>
          </w:p>
        </w:tc>
        <w:tc>
          <w:tcPr>
            <w:tcW w:w="899" w:type="pct"/>
          </w:tcPr>
          <w:p w14:paraId="69DE08CE"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 xml:space="preserve">Hnutí Duha </w:t>
            </w:r>
          </w:p>
        </w:tc>
        <w:tc>
          <w:tcPr>
            <w:tcW w:w="1230" w:type="pct"/>
            <w:shd w:val="clear" w:color="auto" w:fill="auto"/>
          </w:tcPr>
          <w:p w14:paraId="0604B0F0" w14:textId="77777777" w:rsidR="00676CCE" w:rsidRPr="001E16FC" w:rsidRDefault="00676CCE" w:rsidP="00D57F5A">
            <w:pPr>
              <w:spacing w:before="0" w:after="0"/>
              <w:rPr>
                <w:rFonts w:ascii="Arial" w:hAnsi="Arial" w:cs="Arial"/>
                <w:color w:val="000000"/>
                <w:sz w:val="20"/>
                <w:szCs w:val="20"/>
              </w:rPr>
            </w:pPr>
            <w:proofErr w:type="gramStart"/>
            <w:r w:rsidRPr="001E16FC">
              <w:rPr>
                <w:rFonts w:ascii="Arial" w:hAnsi="Arial" w:cs="Arial"/>
                <w:color w:val="000000"/>
                <w:sz w:val="20"/>
                <w:szCs w:val="20"/>
              </w:rPr>
              <w:t>5.3.49</w:t>
            </w:r>
            <w:proofErr w:type="gramEnd"/>
            <w:r w:rsidRPr="001E16FC">
              <w:rPr>
                <w:rFonts w:ascii="Arial" w:hAnsi="Arial" w:cs="Arial"/>
                <w:color w:val="000000"/>
                <w:sz w:val="20"/>
                <w:szCs w:val="20"/>
              </w:rPr>
              <w:t>. Podpora vzdělávání</w:t>
            </w:r>
          </w:p>
          <w:p w14:paraId="7D04A274" w14:textId="77777777" w:rsidR="00676CCE" w:rsidRPr="001E16FC" w:rsidRDefault="00676CCE" w:rsidP="00D57F5A">
            <w:pPr>
              <w:spacing w:before="0" w:after="0"/>
              <w:rPr>
                <w:rFonts w:ascii="Arial" w:hAnsi="Arial" w:cs="Arial"/>
                <w:color w:val="000000"/>
                <w:sz w:val="20"/>
                <w:szCs w:val="20"/>
              </w:rPr>
            </w:pPr>
            <w:r w:rsidRPr="001E16FC">
              <w:rPr>
                <w:rFonts w:ascii="Arial" w:hAnsi="Arial" w:cs="Arial"/>
                <w:color w:val="000000"/>
                <w:sz w:val="20"/>
                <w:szCs w:val="20"/>
              </w:rPr>
              <w:t>I zde by bylo vhodné vyčlenit dostatečnou část rozpočtu na akce věnované ekologickému zemědělství.</w:t>
            </w:r>
          </w:p>
        </w:tc>
        <w:tc>
          <w:tcPr>
            <w:tcW w:w="2671" w:type="pct"/>
            <w:shd w:val="clear" w:color="auto" w:fill="auto"/>
          </w:tcPr>
          <w:p w14:paraId="505E9BC3" w14:textId="65B28182" w:rsidR="00627CBA" w:rsidRPr="00627CBA" w:rsidRDefault="00676CCE" w:rsidP="00627CBA">
            <w:pPr>
              <w:spacing w:before="0" w:after="0"/>
              <w:rPr>
                <w:rFonts w:ascii="Arial" w:eastAsia="Times New Roman" w:hAnsi="Arial" w:cs="Arial"/>
                <w:b/>
                <w:color w:val="000000"/>
                <w:sz w:val="20"/>
                <w:szCs w:val="20"/>
                <w:lang w:eastAsia="cs-CZ"/>
              </w:rPr>
            </w:pPr>
            <w:r w:rsidRPr="00627CBA">
              <w:rPr>
                <w:rFonts w:ascii="Arial" w:eastAsia="Times New Roman" w:hAnsi="Arial" w:cs="Arial"/>
                <w:b/>
                <w:color w:val="000000"/>
                <w:sz w:val="20"/>
                <w:szCs w:val="20"/>
                <w:lang w:eastAsia="cs-CZ"/>
              </w:rPr>
              <w:t>Vysvětl</w:t>
            </w:r>
            <w:r w:rsidR="00627CBA" w:rsidRPr="00627CBA">
              <w:rPr>
                <w:rFonts w:ascii="Arial" w:eastAsia="Times New Roman" w:hAnsi="Arial" w:cs="Arial"/>
                <w:b/>
                <w:color w:val="000000"/>
                <w:sz w:val="20"/>
                <w:szCs w:val="20"/>
                <w:lang w:eastAsia="cs-CZ"/>
              </w:rPr>
              <w:t>e</w:t>
            </w:r>
            <w:r w:rsidRPr="00627CBA">
              <w:rPr>
                <w:rFonts w:ascii="Arial" w:eastAsia="Times New Roman" w:hAnsi="Arial" w:cs="Arial"/>
                <w:b/>
                <w:color w:val="000000"/>
                <w:sz w:val="20"/>
                <w:szCs w:val="20"/>
                <w:lang w:eastAsia="cs-CZ"/>
              </w:rPr>
              <w:t>ní</w:t>
            </w:r>
            <w:r w:rsidR="00627CBA" w:rsidRPr="00627CBA">
              <w:rPr>
                <w:rFonts w:ascii="Arial" w:eastAsia="Times New Roman" w:hAnsi="Arial" w:cs="Arial"/>
                <w:b/>
                <w:color w:val="000000"/>
                <w:sz w:val="20"/>
                <w:szCs w:val="20"/>
                <w:lang w:eastAsia="cs-CZ"/>
              </w:rPr>
              <w:t xml:space="preserve"> </w:t>
            </w:r>
            <w:r w:rsidRPr="00627CBA">
              <w:rPr>
                <w:rFonts w:ascii="Arial" w:eastAsia="Times New Roman" w:hAnsi="Arial" w:cs="Arial"/>
                <w:b/>
                <w:color w:val="000000"/>
                <w:sz w:val="20"/>
                <w:szCs w:val="20"/>
                <w:lang w:eastAsia="cs-CZ"/>
              </w:rPr>
              <w:t>k</w:t>
            </w:r>
            <w:r w:rsidR="00627CBA" w:rsidRPr="00627CBA">
              <w:rPr>
                <w:rFonts w:ascii="Arial" w:eastAsia="Times New Roman" w:hAnsi="Arial" w:cs="Arial"/>
                <w:b/>
                <w:color w:val="000000"/>
                <w:sz w:val="20"/>
                <w:szCs w:val="20"/>
                <w:lang w:eastAsia="cs-CZ"/>
              </w:rPr>
              <w:t> </w:t>
            </w:r>
            <w:r w:rsidRPr="00627CBA">
              <w:rPr>
                <w:rFonts w:ascii="Arial" w:eastAsia="Times New Roman" w:hAnsi="Arial" w:cs="Arial"/>
                <w:b/>
                <w:color w:val="000000"/>
                <w:sz w:val="20"/>
                <w:szCs w:val="20"/>
                <w:lang w:eastAsia="cs-CZ"/>
              </w:rPr>
              <w:t>návrhu</w:t>
            </w:r>
          </w:p>
          <w:p w14:paraId="293D65C0" w14:textId="54C623F7" w:rsidR="00676CCE" w:rsidRPr="001E16FC" w:rsidRDefault="00676CCE" w:rsidP="00627CB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 xml:space="preserve">                                                                            Vzhledem k tomu, že v budoucím programovém období nemáme povinnost dělit rozpočet operace na jednotlivé priority rozvoje venkova, nebudeme k vyčlenění rozpočtů na jednotlivé vzdělávací okruhy s největší pravděpodobností přistupovat, navrhujeme spíše řešit zvýhodnění ekologického zemědělství prostřednictvím preferenčních kritérií. Tento způsob je navíc více flexibilní.</w:t>
            </w:r>
          </w:p>
        </w:tc>
      </w:tr>
      <w:tr w:rsidR="00676CCE" w:rsidRPr="001E16FC" w14:paraId="4F1F24EB" w14:textId="77777777" w:rsidTr="00676CCE">
        <w:trPr>
          <w:trHeight w:val="1905"/>
        </w:trPr>
        <w:tc>
          <w:tcPr>
            <w:tcW w:w="200" w:type="pct"/>
          </w:tcPr>
          <w:p w14:paraId="35E3CB10"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14</w:t>
            </w:r>
          </w:p>
        </w:tc>
        <w:tc>
          <w:tcPr>
            <w:tcW w:w="899" w:type="pct"/>
          </w:tcPr>
          <w:p w14:paraId="7EF201A5"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 xml:space="preserve">ZS </w:t>
            </w:r>
          </w:p>
        </w:tc>
        <w:tc>
          <w:tcPr>
            <w:tcW w:w="1230" w:type="pct"/>
            <w:shd w:val="clear" w:color="auto" w:fill="auto"/>
          </w:tcPr>
          <w:p w14:paraId="2536192B" w14:textId="77777777" w:rsidR="00676CCE" w:rsidRPr="001E16FC" w:rsidRDefault="00676CCE" w:rsidP="00D57F5A">
            <w:pPr>
              <w:spacing w:before="0" w:after="0"/>
              <w:rPr>
                <w:rFonts w:ascii="Arial" w:hAnsi="Arial" w:cs="Arial"/>
                <w:color w:val="000000"/>
                <w:sz w:val="20"/>
                <w:szCs w:val="20"/>
              </w:rPr>
            </w:pPr>
            <w:r w:rsidRPr="001E16FC">
              <w:rPr>
                <w:rFonts w:ascii="Arial" w:eastAsia="Times New Roman" w:hAnsi="Arial" w:cs="Arial"/>
                <w:color w:val="000000"/>
                <w:sz w:val="20"/>
                <w:szCs w:val="20"/>
                <w:lang w:eastAsia="cs-CZ"/>
              </w:rPr>
              <w:t>V podpoře poradenství zatím existuje spíše chaos než efektivní podpora, která povede k inovacím. Jak se chce dosáhnout posílení za současného tristního stavu, kdo to bude dělat, jak kvalitní bude při dnešní úrovni bez praktických zkušeností? Nebude to jen opět byrokratický kolotoč projektů, hodnotících zpráv a další byrokracie?</w:t>
            </w:r>
          </w:p>
        </w:tc>
        <w:tc>
          <w:tcPr>
            <w:tcW w:w="2671" w:type="pct"/>
            <w:shd w:val="clear" w:color="auto" w:fill="auto"/>
          </w:tcPr>
          <w:p w14:paraId="75A1AB28" w14:textId="4FC95CFF" w:rsidR="00627CBA" w:rsidRPr="00627CBA" w:rsidRDefault="00627CBA" w:rsidP="00D57F5A">
            <w:pPr>
              <w:spacing w:before="0" w:after="0"/>
              <w:rPr>
                <w:rFonts w:ascii="Arial" w:eastAsia="Times New Roman" w:hAnsi="Arial" w:cs="Arial"/>
                <w:b/>
                <w:color w:val="000000"/>
                <w:sz w:val="20"/>
                <w:szCs w:val="20"/>
                <w:lang w:eastAsia="cs-CZ"/>
              </w:rPr>
            </w:pPr>
            <w:r w:rsidRPr="00627CBA">
              <w:rPr>
                <w:rFonts w:ascii="Arial" w:eastAsia="Times New Roman" w:hAnsi="Arial" w:cs="Arial"/>
                <w:b/>
                <w:color w:val="000000"/>
                <w:sz w:val="20"/>
                <w:szCs w:val="20"/>
                <w:lang w:eastAsia="cs-CZ"/>
              </w:rPr>
              <w:t>Vysvětlení k návrhu</w:t>
            </w:r>
          </w:p>
          <w:p w14:paraId="5768E094" w14:textId="2054F0AC" w:rsidR="00676CCE" w:rsidRPr="001E16FC" w:rsidRDefault="00676CCE" w:rsidP="00D57F5A">
            <w:pPr>
              <w:spacing w:before="0" w:after="0"/>
              <w:rPr>
                <w:rFonts w:ascii="Arial" w:hAnsi="Arial" w:cs="Arial"/>
                <w:sz w:val="20"/>
                <w:szCs w:val="20"/>
              </w:rPr>
            </w:pPr>
            <w:r w:rsidRPr="001E16FC">
              <w:rPr>
                <w:rFonts w:ascii="Arial" w:eastAsia="Times New Roman" w:hAnsi="Arial" w:cs="Arial"/>
                <w:color w:val="000000"/>
                <w:sz w:val="20"/>
                <w:szCs w:val="20"/>
                <w:lang w:eastAsia="cs-CZ"/>
              </w:rPr>
              <w:t>P</w:t>
            </w:r>
            <w:r w:rsidRPr="001E16FC">
              <w:rPr>
                <w:rFonts w:ascii="Arial" w:hAnsi="Arial" w:cs="Arial"/>
                <w:sz w:val="20"/>
                <w:szCs w:val="20"/>
              </w:rPr>
              <w:t>rávě návrhy v institucionální podpoře a návrh nových forem poradenství by měly tuto situaci zlepšit.</w:t>
            </w:r>
          </w:p>
          <w:p w14:paraId="6D7C6E45"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Poradenství bude nově zajištěno certifikovanými poradenskými subjekty, které se specializují na zemědělství a jsou se zemědělci v bližším kontaktu. Certifikací by měla být zajištěna jednotná úroveň poradenských služeb. ŘO bude po certifikaci těchto subjektů specifikovat oblasti zaměřené na aktuální témata v zemědělství. Projekty budou zaměřeny nejen na poradenství zemědělcům, ale i na vytvoření celých nových systémů poradenství včetně softwaru nebo vzdělávání poradců.</w:t>
            </w:r>
          </w:p>
          <w:p w14:paraId="599F4B78" w14:textId="77777777" w:rsidR="00676CCE" w:rsidRPr="001E16FC" w:rsidRDefault="00676CCE" w:rsidP="00D57F5A">
            <w:pPr>
              <w:spacing w:before="0" w:after="0"/>
              <w:rPr>
                <w:rFonts w:ascii="Arial" w:eastAsia="Times New Roman" w:hAnsi="Arial" w:cs="Arial"/>
                <w:color w:val="000000"/>
                <w:sz w:val="20"/>
                <w:szCs w:val="20"/>
                <w:lang w:eastAsia="cs-CZ"/>
              </w:rPr>
            </w:pPr>
          </w:p>
        </w:tc>
      </w:tr>
      <w:tr w:rsidR="00676CCE" w:rsidRPr="001E16FC" w14:paraId="7B6ABB28" w14:textId="77777777" w:rsidTr="00676CCE">
        <w:trPr>
          <w:trHeight w:val="1905"/>
        </w:trPr>
        <w:tc>
          <w:tcPr>
            <w:tcW w:w="200" w:type="pct"/>
          </w:tcPr>
          <w:p w14:paraId="78D81B8B" w14:textId="77777777" w:rsidR="00676CCE" w:rsidRPr="001E16FC" w:rsidRDefault="00676CCE" w:rsidP="00D57F5A">
            <w:pPr>
              <w:spacing w:before="0" w:after="0"/>
              <w:rPr>
                <w:rFonts w:ascii="Arial" w:hAnsi="Arial" w:cs="Arial"/>
                <w:bCs/>
                <w:color w:val="000000"/>
                <w:sz w:val="20"/>
                <w:szCs w:val="20"/>
              </w:rPr>
            </w:pPr>
            <w:r w:rsidRPr="001E16FC">
              <w:rPr>
                <w:rFonts w:ascii="Arial" w:hAnsi="Arial" w:cs="Arial"/>
                <w:bCs/>
                <w:color w:val="000000"/>
                <w:sz w:val="20"/>
                <w:szCs w:val="20"/>
              </w:rPr>
              <w:t>15</w:t>
            </w:r>
          </w:p>
        </w:tc>
        <w:tc>
          <w:tcPr>
            <w:tcW w:w="899" w:type="pct"/>
          </w:tcPr>
          <w:p w14:paraId="15A58AFA"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ZS ČR</w:t>
            </w:r>
          </w:p>
        </w:tc>
        <w:tc>
          <w:tcPr>
            <w:tcW w:w="1230" w:type="pct"/>
            <w:shd w:val="clear" w:color="auto" w:fill="auto"/>
          </w:tcPr>
          <w:p w14:paraId="0AD14675"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Nesouhlasím s tím, že „neochotu“ stejně jako další problémy (viz str. 39) vyřeší posílení poradenské služby</w:t>
            </w:r>
          </w:p>
        </w:tc>
        <w:tc>
          <w:tcPr>
            <w:tcW w:w="2671" w:type="pct"/>
            <w:shd w:val="clear" w:color="auto" w:fill="auto"/>
          </w:tcPr>
          <w:p w14:paraId="0142A946" w14:textId="77777777" w:rsidR="00676CCE" w:rsidRPr="00627CBA" w:rsidRDefault="00676CCE" w:rsidP="00D57F5A">
            <w:pPr>
              <w:spacing w:before="0" w:after="0"/>
              <w:rPr>
                <w:rFonts w:ascii="Arial" w:eastAsia="Times New Roman" w:hAnsi="Arial" w:cs="Arial"/>
                <w:b/>
                <w:color w:val="000000"/>
                <w:sz w:val="20"/>
                <w:szCs w:val="20"/>
                <w:lang w:eastAsia="cs-CZ"/>
              </w:rPr>
            </w:pPr>
            <w:r w:rsidRPr="00627CBA">
              <w:rPr>
                <w:rFonts w:ascii="Arial" w:eastAsia="Times New Roman" w:hAnsi="Arial" w:cs="Arial"/>
                <w:b/>
                <w:color w:val="000000"/>
                <w:sz w:val="20"/>
                <w:szCs w:val="20"/>
                <w:lang w:eastAsia="cs-CZ"/>
              </w:rPr>
              <w:t>Text bude upraven</w:t>
            </w:r>
          </w:p>
          <w:p w14:paraId="75648DF6" w14:textId="77777777" w:rsidR="00676CCE" w:rsidRPr="001E16FC" w:rsidRDefault="00676CCE" w:rsidP="00D57F5A">
            <w:pPr>
              <w:spacing w:before="0" w:after="0"/>
              <w:rPr>
                <w:rFonts w:ascii="Arial" w:eastAsia="Times New Roman" w:hAnsi="Arial" w:cs="Arial"/>
                <w:color w:val="000000"/>
                <w:sz w:val="20"/>
                <w:szCs w:val="20"/>
                <w:lang w:eastAsia="cs-CZ"/>
              </w:rPr>
            </w:pPr>
            <w:r w:rsidRPr="001E16FC">
              <w:rPr>
                <w:rFonts w:ascii="Arial" w:eastAsia="Times New Roman" w:hAnsi="Arial" w:cs="Arial"/>
                <w:color w:val="000000"/>
                <w:sz w:val="20"/>
                <w:szCs w:val="20"/>
                <w:lang w:eastAsia="cs-CZ"/>
              </w:rPr>
              <w:t>Poradenské služby jako významná součást AKIS pomáhají podnikatelům v přenosu poznatků vědy a výzkumu do praxe s cílem zvýšení úrovně znalostí v zemědělství, lesnictví a potravinářství, a tím přispívají k řešení problémů praxe.</w:t>
            </w:r>
          </w:p>
          <w:p w14:paraId="2DA704AA" w14:textId="77777777" w:rsidR="00676CCE" w:rsidRPr="001E16FC" w:rsidRDefault="00676CCE" w:rsidP="00D57F5A">
            <w:pPr>
              <w:spacing w:before="0" w:after="0"/>
              <w:rPr>
                <w:rFonts w:ascii="Arial" w:eastAsia="Times New Roman" w:hAnsi="Arial" w:cs="Arial"/>
                <w:color w:val="000000"/>
                <w:sz w:val="20"/>
                <w:szCs w:val="20"/>
                <w:lang w:eastAsia="cs-CZ"/>
              </w:rPr>
            </w:pPr>
          </w:p>
        </w:tc>
      </w:tr>
    </w:tbl>
    <w:p w14:paraId="489ADFB9" w14:textId="77777777" w:rsidR="00313ECA" w:rsidRDefault="00510357" w:rsidP="00510357">
      <w:pPr>
        <w:tabs>
          <w:tab w:val="left" w:pos="2395"/>
        </w:tabs>
      </w:pPr>
      <w:r>
        <w:tab/>
      </w:r>
    </w:p>
    <w:p w14:paraId="78858F26" w14:textId="77777777" w:rsidR="00F01C45" w:rsidRPr="00510357" w:rsidRDefault="00F01C45" w:rsidP="00510357">
      <w:pPr>
        <w:tabs>
          <w:tab w:val="left" w:pos="2395"/>
        </w:tabs>
      </w:pPr>
    </w:p>
    <w:sectPr w:rsidR="00F01C45" w:rsidRPr="00510357" w:rsidSect="00960669">
      <w:footerReference w:type="default" r:id="rId10"/>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E5D3" w16cex:dateUtc="2021-02-12T10:32:00Z"/>
  <w16cex:commentExtensible w16cex:durableId="23D0EBBB" w16cex:dateUtc="2021-02-12T10:57:00Z"/>
  <w16cex:commentExtensible w16cex:durableId="23D0EC03" w16cex:dateUtc="2021-02-12T10:58:00Z"/>
  <w16cex:commentExtensible w16cex:durableId="23D0EC83" w16cex:dateUtc="2021-02-12T11:01:00Z"/>
  <w16cex:commentExtensible w16cex:durableId="23D0E883" w16cex:dateUtc="2021-02-12T10:44:00Z"/>
  <w16cex:commentExtensible w16cex:durableId="23D0EDDD" w16cex:dateUtc="2021-02-12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EB935E" w16cid:durableId="23F07D89"/>
  <w16cid:commentId w16cid:paraId="7ED709E2" w16cid:durableId="23F081F3"/>
  <w16cid:commentId w16cid:paraId="21DB0A5F" w16cid:durableId="23F07D8A"/>
  <w16cid:commentId w16cid:paraId="54BCA093" w16cid:durableId="23F07F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F7F7" w14:textId="77777777" w:rsidR="004F59F4" w:rsidRDefault="004F59F4" w:rsidP="009E4E33">
      <w:pPr>
        <w:spacing w:before="0" w:after="0"/>
      </w:pPr>
      <w:r>
        <w:separator/>
      </w:r>
    </w:p>
  </w:endnote>
  <w:endnote w:type="continuationSeparator" w:id="0">
    <w:p w14:paraId="58872B06" w14:textId="77777777" w:rsidR="004F59F4" w:rsidRDefault="004F59F4" w:rsidP="009E4E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10448"/>
      <w:docPartObj>
        <w:docPartGallery w:val="Page Numbers (Bottom of Page)"/>
        <w:docPartUnique/>
      </w:docPartObj>
    </w:sdtPr>
    <w:sdtEndPr/>
    <w:sdtContent>
      <w:p w14:paraId="0C08E094" w14:textId="77777777" w:rsidR="009E4E33" w:rsidRDefault="00960669">
        <w:pPr>
          <w:pStyle w:val="Zpat"/>
          <w:jc w:val="center"/>
        </w:pPr>
        <w:r>
          <w:t>1</w:t>
        </w:r>
      </w:p>
    </w:sdtContent>
  </w:sdt>
  <w:p w14:paraId="4B9C4DD4" w14:textId="77777777" w:rsidR="009E4E33" w:rsidRDefault="009E4E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39456"/>
      <w:docPartObj>
        <w:docPartGallery w:val="Page Numbers (Bottom of Page)"/>
        <w:docPartUnique/>
      </w:docPartObj>
    </w:sdtPr>
    <w:sdtEndPr/>
    <w:sdtContent>
      <w:p w14:paraId="51260A2F" w14:textId="15909DF6" w:rsidR="00960669" w:rsidRDefault="00960669">
        <w:pPr>
          <w:pStyle w:val="Zpat"/>
          <w:jc w:val="center"/>
        </w:pPr>
        <w:r>
          <w:fldChar w:fldCharType="begin"/>
        </w:r>
        <w:r>
          <w:instrText>PAGE   \* MERGEFORMAT</w:instrText>
        </w:r>
        <w:r>
          <w:fldChar w:fldCharType="separate"/>
        </w:r>
        <w:r w:rsidR="004664EF">
          <w:rPr>
            <w:noProof/>
          </w:rPr>
          <w:t>19</w:t>
        </w:r>
        <w:r>
          <w:fldChar w:fldCharType="end"/>
        </w:r>
      </w:p>
    </w:sdtContent>
  </w:sdt>
  <w:p w14:paraId="3B6193E0" w14:textId="77777777" w:rsidR="00960669" w:rsidRDefault="00960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B335" w14:textId="77777777" w:rsidR="004F59F4" w:rsidRDefault="004F59F4" w:rsidP="009E4E33">
      <w:pPr>
        <w:spacing w:before="0" w:after="0"/>
      </w:pPr>
      <w:r>
        <w:separator/>
      </w:r>
    </w:p>
  </w:footnote>
  <w:footnote w:type="continuationSeparator" w:id="0">
    <w:p w14:paraId="0A76DA9E" w14:textId="77777777" w:rsidR="004F59F4" w:rsidRDefault="004F59F4" w:rsidP="009E4E3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5CC"/>
    <w:multiLevelType w:val="hybridMultilevel"/>
    <w:tmpl w:val="44E44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2A39A0"/>
    <w:multiLevelType w:val="hybridMultilevel"/>
    <w:tmpl w:val="037E5416"/>
    <w:lvl w:ilvl="0" w:tplc="88E40632">
      <w:start w:val="2"/>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4E21AF"/>
    <w:multiLevelType w:val="hybridMultilevel"/>
    <w:tmpl w:val="FFE80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FC2B5E"/>
    <w:multiLevelType w:val="hybridMultilevel"/>
    <w:tmpl w:val="F5066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BB4993"/>
    <w:multiLevelType w:val="hybridMultilevel"/>
    <w:tmpl w:val="997E0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7A1072"/>
    <w:multiLevelType w:val="hybridMultilevel"/>
    <w:tmpl w:val="A37E896C"/>
    <w:lvl w:ilvl="0" w:tplc="DE0CFA6C">
      <w:start w:val="2"/>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A3685A"/>
    <w:multiLevelType w:val="hybridMultilevel"/>
    <w:tmpl w:val="13502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533A68"/>
    <w:multiLevelType w:val="hybridMultilevel"/>
    <w:tmpl w:val="105CD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184C46"/>
    <w:multiLevelType w:val="hybridMultilevel"/>
    <w:tmpl w:val="3E62A7AE"/>
    <w:lvl w:ilvl="0" w:tplc="8E2A583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5313D9"/>
    <w:multiLevelType w:val="hybridMultilevel"/>
    <w:tmpl w:val="FCEA4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811BF9"/>
    <w:multiLevelType w:val="hybridMultilevel"/>
    <w:tmpl w:val="A5D41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4C6C6C"/>
    <w:multiLevelType w:val="hybridMultilevel"/>
    <w:tmpl w:val="36B655CC"/>
    <w:lvl w:ilvl="0" w:tplc="A744767E">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F4025E"/>
    <w:multiLevelType w:val="hybridMultilevel"/>
    <w:tmpl w:val="70E0CC54"/>
    <w:lvl w:ilvl="0" w:tplc="B21212B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853F43"/>
    <w:multiLevelType w:val="hybridMultilevel"/>
    <w:tmpl w:val="581E0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A465C3"/>
    <w:multiLevelType w:val="hybridMultilevel"/>
    <w:tmpl w:val="6D2A4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0311F3"/>
    <w:multiLevelType w:val="hybridMultilevel"/>
    <w:tmpl w:val="A8A8C9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627917"/>
    <w:multiLevelType w:val="hybridMultilevel"/>
    <w:tmpl w:val="82DA6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763A1B"/>
    <w:multiLevelType w:val="hybridMultilevel"/>
    <w:tmpl w:val="64AA67D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5EB43A7"/>
    <w:multiLevelType w:val="hybridMultilevel"/>
    <w:tmpl w:val="2098E394"/>
    <w:lvl w:ilvl="0" w:tplc="7F382F68">
      <w:start w:val="6"/>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1D2569"/>
    <w:multiLevelType w:val="hybridMultilevel"/>
    <w:tmpl w:val="08642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B17ABD"/>
    <w:multiLevelType w:val="hybridMultilevel"/>
    <w:tmpl w:val="FB6AD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1A2834"/>
    <w:multiLevelType w:val="hybridMultilevel"/>
    <w:tmpl w:val="06CCFD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3"/>
  </w:num>
  <w:num w:numId="6">
    <w:abstractNumId w:val="18"/>
  </w:num>
  <w:num w:numId="7">
    <w:abstractNumId w:val="15"/>
  </w:num>
  <w:num w:numId="8">
    <w:abstractNumId w:val="9"/>
  </w:num>
  <w:num w:numId="9">
    <w:abstractNumId w:val="16"/>
  </w:num>
  <w:num w:numId="10">
    <w:abstractNumId w:val="12"/>
  </w:num>
  <w:num w:numId="11">
    <w:abstractNumId w:val="0"/>
  </w:num>
  <w:num w:numId="12">
    <w:abstractNumId w:val="5"/>
  </w:num>
  <w:num w:numId="13">
    <w:abstractNumId w:val="20"/>
  </w:num>
  <w:num w:numId="14">
    <w:abstractNumId w:val="7"/>
  </w:num>
  <w:num w:numId="15">
    <w:abstractNumId w:val="21"/>
  </w:num>
  <w:num w:numId="16">
    <w:abstractNumId w:val="6"/>
  </w:num>
  <w:num w:numId="17">
    <w:abstractNumId w:val="1"/>
  </w:num>
  <w:num w:numId="18">
    <w:abstractNumId w:val="14"/>
  </w:num>
  <w:num w:numId="19">
    <w:abstractNumId w:val="19"/>
  </w:num>
  <w:num w:numId="20">
    <w:abstractNumId w:val="4"/>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5A"/>
    <w:rsid w:val="00002AD6"/>
    <w:rsid w:val="00026B63"/>
    <w:rsid w:val="00033430"/>
    <w:rsid w:val="00033CEB"/>
    <w:rsid w:val="0005704A"/>
    <w:rsid w:val="000834F1"/>
    <w:rsid w:val="000B08F0"/>
    <w:rsid w:val="000C1407"/>
    <w:rsid w:val="000F4354"/>
    <w:rsid w:val="000F547B"/>
    <w:rsid w:val="0010102C"/>
    <w:rsid w:val="001027C2"/>
    <w:rsid w:val="00105357"/>
    <w:rsid w:val="00150788"/>
    <w:rsid w:val="00163781"/>
    <w:rsid w:val="00180917"/>
    <w:rsid w:val="00182989"/>
    <w:rsid w:val="00194971"/>
    <w:rsid w:val="001A21EF"/>
    <w:rsid w:val="001C7A70"/>
    <w:rsid w:val="001E16FC"/>
    <w:rsid w:val="001E7A53"/>
    <w:rsid w:val="001F2AFE"/>
    <w:rsid w:val="00205928"/>
    <w:rsid w:val="00206EF0"/>
    <w:rsid w:val="002112CE"/>
    <w:rsid w:val="00227332"/>
    <w:rsid w:val="00242DC2"/>
    <w:rsid w:val="002538BF"/>
    <w:rsid w:val="00255704"/>
    <w:rsid w:val="00287B41"/>
    <w:rsid w:val="002D3B32"/>
    <w:rsid w:val="002E1A0A"/>
    <w:rsid w:val="002E3C4E"/>
    <w:rsid w:val="002E48F6"/>
    <w:rsid w:val="00307CE8"/>
    <w:rsid w:val="00313ECA"/>
    <w:rsid w:val="00353511"/>
    <w:rsid w:val="00360A34"/>
    <w:rsid w:val="0037170F"/>
    <w:rsid w:val="00390125"/>
    <w:rsid w:val="00392E8C"/>
    <w:rsid w:val="003B0B1B"/>
    <w:rsid w:val="003F3B08"/>
    <w:rsid w:val="00434489"/>
    <w:rsid w:val="0043689B"/>
    <w:rsid w:val="00460261"/>
    <w:rsid w:val="004664EF"/>
    <w:rsid w:val="004A51CF"/>
    <w:rsid w:val="004B663E"/>
    <w:rsid w:val="004D240B"/>
    <w:rsid w:val="004F59F4"/>
    <w:rsid w:val="00507395"/>
    <w:rsid w:val="00510357"/>
    <w:rsid w:val="00554816"/>
    <w:rsid w:val="005562DF"/>
    <w:rsid w:val="005727D2"/>
    <w:rsid w:val="0058401F"/>
    <w:rsid w:val="0058574D"/>
    <w:rsid w:val="00591CDC"/>
    <w:rsid w:val="005A6268"/>
    <w:rsid w:val="005C0C96"/>
    <w:rsid w:val="005C4C98"/>
    <w:rsid w:val="00617649"/>
    <w:rsid w:val="00623014"/>
    <w:rsid w:val="00627CBA"/>
    <w:rsid w:val="00635AA2"/>
    <w:rsid w:val="00643E08"/>
    <w:rsid w:val="00643EE0"/>
    <w:rsid w:val="00667CB9"/>
    <w:rsid w:val="006723B6"/>
    <w:rsid w:val="00676CCE"/>
    <w:rsid w:val="0068076C"/>
    <w:rsid w:val="00703533"/>
    <w:rsid w:val="00716130"/>
    <w:rsid w:val="00725252"/>
    <w:rsid w:val="00730F8E"/>
    <w:rsid w:val="00783293"/>
    <w:rsid w:val="0079734B"/>
    <w:rsid w:val="007B0279"/>
    <w:rsid w:val="007B0551"/>
    <w:rsid w:val="007B3055"/>
    <w:rsid w:val="007C1171"/>
    <w:rsid w:val="007D35D1"/>
    <w:rsid w:val="007E3D82"/>
    <w:rsid w:val="00800E72"/>
    <w:rsid w:val="00810A88"/>
    <w:rsid w:val="00813806"/>
    <w:rsid w:val="00824E48"/>
    <w:rsid w:val="00832D5C"/>
    <w:rsid w:val="00845549"/>
    <w:rsid w:val="008961E6"/>
    <w:rsid w:val="008B07D9"/>
    <w:rsid w:val="00911EAF"/>
    <w:rsid w:val="009141B4"/>
    <w:rsid w:val="00930B7D"/>
    <w:rsid w:val="00957262"/>
    <w:rsid w:val="00960669"/>
    <w:rsid w:val="009751FE"/>
    <w:rsid w:val="009B25E6"/>
    <w:rsid w:val="009D5562"/>
    <w:rsid w:val="009E4E33"/>
    <w:rsid w:val="009E77F0"/>
    <w:rsid w:val="00A01138"/>
    <w:rsid w:val="00A25DE0"/>
    <w:rsid w:val="00A83DE6"/>
    <w:rsid w:val="00A84EE6"/>
    <w:rsid w:val="00AB3A29"/>
    <w:rsid w:val="00AC4507"/>
    <w:rsid w:val="00AE3F09"/>
    <w:rsid w:val="00B23319"/>
    <w:rsid w:val="00B53324"/>
    <w:rsid w:val="00B619BD"/>
    <w:rsid w:val="00B93FE2"/>
    <w:rsid w:val="00BA1D17"/>
    <w:rsid w:val="00C01C4E"/>
    <w:rsid w:val="00C02568"/>
    <w:rsid w:val="00C22D4F"/>
    <w:rsid w:val="00C533D5"/>
    <w:rsid w:val="00C62434"/>
    <w:rsid w:val="00CD6FA0"/>
    <w:rsid w:val="00CF2247"/>
    <w:rsid w:val="00D06FB0"/>
    <w:rsid w:val="00D26975"/>
    <w:rsid w:val="00D375C6"/>
    <w:rsid w:val="00D57F5A"/>
    <w:rsid w:val="00D66E5A"/>
    <w:rsid w:val="00D70AF4"/>
    <w:rsid w:val="00D833B2"/>
    <w:rsid w:val="00D83694"/>
    <w:rsid w:val="00D91161"/>
    <w:rsid w:val="00D95A0B"/>
    <w:rsid w:val="00DD1F1F"/>
    <w:rsid w:val="00DD6DAD"/>
    <w:rsid w:val="00DE4DFE"/>
    <w:rsid w:val="00DF1ABC"/>
    <w:rsid w:val="00E12AA9"/>
    <w:rsid w:val="00E4343E"/>
    <w:rsid w:val="00E56F34"/>
    <w:rsid w:val="00E62706"/>
    <w:rsid w:val="00E74496"/>
    <w:rsid w:val="00E76F21"/>
    <w:rsid w:val="00EC3B2A"/>
    <w:rsid w:val="00ED2B4B"/>
    <w:rsid w:val="00ED5D53"/>
    <w:rsid w:val="00EF6688"/>
    <w:rsid w:val="00EF6C38"/>
    <w:rsid w:val="00F0023C"/>
    <w:rsid w:val="00F01C45"/>
    <w:rsid w:val="00F23823"/>
    <w:rsid w:val="00F30F0E"/>
    <w:rsid w:val="00F44C2B"/>
    <w:rsid w:val="00F51C5C"/>
    <w:rsid w:val="00F62E7F"/>
    <w:rsid w:val="00F77B34"/>
    <w:rsid w:val="00FD6CF5"/>
    <w:rsid w:val="00FE3758"/>
    <w:rsid w:val="00FE6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2FD1"/>
  <w15:docId w15:val="{0261CC23-EC20-40AC-AB03-18C55A52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5AA2"/>
    <w:pPr>
      <w:spacing w:before="120" w:after="280" w:line="240" w:lineRule="auto"/>
      <w:jc w:val="both"/>
    </w:pPr>
    <w:rPr>
      <w:sz w:val="24"/>
    </w:rPr>
  </w:style>
  <w:style w:type="paragraph" w:styleId="Nadpis1">
    <w:name w:val="heading 1"/>
    <w:basedOn w:val="Normln"/>
    <w:next w:val="Normln"/>
    <w:link w:val="Nadpis1Char"/>
    <w:uiPriority w:val="9"/>
    <w:qFormat/>
    <w:rsid w:val="00CF2247"/>
    <w:pPr>
      <w:keepNext/>
      <w:keepLines/>
      <w:spacing w:before="240" w:after="0"/>
      <w:outlineLvl w:val="0"/>
    </w:pPr>
    <w:rPr>
      <w:rFonts w:asciiTheme="majorHAnsi" w:eastAsiaTheme="majorEastAsia" w:hAnsiTheme="majorHAnsi" w:cstheme="majorBidi"/>
      <w:b/>
      <w:color w:val="00B050"/>
      <w:sz w:val="32"/>
      <w:szCs w:val="32"/>
    </w:rPr>
  </w:style>
  <w:style w:type="paragraph" w:styleId="Nadpis3">
    <w:name w:val="heading 3"/>
    <w:basedOn w:val="Normln"/>
    <w:next w:val="Normln"/>
    <w:link w:val="Nadpis3Char"/>
    <w:uiPriority w:val="9"/>
    <w:semiHidden/>
    <w:unhideWhenUsed/>
    <w:qFormat/>
    <w:rsid w:val="0072525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13ECA"/>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313ECA"/>
    <w:rPr>
      <w:rFonts w:ascii="Calibri" w:eastAsia="Times New Roman" w:hAnsi="Calibri" w:cs="Times New Roman"/>
      <w:lang w:eastAsia="cs-CZ"/>
    </w:rPr>
  </w:style>
  <w:style w:type="character" w:customStyle="1" w:styleId="Nadpis1Char">
    <w:name w:val="Nadpis 1 Char"/>
    <w:basedOn w:val="Standardnpsmoodstavce"/>
    <w:link w:val="Nadpis1"/>
    <w:uiPriority w:val="9"/>
    <w:rsid w:val="00CF2247"/>
    <w:rPr>
      <w:rFonts w:asciiTheme="majorHAnsi" w:eastAsiaTheme="majorEastAsia" w:hAnsiTheme="majorHAnsi" w:cstheme="majorBidi"/>
      <w:b/>
      <w:color w:val="00B050"/>
      <w:sz w:val="32"/>
      <w:szCs w:val="32"/>
    </w:rPr>
  </w:style>
  <w:style w:type="paragraph" w:styleId="Textbubliny">
    <w:name w:val="Balloon Text"/>
    <w:basedOn w:val="Normln"/>
    <w:link w:val="TextbublinyChar"/>
    <w:uiPriority w:val="99"/>
    <w:semiHidden/>
    <w:unhideWhenUsed/>
    <w:rsid w:val="0058574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74D"/>
    <w:rPr>
      <w:rFonts w:ascii="Segoe UI" w:hAnsi="Segoe UI" w:cs="Segoe UI"/>
      <w:sz w:val="18"/>
      <w:szCs w:val="18"/>
    </w:rPr>
  </w:style>
  <w:style w:type="table" w:styleId="Mkatabulky">
    <w:name w:val="Table Grid"/>
    <w:basedOn w:val="Normlntabulka"/>
    <w:uiPriority w:val="39"/>
    <w:rsid w:val="0036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725252"/>
    <w:rPr>
      <w:rFonts w:asciiTheme="majorHAnsi" w:eastAsiaTheme="majorEastAsia" w:hAnsiTheme="majorHAnsi" w:cstheme="majorBidi"/>
      <w:color w:val="1F3763" w:themeColor="accent1" w:themeShade="7F"/>
      <w:sz w:val="24"/>
      <w:szCs w:val="24"/>
    </w:rPr>
  </w:style>
  <w:style w:type="paragraph" w:styleId="Odstavecseseznamem">
    <w:name w:val="List Paragraph"/>
    <w:aliases w:val="Nad,Odstavec_muj,Odstavec cíl se seznamem,Odstavec se seznamem5,_Odstavec se seznamem,Seznam - odrážky,Conclusion de partie,List Paragraph (Czech Tourism),Odstavec se seznamem1,List Paragraph compact,Normal bullet 2,Název grafu"/>
    <w:basedOn w:val="Normln"/>
    <w:link w:val="OdstavecseseznamemChar"/>
    <w:uiPriority w:val="34"/>
    <w:qFormat/>
    <w:rsid w:val="00725252"/>
    <w:pPr>
      <w:ind w:left="720"/>
      <w:contextualSpacing/>
    </w:pPr>
  </w:style>
  <w:style w:type="paragraph" w:styleId="Zhlav">
    <w:name w:val="header"/>
    <w:basedOn w:val="Normln"/>
    <w:link w:val="ZhlavChar"/>
    <w:uiPriority w:val="99"/>
    <w:unhideWhenUsed/>
    <w:rsid w:val="009E4E33"/>
    <w:pPr>
      <w:tabs>
        <w:tab w:val="center" w:pos="4536"/>
        <w:tab w:val="right" w:pos="9072"/>
      </w:tabs>
      <w:spacing w:before="0" w:after="0"/>
    </w:pPr>
  </w:style>
  <w:style w:type="character" w:customStyle="1" w:styleId="ZhlavChar">
    <w:name w:val="Záhlaví Char"/>
    <w:basedOn w:val="Standardnpsmoodstavce"/>
    <w:link w:val="Zhlav"/>
    <w:uiPriority w:val="99"/>
    <w:rsid w:val="009E4E33"/>
    <w:rPr>
      <w:sz w:val="24"/>
    </w:rPr>
  </w:style>
  <w:style w:type="paragraph" w:styleId="Zpat">
    <w:name w:val="footer"/>
    <w:basedOn w:val="Normln"/>
    <w:link w:val="ZpatChar"/>
    <w:uiPriority w:val="99"/>
    <w:unhideWhenUsed/>
    <w:rsid w:val="009E4E33"/>
    <w:pPr>
      <w:tabs>
        <w:tab w:val="center" w:pos="4536"/>
        <w:tab w:val="right" w:pos="9072"/>
      </w:tabs>
      <w:spacing w:before="0" w:after="0"/>
    </w:pPr>
  </w:style>
  <w:style w:type="character" w:customStyle="1" w:styleId="ZpatChar">
    <w:name w:val="Zápatí Char"/>
    <w:basedOn w:val="Standardnpsmoodstavce"/>
    <w:link w:val="Zpat"/>
    <w:uiPriority w:val="99"/>
    <w:rsid w:val="009E4E33"/>
    <w:rPr>
      <w:sz w:val="24"/>
    </w:rPr>
  </w:style>
  <w:style w:type="paragraph" w:styleId="Nadpisobsahu">
    <w:name w:val="TOC Heading"/>
    <w:basedOn w:val="Nadpis1"/>
    <w:next w:val="Normln"/>
    <w:uiPriority w:val="39"/>
    <w:unhideWhenUsed/>
    <w:qFormat/>
    <w:rsid w:val="00960669"/>
    <w:pPr>
      <w:spacing w:line="259" w:lineRule="auto"/>
      <w:jc w:val="left"/>
      <w:outlineLvl w:val="9"/>
    </w:pPr>
    <w:rPr>
      <w:b w:val="0"/>
      <w:color w:val="2F5496" w:themeColor="accent1" w:themeShade="BF"/>
      <w:lang w:eastAsia="cs-CZ"/>
    </w:rPr>
  </w:style>
  <w:style w:type="paragraph" w:styleId="Obsah1">
    <w:name w:val="toc 1"/>
    <w:basedOn w:val="Normln"/>
    <w:next w:val="Normln"/>
    <w:autoRedefine/>
    <w:uiPriority w:val="39"/>
    <w:unhideWhenUsed/>
    <w:rsid w:val="00960669"/>
    <w:pPr>
      <w:spacing w:after="100"/>
    </w:pPr>
  </w:style>
  <w:style w:type="character" w:styleId="Hypertextovodkaz">
    <w:name w:val="Hyperlink"/>
    <w:basedOn w:val="Standardnpsmoodstavce"/>
    <w:uiPriority w:val="99"/>
    <w:unhideWhenUsed/>
    <w:rsid w:val="00960669"/>
    <w:rPr>
      <w:color w:val="0563C1" w:themeColor="hyperlink"/>
      <w:u w:val="single"/>
    </w:rPr>
  </w:style>
  <w:style w:type="character" w:styleId="Odkaznakoment">
    <w:name w:val="annotation reference"/>
    <w:basedOn w:val="Standardnpsmoodstavce"/>
    <w:uiPriority w:val="99"/>
    <w:semiHidden/>
    <w:unhideWhenUsed/>
    <w:rsid w:val="00F30F0E"/>
    <w:rPr>
      <w:sz w:val="16"/>
      <w:szCs w:val="16"/>
    </w:rPr>
  </w:style>
  <w:style w:type="paragraph" w:styleId="Textkomente">
    <w:name w:val="annotation text"/>
    <w:basedOn w:val="Normln"/>
    <w:link w:val="TextkomenteChar"/>
    <w:uiPriority w:val="99"/>
    <w:semiHidden/>
    <w:unhideWhenUsed/>
    <w:rsid w:val="00F30F0E"/>
    <w:rPr>
      <w:sz w:val="20"/>
      <w:szCs w:val="20"/>
    </w:rPr>
  </w:style>
  <w:style w:type="character" w:customStyle="1" w:styleId="TextkomenteChar">
    <w:name w:val="Text komentáře Char"/>
    <w:basedOn w:val="Standardnpsmoodstavce"/>
    <w:link w:val="Textkomente"/>
    <w:uiPriority w:val="99"/>
    <w:semiHidden/>
    <w:rsid w:val="00F30F0E"/>
    <w:rPr>
      <w:sz w:val="20"/>
      <w:szCs w:val="20"/>
    </w:rPr>
  </w:style>
  <w:style w:type="paragraph" w:styleId="Pedmtkomente">
    <w:name w:val="annotation subject"/>
    <w:basedOn w:val="Textkomente"/>
    <w:next w:val="Textkomente"/>
    <w:link w:val="PedmtkomenteChar"/>
    <w:uiPriority w:val="99"/>
    <w:semiHidden/>
    <w:unhideWhenUsed/>
    <w:rsid w:val="00F30F0E"/>
    <w:rPr>
      <w:b/>
      <w:bCs/>
    </w:rPr>
  </w:style>
  <w:style w:type="character" w:customStyle="1" w:styleId="PedmtkomenteChar">
    <w:name w:val="Předmět komentáře Char"/>
    <w:basedOn w:val="TextkomenteChar"/>
    <w:link w:val="Pedmtkomente"/>
    <w:uiPriority w:val="99"/>
    <w:semiHidden/>
    <w:rsid w:val="00F30F0E"/>
    <w:rPr>
      <w:b/>
      <w:bCs/>
      <w:sz w:val="20"/>
      <w:szCs w:val="20"/>
    </w:rPr>
  </w:style>
  <w:style w:type="paragraph" w:customStyle="1" w:styleId="Default">
    <w:name w:val="Default"/>
    <w:rsid w:val="00227332"/>
    <w:pPr>
      <w:autoSpaceDE w:val="0"/>
      <w:autoSpaceDN w:val="0"/>
      <w:adjustRightInd w:val="0"/>
      <w:spacing w:after="0" w:line="240" w:lineRule="auto"/>
    </w:pPr>
    <w:rPr>
      <w:rFonts w:ascii="Cambria" w:hAnsi="Cambria" w:cs="Cambria"/>
      <w:color w:val="000000"/>
      <w:sz w:val="24"/>
      <w:szCs w:val="24"/>
    </w:rPr>
  </w:style>
  <w:style w:type="character" w:customStyle="1" w:styleId="OdstavecseseznamemChar">
    <w:name w:val="Odstavec se seznamem Char"/>
    <w:aliases w:val="Nad Char,Odstavec_muj Char,Odstavec cíl se seznamem Char,Odstavec se seznamem5 Char,_Odstavec se seznamem Char,Seznam - odrážky Char,Conclusion de partie Char,List Paragraph (Czech Tourism) Char,Odstavec se seznamem1 Char"/>
    <w:link w:val="Odstavecseseznamem"/>
    <w:uiPriority w:val="34"/>
    <w:qFormat/>
    <w:locked/>
    <w:rsid w:val="00227332"/>
    <w:rPr>
      <w:sz w:val="24"/>
    </w:rPr>
  </w:style>
  <w:style w:type="character" w:styleId="Zdraznn">
    <w:name w:val="Emphasis"/>
    <w:basedOn w:val="Standardnpsmoodstavce"/>
    <w:uiPriority w:val="20"/>
    <w:qFormat/>
    <w:rsid w:val="002E3C4E"/>
    <w:rPr>
      <w:i/>
      <w:iCs/>
    </w:rPr>
  </w:style>
  <w:style w:type="paragraph" w:styleId="Revize">
    <w:name w:val="Revision"/>
    <w:hidden/>
    <w:uiPriority w:val="99"/>
    <w:semiHidden/>
    <w:rsid w:val="004D240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28BB-B308-4338-B717-5E3F34B3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6054</Words>
  <Characters>35724</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Polišenská Anna</cp:lastModifiedBy>
  <cp:revision>2</cp:revision>
  <dcterms:created xsi:type="dcterms:W3CDTF">2021-06-03T12:15:00Z</dcterms:created>
  <dcterms:modified xsi:type="dcterms:W3CDTF">2021-06-03T12:15:00Z</dcterms:modified>
</cp:coreProperties>
</file>