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E23" w:rsidRPr="003B6DAE" w:rsidRDefault="00506E23" w:rsidP="00E4113A">
      <w:pPr>
        <w:pStyle w:val="logo"/>
      </w:pPr>
      <w:r>
        <w:rPr>
          <w:noProof/>
          <w:lang w:val="cs-CZ" w:eastAsia="cs-CZ"/>
        </w:rPr>
        <w:drawing>
          <wp:inline distT="0" distB="0" distL="0" distR="0">
            <wp:extent cx="1478942" cy="609541"/>
            <wp:effectExtent l="0" t="0" r="6985" b="63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1514655" cy="624260"/>
                    </a:xfrm>
                    <a:prstGeom prst="rect">
                      <a:avLst/>
                    </a:prstGeom>
                  </pic:spPr>
                </pic:pic>
              </a:graphicData>
            </a:graphic>
          </wp:inline>
        </w:drawing>
      </w:r>
    </w:p>
    <w:p w:rsidR="00E4113A" w:rsidRPr="00FE4B18" w:rsidRDefault="00E4113A" w:rsidP="00E4113A">
      <w:pPr>
        <w:pStyle w:val="UZEI"/>
      </w:pPr>
      <w:r w:rsidRPr="00FE4B18">
        <w:t>Ústav zemědělské ekonomiky a informací</w:t>
      </w:r>
    </w:p>
    <w:p w:rsidR="00E4113A" w:rsidRDefault="00E4113A" w:rsidP="00E4113A">
      <w:pPr>
        <w:pStyle w:val="st-nazev"/>
      </w:pPr>
      <w:r>
        <w:t>PODKLADOVÉ ANALÝZY</w:t>
      </w:r>
      <w:r w:rsidRPr="00C81804">
        <w:t xml:space="preserve"> </w:t>
      </w:r>
      <w:r>
        <w:t>PRO PŘÍPRAVU SZP V PROGRAMOVÉM OBDOBÍ 2021+</w:t>
      </w:r>
    </w:p>
    <w:p w:rsidR="003127BC" w:rsidRPr="003127BC" w:rsidRDefault="003127BC" w:rsidP="003127BC">
      <w:pPr>
        <w:spacing w:before="360" w:line="240" w:lineRule="auto"/>
        <w:ind w:firstLine="0"/>
        <w:jc w:val="center"/>
        <w:rPr>
          <w:b/>
        </w:rPr>
      </w:pPr>
      <w:r w:rsidRPr="00277EAB">
        <w:rPr>
          <w:b/>
        </w:rPr>
        <w:t xml:space="preserve">Specifický cíl C: </w:t>
      </w:r>
      <w:r w:rsidR="00D25A96" w:rsidRPr="00277EAB">
        <w:rPr>
          <w:rFonts w:ascii="Arial" w:hAnsi="Arial" w:cs="Arial"/>
          <w:b/>
          <w:sz w:val="20"/>
        </w:rPr>
        <w:t>Zlepš</w:t>
      </w:r>
      <w:r w:rsidR="00D25A96">
        <w:rPr>
          <w:rFonts w:ascii="Arial" w:hAnsi="Arial" w:cs="Arial"/>
          <w:b/>
          <w:sz w:val="20"/>
        </w:rPr>
        <w:t>ovat postavení</w:t>
      </w:r>
      <w:r w:rsidR="00D25A96" w:rsidRPr="00277EAB">
        <w:rPr>
          <w:rFonts w:ascii="Arial" w:hAnsi="Arial" w:cs="Arial"/>
          <w:b/>
          <w:sz w:val="20"/>
        </w:rPr>
        <w:t xml:space="preserve"> </w:t>
      </w:r>
      <w:r w:rsidRPr="00277EAB">
        <w:rPr>
          <w:rFonts w:ascii="Arial" w:hAnsi="Arial" w:cs="Arial"/>
          <w:b/>
          <w:sz w:val="20"/>
        </w:rPr>
        <w:t>zemědělců v hodnotovém řetězci</w:t>
      </w:r>
      <w:r w:rsidRPr="003127BC">
        <w:rPr>
          <w:rFonts w:ascii="Arial" w:hAnsi="Arial" w:cs="Arial"/>
          <w:b/>
          <w:sz w:val="20"/>
        </w:rPr>
        <w:t>.</w:t>
      </w:r>
    </w:p>
    <w:p w:rsidR="003127BC" w:rsidRDefault="003127BC" w:rsidP="00E4113A">
      <w:pPr>
        <w:pStyle w:val="st-rok"/>
        <w:spacing w:before="360"/>
      </w:pPr>
    </w:p>
    <w:p w:rsidR="00E4113A" w:rsidRDefault="00E4113A" w:rsidP="00E4113A"/>
    <w:p w:rsidR="00E4113A" w:rsidRDefault="00E4113A" w:rsidP="00E4113A"/>
    <w:p w:rsidR="00E4113A" w:rsidRDefault="00E4113A" w:rsidP="00E4113A"/>
    <w:p w:rsidR="00E4113A" w:rsidRDefault="00E4113A" w:rsidP="00E4113A"/>
    <w:p w:rsidR="00E4113A" w:rsidRDefault="00E4113A" w:rsidP="00E4113A"/>
    <w:p w:rsidR="00E4113A" w:rsidRDefault="00E4113A" w:rsidP="00E4113A"/>
    <w:p w:rsidR="00E4113A" w:rsidRDefault="00E4113A" w:rsidP="00E4113A"/>
    <w:p w:rsidR="00E4113A" w:rsidRDefault="00E4113A" w:rsidP="00E4113A"/>
    <w:p w:rsidR="00E4113A" w:rsidRDefault="00E4113A" w:rsidP="00E4113A"/>
    <w:p w:rsidR="00E4113A" w:rsidRDefault="00E4113A" w:rsidP="00E4113A"/>
    <w:p w:rsidR="0081245E" w:rsidRDefault="00E4113A" w:rsidP="00E4113A">
      <w:pPr>
        <w:jc w:val="center"/>
      </w:pPr>
      <w:r>
        <w:t xml:space="preserve">Praha, </w:t>
      </w:r>
      <w:r w:rsidR="002E16A7">
        <w:t>27</w:t>
      </w:r>
      <w:r>
        <w:t>.</w:t>
      </w:r>
      <w:r w:rsidR="002E16A7">
        <w:t xml:space="preserve"> </w:t>
      </w:r>
      <w:bookmarkStart w:id="0" w:name="_GoBack"/>
      <w:bookmarkEnd w:id="0"/>
      <w:r w:rsidR="002E16A7">
        <w:t>11</w:t>
      </w:r>
      <w:r>
        <w:t>.</w:t>
      </w:r>
      <w:r w:rsidR="00044692">
        <w:t xml:space="preserve"> </w:t>
      </w:r>
      <w:r>
        <w:t>2018</w:t>
      </w:r>
    </w:p>
    <w:p w:rsidR="00E4113A" w:rsidRDefault="00E4113A" w:rsidP="00E4113A">
      <w:pPr>
        <w:jc w:val="center"/>
      </w:pPr>
    </w:p>
    <w:p w:rsidR="00E4113A" w:rsidRDefault="00E4113A" w:rsidP="00E4113A">
      <w:pPr>
        <w:pStyle w:val="Nadpis1"/>
      </w:pPr>
      <w:bookmarkStart w:id="1" w:name="_Toc313363000"/>
      <w:bookmarkStart w:id="2" w:name="_Toc525760678"/>
      <w:r>
        <w:t>Se</w:t>
      </w:r>
      <w:r w:rsidRPr="00117FE3">
        <w:t>znam použitých zkratek</w:t>
      </w:r>
      <w:bookmarkEnd w:id="1"/>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334"/>
        <w:gridCol w:w="7878"/>
      </w:tblGrid>
      <w:tr w:rsidR="00FF6E1D" w:rsidRPr="00055039" w:rsidTr="0021663D">
        <w:trPr>
          <w:cantSplit/>
          <w:trHeight w:val="315"/>
        </w:trPr>
        <w:tc>
          <w:tcPr>
            <w:tcW w:w="724" w:type="pct"/>
            <w:shd w:val="clear" w:color="auto" w:fill="auto"/>
          </w:tcPr>
          <w:p w:rsidR="00FF6E1D" w:rsidRDefault="00FF6E1D" w:rsidP="00651713">
            <w:pPr>
              <w:pStyle w:val="Tabulka"/>
            </w:pPr>
            <w:r>
              <w:t>CPV</w:t>
            </w:r>
          </w:p>
        </w:tc>
        <w:tc>
          <w:tcPr>
            <w:tcW w:w="4276" w:type="pct"/>
            <w:shd w:val="clear" w:color="auto" w:fill="auto"/>
          </w:tcPr>
          <w:p w:rsidR="00FF6E1D" w:rsidRDefault="00FF6E1D" w:rsidP="00651713">
            <w:pPr>
              <w:pStyle w:val="Tabulka"/>
              <w:rPr>
                <w:rFonts w:asciiTheme="minorHAnsi" w:hAnsiTheme="minorHAnsi"/>
                <w:szCs w:val="22"/>
              </w:rPr>
            </w:pPr>
            <w:r>
              <w:rPr>
                <w:rFonts w:asciiTheme="minorHAnsi" w:hAnsiTheme="minorHAnsi"/>
                <w:sz w:val="22"/>
                <w:szCs w:val="22"/>
              </w:rPr>
              <w:t>Cena průmyslových výrobců</w:t>
            </w:r>
          </w:p>
        </w:tc>
      </w:tr>
      <w:tr w:rsidR="00FF6E1D" w:rsidRPr="00055039" w:rsidTr="0021663D">
        <w:trPr>
          <w:cantSplit/>
          <w:trHeight w:val="315"/>
        </w:trPr>
        <w:tc>
          <w:tcPr>
            <w:tcW w:w="724" w:type="pct"/>
            <w:shd w:val="clear" w:color="auto" w:fill="auto"/>
          </w:tcPr>
          <w:p w:rsidR="00FF6E1D" w:rsidRDefault="00FF6E1D" w:rsidP="00651713">
            <w:pPr>
              <w:pStyle w:val="Tabulka"/>
            </w:pPr>
            <w:r>
              <w:t>CZV</w:t>
            </w:r>
          </w:p>
        </w:tc>
        <w:tc>
          <w:tcPr>
            <w:tcW w:w="4276" w:type="pct"/>
            <w:shd w:val="clear" w:color="auto" w:fill="auto"/>
          </w:tcPr>
          <w:p w:rsidR="00FF6E1D" w:rsidRPr="001C5C4B" w:rsidRDefault="00FF6E1D" w:rsidP="00651713">
            <w:pPr>
              <w:pStyle w:val="Tabulka"/>
              <w:rPr>
                <w:rFonts w:asciiTheme="minorHAnsi" w:hAnsiTheme="minorHAnsi"/>
                <w:szCs w:val="22"/>
              </w:rPr>
            </w:pPr>
            <w:r>
              <w:rPr>
                <w:rFonts w:asciiTheme="minorHAnsi" w:hAnsiTheme="minorHAnsi"/>
                <w:sz w:val="22"/>
                <w:szCs w:val="22"/>
              </w:rPr>
              <w:t>Cena zemědělských výrobců</w:t>
            </w:r>
          </w:p>
        </w:tc>
      </w:tr>
      <w:tr w:rsidR="00E4113A" w:rsidRPr="00055039" w:rsidTr="0021663D">
        <w:trPr>
          <w:cantSplit/>
          <w:trHeight w:val="315"/>
        </w:trPr>
        <w:tc>
          <w:tcPr>
            <w:tcW w:w="724" w:type="pct"/>
            <w:shd w:val="clear" w:color="auto" w:fill="auto"/>
          </w:tcPr>
          <w:p w:rsidR="00E4113A" w:rsidRPr="00055039" w:rsidRDefault="001C5C4B" w:rsidP="00651713">
            <w:pPr>
              <w:pStyle w:val="Tabulka"/>
            </w:pPr>
            <w:r>
              <w:t>ČBS</w:t>
            </w:r>
          </w:p>
        </w:tc>
        <w:tc>
          <w:tcPr>
            <w:tcW w:w="4276" w:type="pct"/>
            <w:shd w:val="clear" w:color="auto" w:fill="auto"/>
          </w:tcPr>
          <w:p w:rsidR="00E4113A" w:rsidRPr="001C5C4B" w:rsidRDefault="001C5C4B" w:rsidP="00651713">
            <w:pPr>
              <w:pStyle w:val="Tabulka"/>
              <w:rPr>
                <w:rFonts w:asciiTheme="minorHAnsi" w:hAnsiTheme="minorHAnsi"/>
                <w:szCs w:val="22"/>
              </w:rPr>
            </w:pPr>
            <w:r w:rsidRPr="001C5C4B">
              <w:rPr>
                <w:rFonts w:asciiTheme="minorHAnsi" w:hAnsiTheme="minorHAnsi"/>
                <w:sz w:val="22"/>
                <w:szCs w:val="22"/>
              </w:rPr>
              <w:t>Český bramborářský svaz</w:t>
            </w:r>
          </w:p>
        </w:tc>
      </w:tr>
      <w:tr w:rsidR="00E4113A" w:rsidRPr="00055039" w:rsidTr="0021663D">
        <w:trPr>
          <w:cantSplit/>
          <w:trHeight w:val="315"/>
        </w:trPr>
        <w:tc>
          <w:tcPr>
            <w:tcW w:w="724" w:type="pct"/>
            <w:shd w:val="clear" w:color="auto" w:fill="auto"/>
          </w:tcPr>
          <w:p w:rsidR="00E4113A" w:rsidRPr="00055039" w:rsidRDefault="00F30BB7" w:rsidP="00651713">
            <w:pPr>
              <w:pStyle w:val="Tabulka"/>
            </w:pPr>
            <w:r>
              <w:t>HHI</w:t>
            </w:r>
          </w:p>
        </w:tc>
        <w:tc>
          <w:tcPr>
            <w:tcW w:w="4276" w:type="pct"/>
            <w:shd w:val="clear" w:color="auto" w:fill="auto"/>
          </w:tcPr>
          <w:p w:rsidR="00E4113A" w:rsidRPr="00F30BB7" w:rsidRDefault="00F30BB7" w:rsidP="00651713">
            <w:pPr>
              <w:pStyle w:val="Tabulka"/>
              <w:rPr>
                <w:rFonts w:asciiTheme="minorHAnsi" w:hAnsiTheme="minorHAnsi"/>
              </w:rPr>
            </w:pPr>
            <w:r w:rsidRPr="005B3F03">
              <w:rPr>
                <w:rFonts w:asciiTheme="minorHAnsi" w:hAnsiTheme="minorHAnsi"/>
              </w:rPr>
              <w:t>Herfindahl-Hirshmanův index</w:t>
            </w:r>
          </w:p>
        </w:tc>
      </w:tr>
      <w:tr w:rsidR="00E4113A" w:rsidRPr="00055039" w:rsidTr="0021663D">
        <w:trPr>
          <w:cantSplit/>
          <w:trHeight w:val="315"/>
        </w:trPr>
        <w:tc>
          <w:tcPr>
            <w:tcW w:w="724" w:type="pct"/>
            <w:shd w:val="clear" w:color="auto" w:fill="auto"/>
          </w:tcPr>
          <w:p w:rsidR="00E4113A" w:rsidRPr="00055039" w:rsidRDefault="00B745CC" w:rsidP="00651713">
            <w:pPr>
              <w:pStyle w:val="Tabulka"/>
            </w:pPr>
            <w:r>
              <w:t>KDŘ</w:t>
            </w:r>
          </w:p>
        </w:tc>
        <w:tc>
          <w:tcPr>
            <w:tcW w:w="4276" w:type="pct"/>
            <w:shd w:val="clear" w:color="auto" w:fill="auto"/>
          </w:tcPr>
          <w:p w:rsidR="00E4113A" w:rsidRPr="00F30BB7" w:rsidRDefault="00B745CC" w:rsidP="00651713">
            <w:pPr>
              <w:pStyle w:val="Tabulka"/>
              <w:rPr>
                <w:rFonts w:asciiTheme="minorHAnsi" w:hAnsiTheme="minorHAnsi"/>
              </w:rPr>
            </w:pPr>
            <w:r w:rsidRPr="00F30BB7">
              <w:rPr>
                <w:rFonts w:asciiTheme="minorHAnsi" w:hAnsiTheme="minorHAnsi"/>
              </w:rPr>
              <w:t>Krátké dodavatelské řetězce</w:t>
            </w:r>
          </w:p>
        </w:tc>
      </w:tr>
      <w:tr w:rsidR="00FF6E1D" w:rsidRPr="00055039" w:rsidTr="0021663D">
        <w:trPr>
          <w:cantSplit/>
          <w:trHeight w:val="315"/>
        </w:trPr>
        <w:tc>
          <w:tcPr>
            <w:tcW w:w="724" w:type="pct"/>
            <w:shd w:val="clear" w:color="auto" w:fill="auto"/>
          </w:tcPr>
          <w:p w:rsidR="00FF6E1D" w:rsidRDefault="00FF6E1D" w:rsidP="00651713">
            <w:pPr>
              <w:pStyle w:val="Tabulka"/>
            </w:pPr>
            <w:r>
              <w:t>SC</w:t>
            </w:r>
          </w:p>
        </w:tc>
        <w:tc>
          <w:tcPr>
            <w:tcW w:w="4276" w:type="pct"/>
            <w:shd w:val="clear" w:color="auto" w:fill="auto"/>
          </w:tcPr>
          <w:p w:rsidR="00FF6E1D" w:rsidRPr="00F30BB7" w:rsidRDefault="00FF6E1D" w:rsidP="00651713">
            <w:pPr>
              <w:pStyle w:val="Tabulka"/>
              <w:rPr>
                <w:rFonts w:asciiTheme="minorHAnsi" w:hAnsiTheme="minorHAnsi"/>
              </w:rPr>
            </w:pPr>
            <w:r>
              <w:rPr>
                <w:rFonts w:asciiTheme="minorHAnsi" w:hAnsiTheme="minorHAnsi"/>
              </w:rPr>
              <w:t>Spotřebitelská cena</w:t>
            </w:r>
          </w:p>
        </w:tc>
      </w:tr>
      <w:tr w:rsidR="0021663D" w:rsidRPr="00055039" w:rsidTr="0021663D">
        <w:trPr>
          <w:cantSplit/>
          <w:trHeight w:val="315"/>
        </w:trPr>
        <w:tc>
          <w:tcPr>
            <w:tcW w:w="724" w:type="pct"/>
            <w:shd w:val="clear" w:color="auto" w:fill="auto"/>
          </w:tcPr>
          <w:p w:rsidR="0021663D" w:rsidRPr="00055039" w:rsidRDefault="0021663D" w:rsidP="00651713">
            <w:pPr>
              <w:pStyle w:val="Tabulka"/>
            </w:pPr>
            <w:r>
              <w:t>TC AV ČR</w:t>
            </w:r>
          </w:p>
        </w:tc>
        <w:tc>
          <w:tcPr>
            <w:tcW w:w="4276" w:type="pct"/>
            <w:shd w:val="clear" w:color="auto" w:fill="auto"/>
          </w:tcPr>
          <w:p w:rsidR="0021663D" w:rsidRPr="00F30BB7" w:rsidRDefault="0021663D" w:rsidP="00651713">
            <w:pPr>
              <w:pStyle w:val="Tabulka"/>
              <w:rPr>
                <w:rFonts w:asciiTheme="minorHAnsi" w:hAnsiTheme="minorHAnsi"/>
              </w:rPr>
            </w:pPr>
            <w:r w:rsidRPr="00F30BB7">
              <w:rPr>
                <w:rFonts w:asciiTheme="minorHAnsi" w:hAnsiTheme="minorHAnsi"/>
              </w:rPr>
              <w:t>Technologické centrum Akademie věd České republiky</w:t>
            </w:r>
          </w:p>
        </w:tc>
      </w:tr>
      <w:tr w:rsidR="0021663D" w:rsidRPr="00055039" w:rsidTr="0021663D">
        <w:trPr>
          <w:trHeight w:val="315"/>
        </w:trPr>
        <w:tc>
          <w:tcPr>
            <w:tcW w:w="724" w:type="pct"/>
            <w:shd w:val="clear" w:color="auto" w:fill="auto"/>
          </w:tcPr>
          <w:p w:rsidR="0021663D" w:rsidRPr="00055039" w:rsidRDefault="00F94352" w:rsidP="00B745CC">
            <w:pPr>
              <w:pStyle w:val="Tabulka"/>
            </w:pPr>
            <w:r>
              <w:t>ZUČM</w:t>
            </w:r>
          </w:p>
        </w:tc>
        <w:tc>
          <w:tcPr>
            <w:tcW w:w="4276" w:type="pct"/>
            <w:shd w:val="clear" w:color="auto" w:fill="auto"/>
          </w:tcPr>
          <w:p w:rsidR="0021663D" w:rsidRPr="00F30BB7" w:rsidRDefault="00FF6E1D" w:rsidP="00B745CC">
            <w:pPr>
              <w:pStyle w:val="Tabulka"/>
              <w:rPr>
                <w:rFonts w:asciiTheme="minorHAnsi" w:hAnsiTheme="minorHAnsi"/>
              </w:rPr>
            </w:pPr>
            <w:r>
              <w:rPr>
                <w:rFonts w:asciiTheme="minorHAnsi" w:hAnsiTheme="minorHAnsi"/>
              </w:rPr>
              <w:t>Zelinářská unie Čech a Moravy</w:t>
            </w:r>
          </w:p>
        </w:tc>
      </w:tr>
      <w:tr w:rsidR="0021663D" w:rsidRPr="00055039" w:rsidTr="0021663D">
        <w:trPr>
          <w:trHeight w:val="315"/>
        </w:trPr>
        <w:tc>
          <w:tcPr>
            <w:tcW w:w="724" w:type="pct"/>
            <w:shd w:val="clear" w:color="auto" w:fill="auto"/>
          </w:tcPr>
          <w:p w:rsidR="0021663D" w:rsidRPr="00055039" w:rsidRDefault="0021663D" w:rsidP="00B745CC">
            <w:pPr>
              <w:pStyle w:val="Tabulka"/>
            </w:pPr>
          </w:p>
        </w:tc>
        <w:tc>
          <w:tcPr>
            <w:tcW w:w="4276" w:type="pct"/>
            <w:shd w:val="clear" w:color="auto" w:fill="auto"/>
          </w:tcPr>
          <w:p w:rsidR="0021663D" w:rsidRPr="00055039" w:rsidRDefault="0021663D" w:rsidP="00B745CC">
            <w:pPr>
              <w:pStyle w:val="Tabulka"/>
            </w:pPr>
          </w:p>
        </w:tc>
      </w:tr>
      <w:tr w:rsidR="0021663D" w:rsidRPr="00055039" w:rsidTr="0021663D">
        <w:trPr>
          <w:trHeight w:val="315"/>
        </w:trPr>
        <w:tc>
          <w:tcPr>
            <w:tcW w:w="724" w:type="pct"/>
            <w:shd w:val="clear" w:color="auto" w:fill="auto"/>
          </w:tcPr>
          <w:p w:rsidR="0021663D" w:rsidRPr="00055039" w:rsidRDefault="0021663D" w:rsidP="00B745CC">
            <w:pPr>
              <w:pStyle w:val="Tabulka"/>
            </w:pPr>
          </w:p>
        </w:tc>
        <w:tc>
          <w:tcPr>
            <w:tcW w:w="4276" w:type="pct"/>
            <w:shd w:val="clear" w:color="auto" w:fill="auto"/>
          </w:tcPr>
          <w:p w:rsidR="0021663D" w:rsidRPr="00055039" w:rsidRDefault="0021663D" w:rsidP="00B745CC">
            <w:pPr>
              <w:pStyle w:val="Tabulka"/>
            </w:pPr>
          </w:p>
        </w:tc>
      </w:tr>
      <w:tr w:rsidR="0021663D" w:rsidRPr="00055039" w:rsidTr="0021663D">
        <w:trPr>
          <w:trHeight w:val="315"/>
        </w:trPr>
        <w:tc>
          <w:tcPr>
            <w:tcW w:w="724" w:type="pct"/>
            <w:shd w:val="clear" w:color="auto" w:fill="auto"/>
          </w:tcPr>
          <w:p w:rsidR="0021663D" w:rsidRPr="00055039" w:rsidRDefault="0021663D" w:rsidP="00B745CC">
            <w:pPr>
              <w:pStyle w:val="Tabulka"/>
            </w:pPr>
          </w:p>
        </w:tc>
        <w:tc>
          <w:tcPr>
            <w:tcW w:w="4276" w:type="pct"/>
            <w:shd w:val="clear" w:color="auto" w:fill="auto"/>
          </w:tcPr>
          <w:p w:rsidR="0021663D" w:rsidRPr="00055039" w:rsidRDefault="0021663D" w:rsidP="00B745CC">
            <w:pPr>
              <w:pStyle w:val="Tabulka"/>
            </w:pPr>
          </w:p>
        </w:tc>
      </w:tr>
      <w:tr w:rsidR="0021663D" w:rsidRPr="00055039" w:rsidTr="0021663D">
        <w:trPr>
          <w:trHeight w:val="315"/>
        </w:trPr>
        <w:tc>
          <w:tcPr>
            <w:tcW w:w="724" w:type="pct"/>
            <w:shd w:val="clear" w:color="auto" w:fill="auto"/>
          </w:tcPr>
          <w:p w:rsidR="0021663D" w:rsidRPr="00055039" w:rsidRDefault="0021663D" w:rsidP="00B745CC">
            <w:pPr>
              <w:pStyle w:val="Tabulka"/>
            </w:pPr>
          </w:p>
        </w:tc>
        <w:tc>
          <w:tcPr>
            <w:tcW w:w="4276" w:type="pct"/>
            <w:shd w:val="clear" w:color="auto" w:fill="auto"/>
          </w:tcPr>
          <w:p w:rsidR="0021663D" w:rsidRPr="00055039" w:rsidRDefault="0021663D" w:rsidP="00B745CC">
            <w:pPr>
              <w:pStyle w:val="Tabulka"/>
            </w:pPr>
          </w:p>
        </w:tc>
      </w:tr>
      <w:tr w:rsidR="0021663D" w:rsidRPr="00055039" w:rsidTr="0021663D">
        <w:trPr>
          <w:cantSplit/>
          <w:trHeight w:val="315"/>
        </w:trPr>
        <w:tc>
          <w:tcPr>
            <w:tcW w:w="724" w:type="pct"/>
            <w:shd w:val="clear" w:color="auto" w:fill="auto"/>
          </w:tcPr>
          <w:p w:rsidR="0021663D" w:rsidRPr="00055039" w:rsidRDefault="0021663D" w:rsidP="00B745CC">
            <w:pPr>
              <w:pStyle w:val="Tabulka"/>
            </w:pPr>
          </w:p>
        </w:tc>
        <w:tc>
          <w:tcPr>
            <w:tcW w:w="4276" w:type="pct"/>
            <w:shd w:val="clear" w:color="auto" w:fill="auto"/>
          </w:tcPr>
          <w:p w:rsidR="0021663D" w:rsidRPr="00055039" w:rsidRDefault="0021663D" w:rsidP="00B745CC">
            <w:pPr>
              <w:pStyle w:val="Tabulka"/>
            </w:pPr>
          </w:p>
        </w:tc>
      </w:tr>
      <w:tr w:rsidR="0021663D" w:rsidRPr="00055039" w:rsidTr="0021663D">
        <w:trPr>
          <w:trHeight w:val="315"/>
        </w:trPr>
        <w:tc>
          <w:tcPr>
            <w:tcW w:w="724" w:type="pct"/>
            <w:shd w:val="clear" w:color="auto" w:fill="auto"/>
          </w:tcPr>
          <w:p w:rsidR="0021663D" w:rsidRPr="00055039" w:rsidRDefault="0021663D" w:rsidP="00B745CC">
            <w:pPr>
              <w:pStyle w:val="Tabulka"/>
            </w:pPr>
          </w:p>
        </w:tc>
        <w:tc>
          <w:tcPr>
            <w:tcW w:w="4276" w:type="pct"/>
            <w:shd w:val="clear" w:color="auto" w:fill="auto"/>
          </w:tcPr>
          <w:p w:rsidR="0021663D" w:rsidRPr="00055039" w:rsidRDefault="0021663D" w:rsidP="00B745CC">
            <w:pPr>
              <w:pStyle w:val="Tabulka"/>
            </w:pPr>
          </w:p>
        </w:tc>
      </w:tr>
      <w:tr w:rsidR="0021663D" w:rsidRPr="00055039" w:rsidTr="0021663D">
        <w:trPr>
          <w:trHeight w:val="315"/>
        </w:trPr>
        <w:tc>
          <w:tcPr>
            <w:tcW w:w="724" w:type="pct"/>
            <w:shd w:val="clear" w:color="auto" w:fill="auto"/>
          </w:tcPr>
          <w:p w:rsidR="0021663D" w:rsidRPr="00055039" w:rsidRDefault="0021663D" w:rsidP="00B745CC">
            <w:pPr>
              <w:pStyle w:val="Tabulka"/>
            </w:pPr>
          </w:p>
        </w:tc>
        <w:tc>
          <w:tcPr>
            <w:tcW w:w="4276" w:type="pct"/>
            <w:shd w:val="clear" w:color="auto" w:fill="auto"/>
          </w:tcPr>
          <w:p w:rsidR="0021663D" w:rsidRPr="00055039" w:rsidRDefault="0021663D" w:rsidP="00B745CC">
            <w:pPr>
              <w:pStyle w:val="Tabulka"/>
            </w:pPr>
          </w:p>
        </w:tc>
      </w:tr>
      <w:tr w:rsidR="0021663D" w:rsidRPr="00055039" w:rsidTr="0021663D">
        <w:trPr>
          <w:cantSplit/>
          <w:trHeight w:val="315"/>
        </w:trPr>
        <w:tc>
          <w:tcPr>
            <w:tcW w:w="724" w:type="pct"/>
            <w:shd w:val="clear" w:color="auto" w:fill="auto"/>
          </w:tcPr>
          <w:p w:rsidR="0021663D" w:rsidRPr="00055039" w:rsidRDefault="0021663D" w:rsidP="00B745CC">
            <w:pPr>
              <w:pStyle w:val="Tabulka"/>
            </w:pPr>
          </w:p>
        </w:tc>
        <w:tc>
          <w:tcPr>
            <w:tcW w:w="4276" w:type="pct"/>
            <w:shd w:val="clear" w:color="auto" w:fill="auto"/>
          </w:tcPr>
          <w:p w:rsidR="0021663D" w:rsidRPr="00055039" w:rsidRDefault="0021663D" w:rsidP="00B745CC">
            <w:pPr>
              <w:pStyle w:val="Tabulka"/>
            </w:pPr>
          </w:p>
        </w:tc>
      </w:tr>
      <w:tr w:rsidR="0021663D" w:rsidRPr="00055039" w:rsidTr="0021663D">
        <w:trPr>
          <w:trHeight w:val="315"/>
        </w:trPr>
        <w:tc>
          <w:tcPr>
            <w:tcW w:w="724" w:type="pct"/>
            <w:shd w:val="clear" w:color="auto" w:fill="auto"/>
          </w:tcPr>
          <w:p w:rsidR="0021663D" w:rsidRPr="00055039" w:rsidRDefault="0021663D" w:rsidP="00B745CC">
            <w:pPr>
              <w:pStyle w:val="Tabulka"/>
            </w:pPr>
          </w:p>
        </w:tc>
        <w:tc>
          <w:tcPr>
            <w:tcW w:w="4276" w:type="pct"/>
            <w:shd w:val="clear" w:color="auto" w:fill="auto"/>
          </w:tcPr>
          <w:p w:rsidR="0021663D" w:rsidRPr="00055039" w:rsidRDefault="0021663D" w:rsidP="00B745CC">
            <w:pPr>
              <w:pStyle w:val="Tabulka"/>
            </w:pPr>
          </w:p>
        </w:tc>
      </w:tr>
      <w:tr w:rsidR="0021663D" w:rsidRPr="00055039" w:rsidTr="0021663D">
        <w:trPr>
          <w:trHeight w:val="315"/>
        </w:trPr>
        <w:tc>
          <w:tcPr>
            <w:tcW w:w="724" w:type="pct"/>
            <w:shd w:val="clear" w:color="auto" w:fill="auto"/>
          </w:tcPr>
          <w:p w:rsidR="0021663D" w:rsidRPr="00055039" w:rsidRDefault="0021663D" w:rsidP="00B745CC">
            <w:pPr>
              <w:pStyle w:val="Tabulka"/>
            </w:pPr>
          </w:p>
        </w:tc>
        <w:tc>
          <w:tcPr>
            <w:tcW w:w="4276" w:type="pct"/>
            <w:shd w:val="clear" w:color="auto" w:fill="auto"/>
          </w:tcPr>
          <w:p w:rsidR="0021663D" w:rsidRPr="00055039" w:rsidRDefault="0021663D" w:rsidP="00B745CC">
            <w:pPr>
              <w:pStyle w:val="Tabulka"/>
            </w:pPr>
          </w:p>
        </w:tc>
      </w:tr>
      <w:tr w:rsidR="0021663D" w:rsidRPr="00055039" w:rsidTr="0021663D">
        <w:trPr>
          <w:cantSplit/>
          <w:trHeight w:val="315"/>
        </w:trPr>
        <w:tc>
          <w:tcPr>
            <w:tcW w:w="724" w:type="pct"/>
            <w:shd w:val="clear" w:color="auto" w:fill="auto"/>
          </w:tcPr>
          <w:p w:rsidR="0021663D" w:rsidRPr="00055039" w:rsidRDefault="0021663D" w:rsidP="00B745CC">
            <w:pPr>
              <w:pStyle w:val="Tabulka"/>
            </w:pPr>
          </w:p>
        </w:tc>
        <w:tc>
          <w:tcPr>
            <w:tcW w:w="4276" w:type="pct"/>
            <w:shd w:val="clear" w:color="auto" w:fill="auto"/>
          </w:tcPr>
          <w:p w:rsidR="0021663D" w:rsidRPr="00055039" w:rsidRDefault="0021663D" w:rsidP="00B745CC">
            <w:pPr>
              <w:pStyle w:val="Tabulka"/>
            </w:pPr>
          </w:p>
        </w:tc>
      </w:tr>
      <w:tr w:rsidR="0021663D" w:rsidRPr="00055039" w:rsidTr="0021663D">
        <w:trPr>
          <w:cantSplit/>
          <w:trHeight w:val="315"/>
        </w:trPr>
        <w:tc>
          <w:tcPr>
            <w:tcW w:w="724" w:type="pct"/>
            <w:shd w:val="clear" w:color="auto" w:fill="auto"/>
          </w:tcPr>
          <w:p w:rsidR="0021663D" w:rsidRPr="00055039" w:rsidRDefault="0021663D" w:rsidP="00B745CC">
            <w:pPr>
              <w:pStyle w:val="Tabulka"/>
            </w:pPr>
          </w:p>
        </w:tc>
        <w:tc>
          <w:tcPr>
            <w:tcW w:w="4276" w:type="pct"/>
            <w:shd w:val="clear" w:color="auto" w:fill="auto"/>
          </w:tcPr>
          <w:p w:rsidR="0021663D" w:rsidRPr="00055039" w:rsidRDefault="0021663D" w:rsidP="00B745CC">
            <w:pPr>
              <w:pStyle w:val="Tabulka"/>
            </w:pPr>
          </w:p>
        </w:tc>
      </w:tr>
      <w:tr w:rsidR="0021663D" w:rsidRPr="00055039" w:rsidTr="0021663D">
        <w:trPr>
          <w:trHeight w:val="315"/>
        </w:trPr>
        <w:tc>
          <w:tcPr>
            <w:tcW w:w="724" w:type="pct"/>
            <w:shd w:val="clear" w:color="auto" w:fill="auto"/>
          </w:tcPr>
          <w:p w:rsidR="0021663D" w:rsidRPr="00055039" w:rsidRDefault="0021663D" w:rsidP="00B745CC">
            <w:pPr>
              <w:pStyle w:val="Tabulka"/>
            </w:pPr>
          </w:p>
        </w:tc>
        <w:tc>
          <w:tcPr>
            <w:tcW w:w="4276" w:type="pct"/>
            <w:shd w:val="clear" w:color="auto" w:fill="auto"/>
          </w:tcPr>
          <w:p w:rsidR="0021663D" w:rsidRPr="00055039" w:rsidRDefault="0021663D" w:rsidP="00B745CC">
            <w:pPr>
              <w:pStyle w:val="Tabulka"/>
            </w:pPr>
          </w:p>
        </w:tc>
      </w:tr>
      <w:tr w:rsidR="0021663D" w:rsidRPr="00055039" w:rsidTr="0021663D">
        <w:trPr>
          <w:trHeight w:val="315"/>
        </w:trPr>
        <w:tc>
          <w:tcPr>
            <w:tcW w:w="724" w:type="pct"/>
            <w:shd w:val="clear" w:color="auto" w:fill="auto"/>
          </w:tcPr>
          <w:p w:rsidR="0021663D" w:rsidRPr="00055039" w:rsidRDefault="0021663D" w:rsidP="00B745CC">
            <w:pPr>
              <w:pStyle w:val="Tabulka"/>
            </w:pPr>
          </w:p>
        </w:tc>
        <w:tc>
          <w:tcPr>
            <w:tcW w:w="4276" w:type="pct"/>
            <w:shd w:val="clear" w:color="auto" w:fill="auto"/>
          </w:tcPr>
          <w:p w:rsidR="0021663D" w:rsidRPr="00055039" w:rsidRDefault="0021663D" w:rsidP="00B745CC">
            <w:pPr>
              <w:pStyle w:val="Tabulka"/>
            </w:pPr>
          </w:p>
        </w:tc>
      </w:tr>
      <w:tr w:rsidR="0021663D" w:rsidRPr="00055039" w:rsidTr="0021663D">
        <w:trPr>
          <w:cantSplit/>
          <w:trHeight w:val="315"/>
        </w:trPr>
        <w:tc>
          <w:tcPr>
            <w:tcW w:w="724" w:type="pct"/>
            <w:shd w:val="clear" w:color="auto" w:fill="auto"/>
          </w:tcPr>
          <w:p w:rsidR="0021663D" w:rsidRPr="00055039" w:rsidRDefault="0021663D" w:rsidP="00B745CC">
            <w:pPr>
              <w:pStyle w:val="Tabulka"/>
            </w:pPr>
          </w:p>
        </w:tc>
        <w:tc>
          <w:tcPr>
            <w:tcW w:w="4276" w:type="pct"/>
            <w:shd w:val="clear" w:color="auto" w:fill="auto"/>
          </w:tcPr>
          <w:p w:rsidR="0021663D" w:rsidRPr="00055039" w:rsidRDefault="0021663D" w:rsidP="00B745CC">
            <w:pPr>
              <w:pStyle w:val="Tabulka"/>
            </w:pPr>
          </w:p>
        </w:tc>
      </w:tr>
      <w:tr w:rsidR="0021663D" w:rsidRPr="00055039" w:rsidTr="0021663D">
        <w:trPr>
          <w:cantSplit/>
          <w:trHeight w:val="315"/>
        </w:trPr>
        <w:tc>
          <w:tcPr>
            <w:tcW w:w="724" w:type="pct"/>
            <w:shd w:val="clear" w:color="auto" w:fill="auto"/>
          </w:tcPr>
          <w:p w:rsidR="0021663D" w:rsidRPr="00055039" w:rsidRDefault="0021663D" w:rsidP="00B745CC">
            <w:pPr>
              <w:pStyle w:val="Tabulka"/>
            </w:pPr>
          </w:p>
        </w:tc>
        <w:tc>
          <w:tcPr>
            <w:tcW w:w="4276" w:type="pct"/>
            <w:shd w:val="clear" w:color="auto" w:fill="auto"/>
          </w:tcPr>
          <w:p w:rsidR="0021663D" w:rsidRPr="00055039" w:rsidRDefault="0021663D" w:rsidP="00B745CC">
            <w:pPr>
              <w:pStyle w:val="Tabulka"/>
            </w:pPr>
          </w:p>
        </w:tc>
      </w:tr>
      <w:tr w:rsidR="0021663D" w:rsidRPr="00055039" w:rsidTr="0021663D">
        <w:trPr>
          <w:cantSplit/>
          <w:trHeight w:val="315"/>
        </w:trPr>
        <w:tc>
          <w:tcPr>
            <w:tcW w:w="724" w:type="pct"/>
            <w:shd w:val="clear" w:color="auto" w:fill="auto"/>
          </w:tcPr>
          <w:p w:rsidR="0021663D" w:rsidRPr="00055039" w:rsidRDefault="0021663D" w:rsidP="00B745CC">
            <w:pPr>
              <w:pStyle w:val="Tabulka"/>
            </w:pPr>
          </w:p>
        </w:tc>
        <w:tc>
          <w:tcPr>
            <w:tcW w:w="4276" w:type="pct"/>
            <w:shd w:val="clear" w:color="auto" w:fill="auto"/>
          </w:tcPr>
          <w:p w:rsidR="0021663D" w:rsidRPr="00055039" w:rsidRDefault="0021663D" w:rsidP="00B745CC">
            <w:pPr>
              <w:pStyle w:val="Tabulka"/>
            </w:pPr>
          </w:p>
        </w:tc>
      </w:tr>
      <w:tr w:rsidR="0021663D" w:rsidRPr="00055039" w:rsidTr="0021663D">
        <w:trPr>
          <w:cantSplit/>
          <w:trHeight w:val="315"/>
        </w:trPr>
        <w:tc>
          <w:tcPr>
            <w:tcW w:w="724" w:type="pct"/>
            <w:shd w:val="clear" w:color="auto" w:fill="auto"/>
          </w:tcPr>
          <w:p w:rsidR="0021663D" w:rsidRPr="00055039" w:rsidRDefault="0021663D" w:rsidP="00B745CC">
            <w:pPr>
              <w:pStyle w:val="Tabulka"/>
            </w:pPr>
          </w:p>
        </w:tc>
        <w:tc>
          <w:tcPr>
            <w:tcW w:w="4276" w:type="pct"/>
            <w:shd w:val="clear" w:color="auto" w:fill="auto"/>
          </w:tcPr>
          <w:p w:rsidR="0021663D" w:rsidRPr="00055039" w:rsidRDefault="0021663D" w:rsidP="00B745CC">
            <w:pPr>
              <w:pStyle w:val="Tabulka"/>
            </w:pPr>
          </w:p>
        </w:tc>
      </w:tr>
      <w:tr w:rsidR="0021663D" w:rsidRPr="00055039" w:rsidTr="0021663D">
        <w:trPr>
          <w:trHeight w:val="315"/>
        </w:trPr>
        <w:tc>
          <w:tcPr>
            <w:tcW w:w="724" w:type="pct"/>
            <w:shd w:val="clear" w:color="auto" w:fill="auto"/>
          </w:tcPr>
          <w:p w:rsidR="0021663D" w:rsidRPr="00055039" w:rsidRDefault="0021663D" w:rsidP="00B745CC">
            <w:pPr>
              <w:pStyle w:val="Tabulka"/>
            </w:pPr>
          </w:p>
        </w:tc>
        <w:tc>
          <w:tcPr>
            <w:tcW w:w="4276" w:type="pct"/>
            <w:shd w:val="clear" w:color="auto" w:fill="auto"/>
          </w:tcPr>
          <w:p w:rsidR="0021663D" w:rsidRPr="00055039" w:rsidRDefault="0021663D" w:rsidP="00B745CC">
            <w:pPr>
              <w:pStyle w:val="Tabulka"/>
            </w:pPr>
          </w:p>
        </w:tc>
      </w:tr>
      <w:tr w:rsidR="0021663D" w:rsidRPr="00055039" w:rsidTr="0021663D">
        <w:trPr>
          <w:cantSplit/>
          <w:trHeight w:val="315"/>
        </w:trPr>
        <w:tc>
          <w:tcPr>
            <w:tcW w:w="724" w:type="pct"/>
            <w:shd w:val="clear" w:color="auto" w:fill="auto"/>
          </w:tcPr>
          <w:p w:rsidR="0021663D" w:rsidRPr="00055039" w:rsidRDefault="0021663D" w:rsidP="00B745CC">
            <w:pPr>
              <w:pStyle w:val="Tabulka"/>
            </w:pPr>
          </w:p>
        </w:tc>
        <w:tc>
          <w:tcPr>
            <w:tcW w:w="4276" w:type="pct"/>
            <w:shd w:val="clear" w:color="auto" w:fill="auto"/>
          </w:tcPr>
          <w:p w:rsidR="0021663D" w:rsidRPr="00055039" w:rsidRDefault="0021663D" w:rsidP="00B745CC">
            <w:pPr>
              <w:pStyle w:val="Tabulka"/>
            </w:pPr>
          </w:p>
        </w:tc>
      </w:tr>
      <w:tr w:rsidR="0021663D" w:rsidRPr="00055039" w:rsidTr="0021663D">
        <w:trPr>
          <w:trHeight w:val="315"/>
        </w:trPr>
        <w:tc>
          <w:tcPr>
            <w:tcW w:w="724" w:type="pct"/>
            <w:shd w:val="clear" w:color="auto" w:fill="auto"/>
          </w:tcPr>
          <w:p w:rsidR="0021663D" w:rsidRPr="00055039" w:rsidRDefault="0021663D" w:rsidP="00B745CC">
            <w:pPr>
              <w:pStyle w:val="Tabulka"/>
            </w:pPr>
          </w:p>
        </w:tc>
        <w:tc>
          <w:tcPr>
            <w:tcW w:w="4276" w:type="pct"/>
            <w:shd w:val="clear" w:color="auto" w:fill="auto"/>
          </w:tcPr>
          <w:p w:rsidR="0021663D" w:rsidRPr="00055039" w:rsidRDefault="0021663D" w:rsidP="00B745CC">
            <w:pPr>
              <w:pStyle w:val="Tabulka"/>
            </w:pPr>
          </w:p>
        </w:tc>
      </w:tr>
      <w:tr w:rsidR="0021663D" w:rsidRPr="00055039" w:rsidTr="0021663D">
        <w:trPr>
          <w:cantSplit/>
          <w:trHeight w:val="315"/>
        </w:trPr>
        <w:tc>
          <w:tcPr>
            <w:tcW w:w="724" w:type="pct"/>
            <w:shd w:val="clear" w:color="auto" w:fill="auto"/>
          </w:tcPr>
          <w:p w:rsidR="0021663D" w:rsidRPr="00055039" w:rsidRDefault="0021663D" w:rsidP="00B745CC">
            <w:pPr>
              <w:pStyle w:val="Tabulka"/>
            </w:pPr>
          </w:p>
        </w:tc>
        <w:tc>
          <w:tcPr>
            <w:tcW w:w="4276" w:type="pct"/>
            <w:shd w:val="clear" w:color="auto" w:fill="auto"/>
          </w:tcPr>
          <w:p w:rsidR="0021663D" w:rsidRPr="00055039" w:rsidRDefault="0021663D" w:rsidP="00B745CC">
            <w:pPr>
              <w:pStyle w:val="Tabulka"/>
            </w:pPr>
          </w:p>
        </w:tc>
      </w:tr>
      <w:tr w:rsidR="00FF6E1D" w:rsidRPr="00055039" w:rsidTr="0021663D">
        <w:trPr>
          <w:cantSplit/>
          <w:trHeight w:val="315"/>
        </w:trPr>
        <w:tc>
          <w:tcPr>
            <w:tcW w:w="724" w:type="pct"/>
            <w:shd w:val="clear" w:color="auto" w:fill="auto"/>
          </w:tcPr>
          <w:p w:rsidR="00FF6E1D" w:rsidRPr="00055039" w:rsidRDefault="00FF6E1D" w:rsidP="00B745CC">
            <w:pPr>
              <w:pStyle w:val="Tabulka"/>
            </w:pPr>
          </w:p>
        </w:tc>
        <w:tc>
          <w:tcPr>
            <w:tcW w:w="4276" w:type="pct"/>
            <w:shd w:val="clear" w:color="auto" w:fill="auto"/>
          </w:tcPr>
          <w:p w:rsidR="00FF6E1D" w:rsidRPr="00055039" w:rsidRDefault="00FF6E1D" w:rsidP="00B745CC">
            <w:pPr>
              <w:pStyle w:val="Tabulka"/>
            </w:pPr>
          </w:p>
        </w:tc>
      </w:tr>
    </w:tbl>
    <w:sdt>
      <w:sdtPr>
        <w:rPr>
          <w:rFonts w:ascii="Times New Roman" w:eastAsia="Times New Roman" w:hAnsi="Times New Roman" w:cs="Times New Roman"/>
          <w:color w:val="auto"/>
          <w:sz w:val="24"/>
          <w:szCs w:val="23"/>
        </w:rPr>
        <w:id w:val="447199036"/>
        <w:docPartObj>
          <w:docPartGallery w:val="Table of Contents"/>
          <w:docPartUnique/>
        </w:docPartObj>
      </w:sdtPr>
      <w:sdtEndPr>
        <w:rPr>
          <w:b/>
          <w:bCs/>
        </w:rPr>
      </w:sdtEndPr>
      <w:sdtContent>
        <w:p w:rsidR="00FF6E1D" w:rsidRDefault="00FF6E1D">
          <w:pPr>
            <w:pStyle w:val="Nadpisobsahu"/>
            <w:rPr>
              <w:rFonts w:ascii="Times New Roman" w:eastAsia="Times New Roman" w:hAnsi="Times New Roman" w:cs="Times New Roman"/>
              <w:color w:val="auto"/>
              <w:sz w:val="24"/>
              <w:szCs w:val="23"/>
            </w:rPr>
          </w:pPr>
        </w:p>
        <w:p w:rsidR="006E267D" w:rsidRDefault="006E267D">
          <w:pPr>
            <w:pStyle w:val="Nadpisobsahu"/>
          </w:pPr>
          <w:r>
            <w:t>Obsah</w:t>
          </w:r>
        </w:p>
        <w:p w:rsidR="003E1116" w:rsidRDefault="00E4776A">
          <w:pPr>
            <w:pStyle w:val="Obsah1"/>
            <w:tabs>
              <w:tab w:val="right" w:leader="dot" w:pos="9062"/>
            </w:tabs>
            <w:rPr>
              <w:rFonts w:asciiTheme="minorHAnsi" w:eastAsiaTheme="minorEastAsia" w:hAnsiTheme="minorHAnsi" w:cstheme="minorBidi"/>
              <w:noProof/>
              <w:sz w:val="22"/>
              <w:szCs w:val="22"/>
            </w:rPr>
          </w:pPr>
          <w:r w:rsidRPr="00E4776A">
            <w:fldChar w:fldCharType="begin"/>
          </w:r>
          <w:r w:rsidR="006E267D">
            <w:instrText xml:space="preserve"> TOC \o "1-3" \h \z \u </w:instrText>
          </w:r>
          <w:r w:rsidRPr="00E4776A">
            <w:fldChar w:fldCharType="separate"/>
          </w:r>
          <w:hyperlink w:anchor="_Toc525760678" w:history="1">
            <w:r w:rsidR="003E1116" w:rsidRPr="0077509B">
              <w:rPr>
                <w:rStyle w:val="Hypertextovodkaz"/>
                <w:noProof/>
              </w:rPr>
              <w:t>Seznam použitých zkratek</w:t>
            </w:r>
            <w:r w:rsidR="003E1116">
              <w:rPr>
                <w:noProof/>
                <w:webHidden/>
              </w:rPr>
              <w:tab/>
            </w:r>
            <w:r>
              <w:rPr>
                <w:noProof/>
                <w:webHidden/>
              </w:rPr>
              <w:fldChar w:fldCharType="begin"/>
            </w:r>
            <w:r w:rsidR="003E1116">
              <w:rPr>
                <w:noProof/>
                <w:webHidden/>
              </w:rPr>
              <w:instrText xml:space="preserve"> PAGEREF _Toc525760678 \h </w:instrText>
            </w:r>
            <w:r>
              <w:rPr>
                <w:noProof/>
                <w:webHidden/>
              </w:rPr>
            </w:r>
            <w:r>
              <w:rPr>
                <w:noProof/>
                <w:webHidden/>
              </w:rPr>
              <w:fldChar w:fldCharType="separate"/>
            </w:r>
            <w:r w:rsidR="003E1116">
              <w:rPr>
                <w:noProof/>
                <w:webHidden/>
              </w:rPr>
              <w:t>2</w:t>
            </w:r>
            <w:r>
              <w:rPr>
                <w:noProof/>
                <w:webHidden/>
              </w:rPr>
              <w:fldChar w:fldCharType="end"/>
            </w:r>
          </w:hyperlink>
        </w:p>
        <w:p w:rsidR="003E1116" w:rsidRDefault="00E4776A">
          <w:pPr>
            <w:pStyle w:val="Obsah1"/>
            <w:tabs>
              <w:tab w:val="left" w:pos="1100"/>
              <w:tab w:val="right" w:leader="dot" w:pos="9062"/>
            </w:tabs>
            <w:rPr>
              <w:rFonts w:asciiTheme="minorHAnsi" w:eastAsiaTheme="minorEastAsia" w:hAnsiTheme="minorHAnsi" w:cstheme="minorBidi"/>
              <w:noProof/>
              <w:sz w:val="22"/>
              <w:szCs w:val="22"/>
            </w:rPr>
          </w:pPr>
          <w:hyperlink w:anchor="_Toc525760679" w:history="1">
            <w:r w:rsidR="003E1116" w:rsidRPr="0077509B">
              <w:rPr>
                <w:rStyle w:val="Hypertextovodkaz"/>
                <w:noProof/>
              </w:rPr>
              <w:t>1.</w:t>
            </w:r>
            <w:r w:rsidR="003E1116">
              <w:rPr>
                <w:rFonts w:asciiTheme="minorHAnsi" w:eastAsiaTheme="minorEastAsia" w:hAnsiTheme="minorHAnsi" w:cstheme="minorBidi"/>
                <w:noProof/>
                <w:sz w:val="22"/>
                <w:szCs w:val="22"/>
              </w:rPr>
              <w:tab/>
            </w:r>
            <w:r w:rsidR="003E1116" w:rsidRPr="0077509B">
              <w:rPr>
                <w:rStyle w:val="Hypertextovodkaz"/>
                <w:noProof/>
              </w:rPr>
              <w:t>Stanovení skutečného problému, na který má politika reagovat Co je skutečným problémem, na který má/by měla politika v rámci jednotlivých dílčích cílů reagovat?</w:t>
            </w:r>
            <w:r w:rsidR="003E1116">
              <w:rPr>
                <w:noProof/>
                <w:webHidden/>
              </w:rPr>
              <w:tab/>
            </w:r>
            <w:r>
              <w:rPr>
                <w:noProof/>
                <w:webHidden/>
              </w:rPr>
              <w:fldChar w:fldCharType="begin"/>
            </w:r>
            <w:r w:rsidR="003E1116">
              <w:rPr>
                <w:noProof/>
                <w:webHidden/>
              </w:rPr>
              <w:instrText xml:space="preserve"> PAGEREF _Toc525760679 \h </w:instrText>
            </w:r>
            <w:r>
              <w:rPr>
                <w:noProof/>
                <w:webHidden/>
              </w:rPr>
            </w:r>
            <w:r>
              <w:rPr>
                <w:noProof/>
                <w:webHidden/>
              </w:rPr>
              <w:fldChar w:fldCharType="separate"/>
            </w:r>
            <w:r w:rsidR="003E1116">
              <w:rPr>
                <w:noProof/>
                <w:webHidden/>
              </w:rPr>
              <w:t>4</w:t>
            </w:r>
            <w:r>
              <w:rPr>
                <w:noProof/>
                <w:webHidden/>
              </w:rPr>
              <w:fldChar w:fldCharType="end"/>
            </w:r>
          </w:hyperlink>
        </w:p>
        <w:p w:rsidR="003E1116" w:rsidRDefault="00E4776A">
          <w:pPr>
            <w:pStyle w:val="Obsah1"/>
            <w:tabs>
              <w:tab w:val="left" w:pos="1100"/>
              <w:tab w:val="right" w:leader="dot" w:pos="9062"/>
            </w:tabs>
            <w:rPr>
              <w:rFonts w:asciiTheme="minorHAnsi" w:eastAsiaTheme="minorEastAsia" w:hAnsiTheme="minorHAnsi" w:cstheme="minorBidi"/>
              <w:noProof/>
              <w:sz w:val="22"/>
              <w:szCs w:val="22"/>
            </w:rPr>
          </w:pPr>
          <w:hyperlink w:anchor="_Toc525760680" w:history="1">
            <w:r w:rsidR="003E1116" w:rsidRPr="0077509B">
              <w:rPr>
                <w:rStyle w:val="Hypertextovodkaz"/>
                <w:noProof/>
              </w:rPr>
              <w:t>2.</w:t>
            </w:r>
            <w:r w:rsidR="003E1116">
              <w:rPr>
                <w:rFonts w:asciiTheme="minorHAnsi" w:eastAsiaTheme="minorEastAsia" w:hAnsiTheme="minorHAnsi" w:cstheme="minorBidi"/>
                <w:noProof/>
                <w:sz w:val="22"/>
                <w:szCs w:val="22"/>
              </w:rPr>
              <w:tab/>
            </w:r>
            <w:r w:rsidR="003E1116" w:rsidRPr="0077509B">
              <w:rPr>
                <w:rStyle w:val="Hypertextovodkaz"/>
                <w:noProof/>
              </w:rPr>
              <w:t>Mechanismus a příčiny problému</w:t>
            </w:r>
            <w:r w:rsidR="003E1116">
              <w:rPr>
                <w:noProof/>
                <w:webHidden/>
              </w:rPr>
              <w:tab/>
            </w:r>
            <w:r>
              <w:rPr>
                <w:noProof/>
                <w:webHidden/>
              </w:rPr>
              <w:fldChar w:fldCharType="begin"/>
            </w:r>
            <w:r w:rsidR="003E1116">
              <w:rPr>
                <w:noProof/>
                <w:webHidden/>
              </w:rPr>
              <w:instrText xml:space="preserve"> PAGEREF _Toc525760680 \h </w:instrText>
            </w:r>
            <w:r>
              <w:rPr>
                <w:noProof/>
                <w:webHidden/>
              </w:rPr>
            </w:r>
            <w:r>
              <w:rPr>
                <w:noProof/>
                <w:webHidden/>
              </w:rPr>
              <w:fldChar w:fldCharType="separate"/>
            </w:r>
            <w:r w:rsidR="003E1116">
              <w:rPr>
                <w:noProof/>
                <w:webHidden/>
              </w:rPr>
              <w:t>17</w:t>
            </w:r>
            <w:r>
              <w:rPr>
                <w:noProof/>
                <w:webHidden/>
              </w:rPr>
              <w:fldChar w:fldCharType="end"/>
            </w:r>
          </w:hyperlink>
        </w:p>
        <w:p w:rsidR="003E1116" w:rsidRDefault="00E4776A">
          <w:pPr>
            <w:pStyle w:val="Obsah1"/>
            <w:tabs>
              <w:tab w:val="left" w:pos="1100"/>
              <w:tab w:val="right" w:leader="dot" w:pos="9062"/>
            </w:tabs>
            <w:rPr>
              <w:rFonts w:asciiTheme="minorHAnsi" w:eastAsiaTheme="minorEastAsia" w:hAnsiTheme="minorHAnsi" w:cstheme="minorBidi"/>
              <w:noProof/>
              <w:sz w:val="22"/>
              <w:szCs w:val="22"/>
            </w:rPr>
          </w:pPr>
          <w:hyperlink w:anchor="_Toc525760681" w:history="1">
            <w:r w:rsidR="003E1116" w:rsidRPr="0077509B">
              <w:rPr>
                <w:rStyle w:val="Hypertextovodkaz"/>
                <w:noProof/>
              </w:rPr>
              <w:t>3.</w:t>
            </w:r>
            <w:r w:rsidR="003E1116">
              <w:rPr>
                <w:rFonts w:asciiTheme="minorHAnsi" w:eastAsiaTheme="minorEastAsia" w:hAnsiTheme="minorHAnsi" w:cstheme="minorBidi"/>
                <w:noProof/>
                <w:sz w:val="22"/>
                <w:szCs w:val="22"/>
              </w:rPr>
              <w:tab/>
            </w:r>
            <w:r w:rsidR="003E1116" w:rsidRPr="0077509B">
              <w:rPr>
                <w:rStyle w:val="Hypertextovodkaz"/>
                <w:noProof/>
              </w:rPr>
              <w:t>Závažnost problému</w:t>
            </w:r>
            <w:r w:rsidR="003E1116">
              <w:rPr>
                <w:noProof/>
                <w:webHidden/>
              </w:rPr>
              <w:tab/>
            </w:r>
            <w:r>
              <w:rPr>
                <w:noProof/>
                <w:webHidden/>
              </w:rPr>
              <w:fldChar w:fldCharType="begin"/>
            </w:r>
            <w:r w:rsidR="003E1116">
              <w:rPr>
                <w:noProof/>
                <w:webHidden/>
              </w:rPr>
              <w:instrText xml:space="preserve"> PAGEREF _Toc525760681 \h </w:instrText>
            </w:r>
            <w:r>
              <w:rPr>
                <w:noProof/>
                <w:webHidden/>
              </w:rPr>
            </w:r>
            <w:r>
              <w:rPr>
                <w:noProof/>
                <w:webHidden/>
              </w:rPr>
              <w:fldChar w:fldCharType="separate"/>
            </w:r>
            <w:r w:rsidR="003E1116">
              <w:rPr>
                <w:noProof/>
                <w:webHidden/>
              </w:rPr>
              <w:t>19</w:t>
            </w:r>
            <w:r>
              <w:rPr>
                <w:noProof/>
                <w:webHidden/>
              </w:rPr>
              <w:fldChar w:fldCharType="end"/>
            </w:r>
          </w:hyperlink>
        </w:p>
        <w:p w:rsidR="003E1116" w:rsidRDefault="00E4776A">
          <w:pPr>
            <w:pStyle w:val="Obsah1"/>
            <w:tabs>
              <w:tab w:val="left" w:pos="1100"/>
              <w:tab w:val="right" w:leader="dot" w:pos="9062"/>
            </w:tabs>
            <w:rPr>
              <w:rFonts w:asciiTheme="minorHAnsi" w:eastAsiaTheme="minorEastAsia" w:hAnsiTheme="minorHAnsi" w:cstheme="minorBidi"/>
              <w:noProof/>
              <w:sz w:val="22"/>
              <w:szCs w:val="22"/>
            </w:rPr>
          </w:pPr>
          <w:hyperlink w:anchor="_Toc525760682" w:history="1">
            <w:r w:rsidR="003E1116" w:rsidRPr="0077509B">
              <w:rPr>
                <w:rStyle w:val="Hypertextovodkaz"/>
                <w:noProof/>
              </w:rPr>
              <w:t>4.</w:t>
            </w:r>
            <w:r w:rsidR="003E1116">
              <w:rPr>
                <w:rFonts w:asciiTheme="minorHAnsi" w:eastAsiaTheme="minorEastAsia" w:hAnsiTheme="minorHAnsi" w:cstheme="minorBidi"/>
                <w:noProof/>
                <w:sz w:val="22"/>
                <w:szCs w:val="22"/>
              </w:rPr>
              <w:tab/>
            </w:r>
            <w:r w:rsidR="003E1116" w:rsidRPr="0077509B">
              <w:rPr>
                <w:rStyle w:val="Hypertextovodkaz"/>
                <w:noProof/>
              </w:rPr>
              <w:t>SWOT analýza a potřeby</w:t>
            </w:r>
            <w:r w:rsidR="003E1116">
              <w:rPr>
                <w:noProof/>
                <w:webHidden/>
              </w:rPr>
              <w:tab/>
            </w:r>
            <w:r>
              <w:rPr>
                <w:noProof/>
                <w:webHidden/>
              </w:rPr>
              <w:fldChar w:fldCharType="begin"/>
            </w:r>
            <w:r w:rsidR="003E1116">
              <w:rPr>
                <w:noProof/>
                <w:webHidden/>
              </w:rPr>
              <w:instrText xml:space="preserve"> PAGEREF _Toc525760682 \h </w:instrText>
            </w:r>
            <w:r>
              <w:rPr>
                <w:noProof/>
                <w:webHidden/>
              </w:rPr>
            </w:r>
            <w:r>
              <w:rPr>
                <w:noProof/>
                <w:webHidden/>
              </w:rPr>
              <w:fldChar w:fldCharType="separate"/>
            </w:r>
            <w:r w:rsidR="003E1116">
              <w:rPr>
                <w:noProof/>
                <w:webHidden/>
              </w:rPr>
              <w:t>20</w:t>
            </w:r>
            <w:r>
              <w:rPr>
                <w:noProof/>
                <w:webHidden/>
              </w:rPr>
              <w:fldChar w:fldCharType="end"/>
            </w:r>
          </w:hyperlink>
        </w:p>
        <w:p w:rsidR="003E1116" w:rsidRDefault="00E4776A">
          <w:pPr>
            <w:pStyle w:val="Obsah1"/>
            <w:tabs>
              <w:tab w:val="left" w:pos="1320"/>
              <w:tab w:val="right" w:leader="dot" w:pos="9062"/>
            </w:tabs>
            <w:rPr>
              <w:rFonts w:asciiTheme="minorHAnsi" w:eastAsiaTheme="minorEastAsia" w:hAnsiTheme="minorHAnsi" w:cstheme="minorBidi"/>
              <w:noProof/>
              <w:sz w:val="22"/>
              <w:szCs w:val="22"/>
            </w:rPr>
          </w:pPr>
          <w:hyperlink w:anchor="_Toc525760683" w:history="1">
            <w:r w:rsidR="003E1116" w:rsidRPr="0077509B">
              <w:rPr>
                <w:rStyle w:val="Hypertextovodkaz"/>
                <w:noProof/>
              </w:rPr>
              <w:t>4.1.</w:t>
            </w:r>
            <w:r w:rsidR="003E1116">
              <w:rPr>
                <w:rFonts w:asciiTheme="minorHAnsi" w:eastAsiaTheme="minorEastAsia" w:hAnsiTheme="minorHAnsi" w:cstheme="minorBidi"/>
                <w:noProof/>
                <w:sz w:val="22"/>
                <w:szCs w:val="22"/>
              </w:rPr>
              <w:tab/>
            </w:r>
            <w:r w:rsidR="003E1116" w:rsidRPr="0077509B">
              <w:rPr>
                <w:rStyle w:val="Hypertextovodkaz"/>
                <w:noProof/>
              </w:rPr>
              <w:t>SWOT ANALÝZA</w:t>
            </w:r>
            <w:r w:rsidR="003E1116">
              <w:rPr>
                <w:noProof/>
                <w:webHidden/>
              </w:rPr>
              <w:tab/>
            </w:r>
            <w:r>
              <w:rPr>
                <w:noProof/>
                <w:webHidden/>
              </w:rPr>
              <w:fldChar w:fldCharType="begin"/>
            </w:r>
            <w:r w:rsidR="003E1116">
              <w:rPr>
                <w:noProof/>
                <w:webHidden/>
              </w:rPr>
              <w:instrText xml:space="preserve"> PAGEREF _Toc525760683 \h </w:instrText>
            </w:r>
            <w:r>
              <w:rPr>
                <w:noProof/>
                <w:webHidden/>
              </w:rPr>
            </w:r>
            <w:r>
              <w:rPr>
                <w:noProof/>
                <w:webHidden/>
              </w:rPr>
              <w:fldChar w:fldCharType="separate"/>
            </w:r>
            <w:r w:rsidR="003E1116">
              <w:rPr>
                <w:noProof/>
                <w:webHidden/>
              </w:rPr>
              <w:t>20</w:t>
            </w:r>
            <w:r>
              <w:rPr>
                <w:noProof/>
                <w:webHidden/>
              </w:rPr>
              <w:fldChar w:fldCharType="end"/>
            </w:r>
          </w:hyperlink>
        </w:p>
        <w:p w:rsidR="003E1116" w:rsidRDefault="00E4776A">
          <w:pPr>
            <w:pStyle w:val="Obsah1"/>
            <w:tabs>
              <w:tab w:val="left" w:pos="1320"/>
              <w:tab w:val="right" w:leader="dot" w:pos="9062"/>
            </w:tabs>
            <w:rPr>
              <w:rFonts w:asciiTheme="minorHAnsi" w:eastAsiaTheme="minorEastAsia" w:hAnsiTheme="minorHAnsi" w:cstheme="minorBidi"/>
              <w:noProof/>
              <w:sz w:val="22"/>
              <w:szCs w:val="22"/>
            </w:rPr>
          </w:pPr>
          <w:hyperlink w:anchor="_Toc525760684" w:history="1">
            <w:r w:rsidR="003E1116" w:rsidRPr="0077509B">
              <w:rPr>
                <w:rStyle w:val="Hypertextovodkaz"/>
                <w:noProof/>
              </w:rPr>
              <w:t>4.2.</w:t>
            </w:r>
            <w:r w:rsidR="003E1116">
              <w:rPr>
                <w:rFonts w:asciiTheme="minorHAnsi" w:eastAsiaTheme="minorEastAsia" w:hAnsiTheme="minorHAnsi" w:cstheme="minorBidi"/>
                <w:noProof/>
                <w:sz w:val="22"/>
                <w:szCs w:val="22"/>
              </w:rPr>
              <w:tab/>
            </w:r>
            <w:r w:rsidR="003E1116" w:rsidRPr="0077509B">
              <w:rPr>
                <w:rStyle w:val="Hypertextovodkaz"/>
                <w:noProof/>
              </w:rPr>
              <w:t>Přehled potřeb</w:t>
            </w:r>
            <w:r w:rsidR="003E1116">
              <w:rPr>
                <w:noProof/>
                <w:webHidden/>
              </w:rPr>
              <w:tab/>
            </w:r>
            <w:r>
              <w:rPr>
                <w:noProof/>
                <w:webHidden/>
              </w:rPr>
              <w:fldChar w:fldCharType="begin"/>
            </w:r>
            <w:r w:rsidR="003E1116">
              <w:rPr>
                <w:noProof/>
                <w:webHidden/>
              </w:rPr>
              <w:instrText xml:space="preserve"> PAGEREF _Toc525760684 \h </w:instrText>
            </w:r>
            <w:r>
              <w:rPr>
                <w:noProof/>
                <w:webHidden/>
              </w:rPr>
            </w:r>
            <w:r>
              <w:rPr>
                <w:noProof/>
                <w:webHidden/>
              </w:rPr>
              <w:fldChar w:fldCharType="separate"/>
            </w:r>
            <w:r w:rsidR="003E1116">
              <w:rPr>
                <w:noProof/>
                <w:webHidden/>
              </w:rPr>
              <w:t>20</w:t>
            </w:r>
            <w:r>
              <w:rPr>
                <w:noProof/>
                <w:webHidden/>
              </w:rPr>
              <w:fldChar w:fldCharType="end"/>
            </w:r>
          </w:hyperlink>
        </w:p>
        <w:p w:rsidR="003E1116" w:rsidRDefault="00E4776A">
          <w:pPr>
            <w:pStyle w:val="Obsah1"/>
            <w:tabs>
              <w:tab w:val="left" w:pos="1320"/>
              <w:tab w:val="right" w:leader="dot" w:pos="9062"/>
            </w:tabs>
            <w:rPr>
              <w:rFonts w:asciiTheme="minorHAnsi" w:eastAsiaTheme="minorEastAsia" w:hAnsiTheme="minorHAnsi" w:cstheme="minorBidi"/>
              <w:noProof/>
              <w:sz w:val="22"/>
              <w:szCs w:val="22"/>
            </w:rPr>
          </w:pPr>
          <w:hyperlink w:anchor="_Toc525760685" w:history="1">
            <w:r w:rsidR="003E1116" w:rsidRPr="0077509B">
              <w:rPr>
                <w:rStyle w:val="Hypertextovodkaz"/>
                <w:noProof/>
              </w:rPr>
              <w:t>4.3.</w:t>
            </w:r>
            <w:r w:rsidR="003E1116">
              <w:rPr>
                <w:rFonts w:asciiTheme="minorHAnsi" w:eastAsiaTheme="minorEastAsia" w:hAnsiTheme="minorHAnsi" w:cstheme="minorBidi"/>
                <w:noProof/>
                <w:sz w:val="22"/>
                <w:szCs w:val="22"/>
              </w:rPr>
              <w:tab/>
            </w:r>
            <w:r w:rsidR="003E1116" w:rsidRPr="0077509B">
              <w:rPr>
                <w:rStyle w:val="Hypertextovodkaz"/>
                <w:noProof/>
              </w:rPr>
              <w:t>Zdůvodnění potřeb</w:t>
            </w:r>
            <w:r w:rsidR="003E1116">
              <w:rPr>
                <w:noProof/>
                <w:webHidden/>
              </w:rPr>
              <w:tab/>
            </w:r>
            <w:r>
              <w:rPr>
                <w:noProof/>
                <w:webHidden/>
              </w:rPr>
              <w:fldChar w:fldCharType="begin"/>
            </w:r>
            <w:r w:rsidR="003E1116">
              <w:rPr>
                <w:noProof/>
                <w:webHidden/>
              </w:rPr>
              <w:instrText xml:space="preserve"> PAGEREF _Toc525760685 \h </w:instrText>
            </w:r>
            <w:r>
              <w:rPr>
                <w:noProof/>
                <w:webHidden/>
              </w:rPr>
            </w:r>
            <w:r>
              <w:rPr>
                <w:noProof/>
                <w:webHidden/>
              </w:rPr>
              <w:fldChar w:fldCharType="separate"/>
            </w:r>
            <w:r w:rsidR="003E1116">
              <w:rPr>
                <w:noProof/>
                <w:webHidden/>
              </w:rPr>
              <w:t>21</w:t>
            </w:r>
            <w:r>
              <w:rPr>
                <w:noProof/>
                <w:webHidden/>
              </w:rPr>
              <w:fldChar w:fldCharType="end"/>
            </w:r>
          </w:hyperlink>
        </w:p>
        <w:p w:rsidR="003E1116" w:rsidRDefault="00E4776A">
          <w:pPr>
            <w:pStyle w:val="Obsah1"/>
            <w:tabs>
              <w:tab w:val="left" w:pos="1320"/>
              <w:tab w:val="right" w:leader="dot" w:pos="9062"/>
            </w:tabs>
            <w:rPr>
              <w:rFonts w:asciiTheme="minorHAnsi" w:eastAsiaTheme="minorEastAsia" w:hAnsiTheme="minorHAnsi" w:cstheme="minorBidi"/>
              <w:noProof/>
              <w:sz w:val="22"/>
              <w:szCs w:val="22"/>
            </w:rPr>
          </w:pPr>
          <w:hyperlink w:anchor="_Toc525760686" w:history="1">
            <w:r w:rsidR="003E1116" w:rsidRPr="0077509B">
              <w:rPr>
                <w:rStyle w:val="Hypertextovodkaz"/>
                <w:noProof/>
              </w:rPr>
              <w:t>4.4.</w:t>
            </w:r>
            <w:r w:rsidR="003E1116">
              <w:rPr>
                <w:rFonts w:asciiTheme="minorHAnsi" w:eastAsiaTheme="minorEastAsia" w:hAnsiTheme="minorHAnsi" w:cstheme="minorBidi"/>
                <w:noProof/>
                <w:sz w:val="22"/>
                <w:szCs w:val="22"/>
              </w:rPr>
              <w:tab/>
            </w:r>
            <w:r w:rsidR="003E1116" w:rsidRPr="0077509B">
              <w:rPr>
                <w:rStyle w:val="Hypertextovodkaz"/>
                <w:noProof/>
              </w:rPr>
              <w:t>Priority definovaných potřeb</w:t>
            </w:r>
            <w:r w:rsidR="003E1116">
              <w:rPr>
                <w:noProof/>
                <w:webHidden/>
              </w:rPr>
              <w:tab/>
            </w:r>
            <w:r>
              <w:rPr>
                <w:noProof/>
                <w:webHidden/>
              </w:rPr>
              <w:fldChar w:fldCharType="begin"/>
            </w:r>
            <w:r w:rsidR="003E1116">
              <w:rPr>
                <w:noProof/>
                <w:webHidden/>
              </w:rPr>
              <w:instrText xml:space="preserve"> PAGEREF _Toc525760686 \h </w:instrText>
            </w:r>
            <w:r>
              <w:rPr>
                <w:noProof/>
                <w:webHidden/>
              </w:rPr>
            </w:r>
            <w:r>
              <w:rPr>
                <w:noProof/>
                <w:webHidden/>
              </w:rPr>
              <w:fldChar w:fldCharType="separate"/>
            </w:r>
            <w:r w:rsidR="003E1116">
              <w:rPr>
                <w:noProof/>
                <w:webHidden/>
              </w:rPr>
              <w:t>21</w:t>
            </w:r>
            <w:r>
              <w:rPr>
                <w:noProof/>
                <w:webHidden/>
              </w:rPr>
              <w:fldChar w:fldCharType="end"/>
            </w:r>
          </w:hyperlink>
        </w:p>
        <w:p w:rsidR="003E1116" w:rsidRDefault="00E4776A">
          <w:pPr>
            <w:pStyle w:val="Obsah1"/>
            <w:tabs>
              <w:tab w:val="left" w:pos="1100"/>
              <w:tab w:val="right" w:leader="dot" w:pos="9062"/>
            </w:tabs>
            <w:rPr>
              <w:rFonts w:asciiTheme="minorHAnsi" w:eastAsiaTheme="minorEastAsia" w:hAnsiTheme="minorHAnsi" w:cstheme="minorBidi"/>
              <w:noProof/>
              <w:sz w:val="22"/>
              <w:szCs w:val="22"/>
            </w:rPr>
          </w:pPr>
          <w:hyperlink w:anchor="_Toc525760687" w:history="1">
            <w:r w:rsidR="003E1116" w:rsidRPr="0077509B">
              <w:rPr>
                <w:rStyle w:val="Hypertextovodkaz"/>
                <w:noProof/>
              </w:rPr>
              <w:t>5.</w:t>
            </w:r>
            <w:r w:rsidR="003E1116">
              <w:rPr>
                <w:rFonts w:asciiTheme="minorHAnsi" w:eastAsiaTheme="minorEastAsia" w:hAnsiTheme="minorHAnsi" w:cstheme="minorBidi"/>
                <w:noProof/>
                <w:sz w:val="22"/>
                <w:szCs w:val="22"/>
              </w:rPr>
              <w:tab/>
            </w:r>
            <w:r w:rsidR="003E1116" w:rsidRPr="0077509B">
              <w:rPr>
                <w:rStyle w:val="Hypertextovodkaz"/>
                <w:noProof/>
              </w:rPr>
              <w:t>Přehled navrhovaných opatření</w:t>
            </w:r>
            <w:r w:rsidR="003E1116">
              <w:rPr>
                <w:noProof/>
                <w:webHidden/>
              </w:rPr>
              <w:tab/>
            </w:r>
            <w:r>
              <w:rPr>
                <w:noProof/>
                <w:webHidden/>
              </w:rPr>
              <w:fldChar w:fldCharType="begin"/>
            </w:r>
            <w:r w:rsidR="003E1116">
              <w:rPr>
                <w:noProof/>
                <w:webHidden/>
              </w:rPr>
              <w:instrText xml:space="preserve"> PAGEREF _Toc525760687 \h </w:instrText>
            </w:r>
            <w:r>
              <w:rPr>
                <w:noProof/>
                <w:webHidden/>
              </w:rPr>
            </w:r>
            <w:r>
              <w:rPr>
                <w:noProof/>
                <w:webHidden/>
              </w:rPr>
              <w:fldChar w:fldCharType="separate"/>
            </w:r>
            <w:r w:rsidR="003E1116">
              <w:rPr>
                <w:noProof/>
                <w:webHidden/>
              </w:rPr>
              <w:t>22</w:t>
            </w:r>
            <w:r>
              <w:rPr>
                <w:noProof/>
                <w:webHidden/>
              </w:rPr>
              <w:fldChar w:fldCharType="end"/>
            </w:r>
          </w:hyperlink>
        </w:p>
        <w:p w:rsidR="006E267D" w:rsidRDefault="00E4776A">
          <w:r>
            <w:rPr>
              <w:b/>
              <w:bCs/>
            </w:rPr>
            <w:fldChar w:fldCharType="end"/>
          </w:r>
        </w:p>
      </w:sdtContent>
    </w:sdt>
    <w:p w:rsidR="006E267D" w:rsidRDefault="006E267D" w:rsidP="00E4113A">
      <w:pPr>
        <w:jc w:val="left"/>
        <w:rPr>
          <w:b/>
          <w:sz w:val="32"/>
        </w:rPr>
      </w:pPr>
    </w:p>
    <w:p w:rsidR="006E267D" w:rsidRDefault="006E267D" w:rsidP="00E4113A">
      <w:pPr>
        <w:jc w:val="left"/>
        <w:rPr>
          <w:b/>
          <w:sz w:val="32"/>
        </w:rPr>
      </w:pPr>
    </w:p>
    <w:p w:rsidR="006E267D" w:rsidRDefault="006E267D" w:rsidP="00E4113A">
      <w:pPr>
        <w:jc w:val="left"/>
        <w:rPr>
          <w:b/>
          <w:sz w:val="32"/>
        </w:rPr>
      </w:pPr>
    </w:p>
    <w:p w:rsidR="006E267D" w:rsidRDefault="006E267D" w:rsidP="00E4113A">
      <w:pPr>
        <w:jc w:val="left"/>
        <w:rPr>
          <w:b/>
          <w:sz w:val="32"/>
        </w:rPr>
      </w:pPr>
    </w:p>
    <w:p w:rsidR="006E267D" w:rsidRDefault="006E267D" w:rsidP="00E4113A">
      <w:pPr>
        <w:jc w:val="left"/>
        <w:rPr>
          <w:b/>
          <w:sz w:val="32"/>
        </w:rPr>
      </w:pPr>
    </w:p>
    <w:p w:rsidR="006E267D" w:rsidRDefault="006E267D" w:rsidP="00E4113A">
      <w:pPr>
        <w:jc w:val="left"/>
        <w:rPr>
          <w:b/>
          <w:sz w:val="32"/>
        </w:rPr>
      </w:pPr>
    </w:p>
    <w:p w:rsidR="006E267D" w:rsidRDefault="006E267D" w:rsidP="00E4113A">
      <w:pPr>
        <w:jc w:val="left"/>
        <w:rPr>
          <w:b/>
          <w:sz w:val="32"/>
        </w:rPr>
      </w:pPr>
    </w:p>
    <w:p w:rsidR="006E267D" w:rsidRDefault="006E267D" w:rsidP="00E4113A">
      <w:pPr>
        <w:jc w:val="left"/>
        <w:rPr>
          <w:b/>
          <w:sz w:val="32"/>
        </w:rPr>
      </w:pPr>
    </w:p>
    <w:p w:rsidR="006E267D" w:rsidRDefault="006E267D" w:rsidP="00E4113A">
      <w:pPr>
        <w:jc w:val="left"/>
        <w:rPr>
          <w:b/>
          <w:sz w:val="32"/>
        </w:rPr>
      </w:pPr>
    </w:p>
    <w:p w:rsidR="006E267D" w:rsidRDefault="006E267D" w:rsidP="00E4113A">
      <w:pPr>
        <w:jc w:val="left"/>
        <w:rPr>
          <w:b/>
          <w:sz w:val="32"/>
        </w:rPr>
      </w:pPr>
    </w:p>
    <w:p w:rsidR="006E267D" w:rsidRDefault="006E267D" w:rsidP="00E4113A">
      <w:pPr>
        <w:jc w:val="left"/>
        <w:rPr>
          <w:b/>
          <w:sz w:val="32"/>
        </w:rPr>
      </w:pPr>
    </w:p>
    <w:p w:rsidR="003E1116" w:rsidRDefault="003E1116" w:rsidP="00E4113A">
      <w:pPr>
        <w:jc w:val="left"/>
        <w:rPr>
          <w:b/>
          <w:sz w:val="32"/>
        </w:rPr>
      </w:pPr>
    </w:p>
    <w:p w:rsidR="003E1116" w:rsidRDefault="003E1116" w:rsidP="00E4113A">
      <w:pPr>
        <w:jc w:val="left"/>
        <w:rPr>
          <w:b/>
          <w:sz w:val="32"/>
        </w:rPr>
      </w:pPr>
    </w:p>
    <w:p w:rsidR="006E267D" w:rsidRDefault="006E267D" w:rsidP="00E4113A">
      <w:pPr>
        <w:jc w:val="left"/>
        <w:rPr>
          <w:b/>
          <w:sz w:val="32"/>
        </w:rPr>
      </w:pPr>
    </w:p>
    <w:p w:rsidR="006E267D" w:rsidRDefault="006E267D" w:rsidP="00E4113A">
      <w:pPr>
        <w:jc w:val="left"/>
        <w:rPr>
          <w:b/>
          <w:sz w:val="32"/>
        </w:rPr>
      </w:pPr>
    </w:p>
    <w:p w:rsidR="006E267D" w:rsidRDefault="006E267D" w:rsidP="00E4113A">
      <w:pPr>
        <w:jc w:val="left"/>
        <w:rPr>
          <w:b/>
          <w:sz w:val="32"/>
        </w:rPr>
      </w:pPr>
    </w:p>
    <w:p w:rsidR="009537AB" w:rsidRPr="00CB4250" w:rsidRDefault="009537AB" w:rsidP="009537AB">
      <w:pPr>
        <w:pStyle w:val="Nadpis1"/>
        <w:numPr>
          <w:ilvl w:val="0"/>
          <w:numId w:val="1"/>
        </w:numPr>
      </w:pPr>
      <w:bookmarkStart w:id="3" w:name="_Toc525760679"/>
      <w:r w:rsidRPr="00CB4250">
        <w:t>Stanovení skutečného problému, na který má politika reagovat Co je skutečným problémem, na který má/by měla politika v rámci jednotlivých dílčích cílů reagovat?</w:t>
      </w:r>
      <w:bookmarkEnd w:id="3"/>
    </w:p>
    <w:p w:rsidR="009537AB" w:rsidRPr="00CB4250" w:rsidRDefault="009537AB" w:rsidP="009537AB">
      <w:pPr>
        <w:rPr>
          <w:lang/>
        </w:rPr>
      </w:pPr>
    </w:p>
    <w:p w:rsidR="00DE000B" w:rsidRDefault="00685F55" w:rsidP="000B28B3">
      <w:pPr>
        <w:ind w:firstLine="0"/>
        <w:rPr>
          <w:rFonts w:ascii="Calibri" w:eastAsia="Calibri" w:hAnsi="Calibri"/>
          <w:sz w:val="22"/>
          <w:szCs w:val="22"/>
          <w:lang w:eastAsia="en-US"/>
        </w:rPr>
      </w:pPr>
      <w:r w:rsidRPr="009230A6">
        <w:rPr>
          <w:rFonts w:ascii="Calibri" w:eastAsia="Calibri" w:hAnsi="Calibri"/>
          <w:b/>
          <w:sz w:val="22"/>
          <w:szCs w:val="22"/>
          <w:lang w:eastAsia="en-US"/>
        </w:rPr>
        <w:t>U výrobců, kteří se</w:t>
      </w:r>
      <w:r w:rsidR="009537AB" w:rsidRPr="009230A6">
        <w:rPr>
          <w:rFonts w:ascii="Calibri" w:eastAsia="Calibri" w:hAnsi="Calibri"/>
          <w:b/>
          <w:sz w:val="22"/>
          <w:szCs w:val="22"/>
          <w:lang w:eastAsia="en-US"/>
        </w:rPr>
        <w:t xml:space="preserve"> aktivně nezap</w:t>
      </w:r>
      <w:r w:rsidRPr="009230A6">
        <w:rPr>
          <w:rFonts w:ascii="Calibri" w:eastAsia="Calibri" w:hAnsi="Calibri"/>
          <w:b/>
          <w:sz w:val="22"/>
          <w:szCs w:val="22"/>
          <w:lang w:eastAsia="en-US"/>
        </w:rPr>
        <w:t>ojují</w:t>
      </w:r>
      <w:r w:rsidR="009537AB" w:rsidRPr="009230A6">
        <w:rPr>
          <w:rFonts w:ascii="Calibri" w:eastAsia="Calibri" w:hAnsi="Calibri"/>
          <w:b/>
          <w:sz w:val="22"/>
          <w:szCs w:val="22"/>
          <w:lang w:eastAsia="en-US"/>
        </w:rPr>
        <w:t xml:space="preserve"> do </w:t>
      </w:r>
      <w:r w:rsidR="004D6D61">
        <w:rPr>
          <w:rFonts w:ascii="Calibri" w:eastAsia="Calibri" w:hAnsi="Calibri"/>
          <w:b/>
          <w:sz w:val="22"/>
          <w:szCs w:val="22"/>
          <w:lang w:eastAsia="en-US"/>
        </w:rPr>
        <w:t>odbytu svých výrobků</w:t>
      </w:r>
      <w:r w:rsidR="009537AB" w:rsidRPr="009230A6">
        <w:rPr>
          <w:rFonts w:ascii="Calibri" w:eastAsia="Calibri" w:hAnsi="Calibri"/>
          <w:b/>
          <w:sz w:val="22"/>
          <w:szCs w:val="22"/>
          <w:lang w:eastAsia="en-US"/>
        </w:rPr>
        <w:t xml:space="preserve">, ať kapitálově či organizačně, </w:t>
      </w:r>
      <w:r w:rsidRPr="009230A6">
        <w:rPr>
          <w:rFonts w:ascii="Calibri" w:eastAsia="Calibri" w:hAnsi="Calibri"/>
          <w:b/>
          <w:sz w:val="22"/>
          <w:szCs w:val="22"/>
          <w:lang w:eastAsia="en-US"/>
        </w:rPr>
        <w:t>rozhoduj</w:t>
      </w:r>
      <w:r w:rsidR="009230A6" w:rsidRPr="009230A6">
        <w:rPr>
          <w:rFonts w:ascii="Calibri" w:eastAsia="Calibri" w:hAnsi="Calibri"/>
          <w:b/>
          <w:sz w:val="22"/>
          <w:szCs w:val="22"/>
          <w:lang w:eastAsia="en-US"/>
        </w:rPr>
        <w:t>í</w:t>
      </w:r>
      <w:r w:rsidRPr="009230A6">
        <w:rPr>
          <w:rFonts w:ascii="Calibri" w:eastAsia="Calibri" w:hAnsi="Calibri"/>
          <w:b/>
          <w:sz w:val="22"/>
          <w:szCs w:val="22"/>
          <w:lang w:eastAsia="en-US"/>
        </w:rPr>
        <w:t xml:space="preserve"> </w:t>
      </w:r>
      <w:r w:rsidR="009537AB" w:rsidRPr="009230A6">
        <w:rPr>
          <w:rFonts w:ascii="Calibri" w:eastAsia="Calibri" w:hAnsi="Calibri"/>
          <w:b/>
          <w:sz w:val="22"/>
          <w:szCs w:val="22"/>
          <w:lang w:eastAsia="en-US"/>
        </w:rPr>
        <w:t xml:space="preserve">o úspěšné realizaci jejich produkce u konečného </w:t>
      </w:r>
      <w:r w:rsidR="00FB51E8">
        <w:rPr>
          <w:rFonts w:ascii="Calibri" w:eastAsia="Calibri" w:hAnsi="Calibri"/>
          <w:b/>
          <w:sz w:val="22"/>
          <w:szCs w:val="22"/>
          <w:lang w:eastAsia="en-US"/>
        </w:rPr>
        <w:t>článku vertikály (</w:t>
      </w:r>
      <w:r w:rsidR="009537AB" w:rsidRPr="009230A6">
        <w:rPr>
          <w:rFonts w:ascii="Calibri" w:eastAsia="Calibri" w:hAnsi="Calibri"/>
          <w:b/>
          <w:sz w:val="22"/>
          <w:szCs w:val="22"/>
          <w:lang w:eastAsia="en-US"/>
        </w:rPr>
        <w:t>spotřebitele</w:t>
      </w:r>
      <w:r w:rsidR="00FB51E8">
        <w:rPr>
          <w:rFonts w:ascii="Calibri" w:eastAsia="Calibri" w:hAnsi="Calibri"/>
          <w:b/>
          <w:sz w:val="22"/>
          <w:szCs w:val="22"/>
          <w:lang w:eastAsia="en-US"/>
        </w:rPr>
        <w:t>)</w:t>
      </w:r>
      <w:r w:rsidR="009537AB" w:rsidRPr="009230A6">
        <w:rPr>
          <w:rFonts w:ascii="Calibri" w:eastAsia="Calibri" w:hAnsi="Calibri"/>
          <w:b/>
          <w:sz w:val="22"/>
          <w:szCs w:val="22"/>
          <w:lang w:eastAsia="en-US"/>
        </w:rPr>
        <w:t xml:space="preserve"> subjekty navazujících sektorů. </w:t>
      </w:r>
      <w:r w:rsidR="009537AB" w:rsidRPr="00685F55">
        <w:rPr>
          <w:rFonts w:ascii="Calibri" w:eastAsia="Calibri" w:hAnsi="Calibri"/>
          <w:b/>
          <w:sz w:val="22"/>
          <w:szCs w:val="22"/>
          <w:lang w:eastAsia="en-US"/>
        </w:rPr>
        <w:t xml:space="preserve">Zemědělští výrobci se </w:t>
      </w:r>
      <w:r w:rsidR="009230A6">
        <w:rPr>
          <w:rFonts w:ascii="Calibri" w:eastAsia="Calibri" w:hAnsi="Calibri"/>
          <w:b/>
          <w:sz w:val="22"/>
          <w:szCs w:val="22"/>
          <w:lang w:eastAsia="en-US"/>
        </w:rPr>
        <w:t>p</w:t>
      </w:r>
      <w:r w:rsidR="009537AB" w:rsidRPr="00685F55">
        <w:rPr>
          <w:rFonts w:ascii="Calibri" w:eastAsia="Calibri" w:hAnsi="Calibri"/>
          <w:b/>
          <w:sz w:val="22"/>
          <w:szCs w:val="22"/>
          <w:lang w:eastAsia="en-US"/>
        </w:rPr>
        <w:t xml:space="preserve">ak </w:t>
      </w:r>
      <w:r w:rsidRPr="00685F55">
        <w:rPr>
          <w:rFonts w:ascii="Calibri" w:eastAsia="Calibri" w:hAnsi="Calibri"/>
          <w:b/>
          <w:sz w:val="22"/>
          <w:szCs w:val="22"/>
          <w:lang w:eastAsia="en-US"/>
        </w:rPr>
        <w:t xml:space="preserve">stávají </w:t>
      </w:r>
      <w:r w:rsidR="009537AB" w:rsidRPr="00685F55">
        <w:rPr>
          <w:rFonts w:ascii="Calibri" w:eastAsia="Calibri" w:hAnsi="Calibri"/>
          <w:b/>
          <w:sz w:val="22"/>
          <w:szCs w:val="22"/>
          <w:lang w:eastAsia="en-US"/>
        </w:rPr>
        <w:t>příjemcem ceny</w:t>
      </w:r>
      <w:r w:rsidRPr="00685F55">
        <w:rPr>
          <w:rFonts w:ascii="Calibri" w:eastAsia="Calibri" w:hAnsi="Calibri"/>
          <w:b/>
          <w:sz w:val="22"/>
          <w:szCs w:val="22"/>
          <w:lang w:eastAsia="en-US"/>
        </w:rPr>
        <w:t xml:space="preserve"> a</w:t>
      </w:r>
      <w:r w:rsidR="004D6D61">
        <w:rPr>
          <w:rFonts w:ascii="Calibri" w:eastAsia="Calibri" w:hAnsi="Calibri"/>
          <w:b/>
          <w:sz w:val="22"/>
          <w:szCs w:val="22"/>
          <w:lang w:eastAsia="en-US"/>
        </w:rPr>
        <w:t> </w:t>
      </w:r>
      <w:r w:rsidRPr="00685F55">
        <w:rPr>
          <w:rFonts w:ascii="Calibri" w:eastAsia="Calibri" w:hAnsi="Calibri"/>
          <w:b/>
          <w:sz w:val="22"/>
          <w:szCs w:val="22"/>
          <w:lang w:eastAsia="en-US"/>
        </w:rPr>
        <w:t xml:space="preserve">dalších podmínek prodeje </w:t>
      </w:r>
      <w:r w:rsidR="009537AB" w:rsidRPr="00685F55">
        <w:rPr>
          <w:rFonts w:ascii="Calibri" w:eastAsia="Calibri" w:hAnsi="Calibri"/>
          <w:b/>
          <w:sz w:val="22"/>
          <w:szCs w:val="22"/>
          <w:lang w:eastAsia="en-US"/>
        </w:rPr>
        <w:t xml:space="preserve">s omezenou možností tlumit tržní selhání a </w:t>
      </w:r>
      <w:r>
        <w:rPr>
          <w:rFonts w:ascii="Calibri" w:eastAsia="Calibri" w:hAnsi="Calibri"/>
          <w:b/>
          <w:sz w:val="22"/>
          <w:szCs w:val="22"/>
          <w:lang w:eastAsia="en-US"/>
        </w:rPr>
        <w:t xml:space="preserve">jejich </w:t>
      </w:r>
      <w:r w:rsidR="009537AB" w:rsidRPr="00685F55">
        <w:rPr>
          <w:rFonts w:ascii="Calibri" w:eastAsia="Calibri" w:hAnsi="Calibri"/>
          <w:b/>
          <w:sz w:val="22"/>
          <w:szCs w:val="22"/>
          <w:lang w:eastAsia="en-US"/>
        </w:rPr>
        <w:t>negativní dopady do ekonomiky zemědělských podniků</w:t>
      </w:r>
      <w:r w:rsidR="009537AB">
        <w:rPr>
          <w:rFonts w:ascii="Calibri" w:eastAsia="Calibri" w:hAnsi="Calibri"/>
          <w:sz w:val="22"/>
          <w:szCs w:val="22"/>
          <w:lang w:eastAsia="en-US"/>
        </w:rPr>
        <w:t xml:space="preserve">. Společnost pak saturuje </w:t>
      </w:r>
      <w:r w:rsidR="000E62CE">
        <w:rPr>
          <w:rFonts w:ascii="Calibri" w:eastAsia="Calibri" w:hAnsi="Calibri"/>
          <w:sz w:val="22"/>
          <w:szCs w:val="22"/>
          <w:lang w:eastAsia="en-US"/>
        </w:rPr>
        <w:t xml:space="preserve">případné </w:t>
      </w:r>
      <w:r w:rsidR="009537AB">
        <w:rPr>
          <w:rFonts w:ascii="Calibri" w:eastAsia="Calibri" w:hAnsi="Calibri"/>
          <w:sz w:val="22"/>
          <w:szCs w:val="22"/>
          <w:lang w:eastAsia="en-US"/>
        </w:rPr>
        <w:t xml:space="preserve">nepříznivé ekonomické výsledky </w:t>
      </w:r>
      <w:r w:rsidR="00921762">
        <w:rPr>
          <w:rFonts w:ascii="Calibri" w:eastAsia="Calibri" w:hAnsi="Calibri"/>
          <w:sz w:val="22"/>
          <w:szCs w:val="22"/>
          <w:lang w:eastAsia="en-US"/>
        </w:rPr>
        <w:t xml:space="preserve">různými typy podpor včetně </w:t>
      </w:r>
      <w:r w:rsidR="009537AB">
        <w:rPr>
          <w:rFonts w:ascii="Calibri" w:eastAsia="Calibri" w:hAnsi="Calibri"/>
          <w:sz w:val="22"/>
          <w:szCs w:val="22"/>
          <w:lang w:eastAsia="en-US"/>
        </w:rPr>
        <w:t>důchodový</w:t>
      </w:r>
      <w:r w:rsidR="00921762">
        <w:rPr>
          <w:rFonts w:ascii="Calibri" w:eastAsia="Calibri" w:hAnsi="Calibri"/>
          <w:sz w:val="22"/>
          <w:szCs w:val="22"/>
          <w:lang w:eastAsia="en-US"/>
        </w:rPr>
        <w:t>ch</w:t>
      </w:r>
      <w:r w:rsidR="009537AB">
        <w:rPr>
          <w:rFonts w:ascii="Calibri" w:eastAsia="Calibri" w:hAnsi="Calibri"/>
          <w:sz w:val="22"/>
          <w:szCs w:val="22"/>
          <w:lang w:eastAsia="en-US"/>
        </w:rPr>
        <w:t xml:space="preserve">, které neřeší </w:t>
      </w:r>
      <w:r w:rsidR="000E62CE">
        <w:rPr>
          <w:rFonts w:ascii="Calibri" w:eastAsia="Calibri" w:hAnsi="Calibri"/>
          <w:sz w:val="22"/>
          <w:szCs w:val="22"/>
          <w:lang w:eastAsia="en-US"/>
        </w:rPr>
        <w:t xml:space="preserve">podstatu </w:t>
      </w:r>
      <w:r w:rsidR="009537AB">
        <w:rPr>
          <w:rFonts w:ascii="Calibri" w:eastAsia="Calibri" w:hAnsi="Calibri"/>
          <w:sz w:val="22"/>
          <w:szCs w:val="22"/>
          <w:lang w:eastAsia="en-US"/>
        </w:rPr>
        <w:t xml:space="preserve">problému. </w:t>
      </w:r>
    </w:p>
    <w:p w:rsidR="00142E65" w:rsidRPr="00142E65" w:rsidRDefault="002E48DC" w:rsidP="00142E65">
      <w:pPr>
        <w:autoSpaceDE w:val="0"/>
        <w:autoSpaceDN w:val="0"/>
        <w:adjustRightInd w:val="0"/>
        <w:spacing w:before="0" w:after="120"/>
        <w:ind w:firstLine="0"/>
        <w:rPr>
          <w:rFonts w:asciiTheme="minorHAnsi" w:eastAsiaTheme="minorHAnsi" w:hAnsiTheme="minorHAnsi"/>
          <w:color w:val="000000"/>
          <w:sz w:val="22"/>
          <w:szCs w:val="22"/>
          <w:lang w:eastAsia="en-US"/>
        </w:rPr>
      </w:pPr>
      <w:r w:rsidRPr="002E48DC">
        <w:rPr>
          <w:rFonts w:asciiTheme="minorHAnsi" w:eastAsiaTheme="minorHAnsi" w:hAnsiTheme="minorHAnsi"/>
          <w:color w:val="000000"/>
          <w:sz w:val="22"/>
          <w:szCs w:val="22"/>
          <w:lang w:eastAsia="en-US"/>
        </w:rPr>
        <w:t>Problém je souhrnně identifikován</w:t>
      </w:r>
      <w:r w:rsidRPr="002E48DC">
        <w:rPr>
          <w:rFonts w:asciiTheme="minorHAnsi" w:hAnsiTheme="minorHAnsi"/>
          <w:sz w:val="22"/>
          <w:szCs w:val="22"/>
        </w:rPr>
        <w:t xml:space="preserve"> v návrh</w:t>
      </w:r>
      <w:r w:rsidR="00F94352">
        <w:rPr>
          <w:rFonts w:asciiTheme="minorHAnsi" w:hAnsiTheme="minorHAnsi"/>
          <w:sz w:val="22"/>
          <w:szCs w:val="22"/>
        </w:rPr>
        <w:t>u</w:t>
      </w:r>
      <w:r w:rsidRPr="002E48DC">
        <w:rPr>
          <w:rFonts w:asciiTheme="minorHAnsi" w:hAnsiTheme="minorHAnsi"/>
          <w:sz w:val="22"/>
          <w:szCs w:val="22"/>
        </w:rPr>
        <w:t xml:space="preserve"> textu směrnice Evropského parlamentu a Rady o nekalých obchodních praktikách.</w:t>
      </w:r>
      <w:r w:rsidRPr="002E48DC">
        <w:rPr>
          <w:rFonts w:asciiTheme="minorHAnsi" w:eastAsiaTheme="minorHAnsi" w:hAnsiTheme="minorHAnsi"/>
          <w:color w:val="000000"/>
          <w:sz w:val="22"/>
          <w:szCs w:val="22"/>
          <w:lang w:eastAsia="en-US"/>
        </w:rPr>
        <w:t xml:space="preserve">  </w:t>
      </w:r>
      <w:r w:rsidR="00142E65" w:rsidRPr="002E48DC">
        <w:rPr>
          <w:rFonts w:asciiTheme="minorHAnsi" w:eastAsiaTheme="minorHAnsi" w:hAnsiTheme="minorHAnsi"/>
          <w:color w:val="000000"/>
          <w:sz w:val="22"/>
          <w:szCs w:val="22"/>
          <w:lang w:eastAsia="en-US"/>
        </w:rPr>
        <w:t xml:space="preserve">„Počet a velikost subjektů se v různých fázích </w:t>
      </w:r>
      <w:r w:rsidR="00142E65" w:rsidRPr="002E48DC">
        <w:rPr>
          <w:rFonts w:asciiTheme="minorHAnsi" w:eastAsiaTheme="minorHAnsi" w:hAnsiTheme="minorHAnsi"/>
          <w:bCs/>
          <w:iCs/>
          <w:color w:val="000000"/>
          <w:sz w:val="22"/>
          <w:szCs w:val="22"/>
          <w:lang w:eastAsia="en-US"/>
        </w:rPr>
        <w:t xml:space="preserve">zemědělského a </w:t>
      </w:r>
      <w:r w:rsidR="00142E65" w:rsidRPr="002E48DC">
        <w:rPr>
          <w:rFonts w:asciiTheme="minorHAnsi" w:eastAsiaTheme="minorHAnsi" w:hAnsiTheme="minorHAnsi"/>
          <w:color w:val="000000"/>
          <w:sz w:val="22"/>
          <w:szCs w:val="22"/>
          <w:lang w:eastAsia="en-US"/>
        </w:rPr>
        <w:t xml:space="preserve">potravinového řetězce liší. Rozdíly ve vyjednávací síle souvisejí s různými úrovněmi koncentrace subjektů a mohou umožňovat nespravedlivé uplatňování vyjednávací síly pomocí nekalých obchodních praktik. Nekalé obchodní praktiky jsou </w:t>
      </w:r>
      <w:r w:rsidR="00142E65" w:rsidRPr="002E48DC">
        <w:rPr>
          <w:rFonts w:asciiTheme="minorHAnsi" w:eastAsiaTheme="minorHAnsi" w:hAnsiTheme="minorHAnsi"/>
          <w:bCs/>
          <w:iCs/>
          <w:color w:val="000000"/>
          <w:sz w:val="22"/>
          <w:szCs w:val="22"/>
          <w:lang w:eastAsia="en-US"/>
        </w:rPr>
        <w:t xml:space="preserve">mimořádně </w:t>
      </w:r>
      <w:r w:rsidR="00142E65" w:rsidRPr="002E48DC">
        <w:rPr>
          <w:rFonts w:asciiTheme="minorHAnsi" w:eastAsiaTheme="minorHAnsi" w:hAnsiTheme="minorHAnsi"/>
          <w:color w:val="000000"/>
          <w:sz w:val="22"/>
          <w:szCs w:val="22"/>
          <w:lang w:eastAsia="en-US"/>
        </w:rPr>
        <w:t>škodlivé pro malé a střední subjekty</w:t>
      </w:r>
      <w:r w:rsidR="00142E65" w:rsidRPr="00974688">
        <w:rPr>
          <w:rFonts w:asciiTheme="minorHAnsi" w:eastAsiaTheme="minorHAnsi" w:hAnsiTheme="minorHAnsi"/>
          <w:color w:val="000000"/>
          <w:sz w:val="22"/>
          <w:szCs w:val="22"/>
          <w:lang w:eastAsia="en-US"/>
        </w:rPr>
        <w:t xml:space="preserve"> v </w:t>
      </w:r>
      <w:r w:rsidR="00142E65" w:rsidRPr="00974688">
        <w:rPr>
          <w:rFonts w:asciiTheme="minorHAnsi" w:eastAsiaTheme="minorHAnsi" w:hAnsiTheme="minorHAnsi"/>
          <w:bCs/>
          <w:iCs/>
          <w:color w:val="000000"/>
          <w:sz w:val="22"/>
          <w:szCs w:val="22"/>
          <w:lang w:eastAsia="en-US"/>
        </w:rPr>
        <w:t>zemědělském a</w:t>
      </w:r>
      <w:r w:rsidR="00011676">
        <w:rPr>
          <w:rFonts w:asciiTheme="minorHAnsi" w:eastAsiaTheme="minorHAnsi" w:hAnsiTheme="minorHAnsi"/>
          <w:bCs/>
          <w:iCs/>
          <w:color w:val="000000"/>
          <w:sz w:val="22"/>
          <w:szCs w:val="22"/>
          <w:lang w:eastAsia="en-US"/>
        </w:rPr>
        <w:t> </w:t>
      </w:r>
      <w:r w:rsidR="00142E65" w:rsidRPr="00974688">
        <w:rPr>
          <w:rFonts w:asciiTheme="minorHAnsi" w:eastAsiaTheme="minorHAnsi" w:hAnsiTheme="minorHAnsi"/>
          <w:color w:val="000000"/>
          <w:sz w:val="22"/>
          <w:szCs w:val="22"/>
          <w:lang w:eastAsia="en-US"/>
        </w:rPr>
        <w:t xml:space="preserve">potravinovém řetězci. Zemědělští výrobci, kteří dodávají prvotní zemědělské produkty, jsou </w:t>
      </w:r>
      <w:r w:rsidR="00142E65" w:rsidRPr="00974688">
        <w:rPr>
          <w:rFonts w:asciiTheme="minorHAnsi" w:eastAsiaTheme="minorHAnsi" w:hAnsiTheme="minorHAnsi"/>
          <w:bCs/>
          <w:iCs/>
          <w:color w:val="000000"/>
          <w:sz w:val="22"/>
          <w:szCs w:val="22"/>
          <w:lang w:eastAsia="en-US"/>
        </w:rPr>
        <w:t xml:space="preserve">často </w:t>
      </w:r>
      <w:r w:rsidR="00142E65" w:rsidRPr="00974688">
        <w:rPr>
          <w:rFonts w:asciiTheme="minorHAnsi" w:eastAsiaTheme="minorHAnsi" w:hAnsiTheme="minorHAnsi"/>
          <w:color w:val="000000"/>
          <w:sz w:val="22"/>
          <w:szCs w:val="22"/>
          <w:lang w:eastAsia="en-US"/>
        </w:rPr>
        <w:t>malé nebo střední podniky</w:t>
      </w:r>
      <w:r w:rsidR="00142E65" w:rsidRPr="00142E65">
        <w:rPr>
          <w:rFonts w:asciiTheme="minorHAnsi" w:eastAsiaTheme="minorHAnsi" w:hAnsiTheme="minorHAnsi"/>
          <w:color w:val="000000"/>
          <w:sz w:val="22"/>
          <w:szCs w:val="22"/>
          <w:lang w:eastAsia="en-US"/>
        </w:rPr>
        <w:t>“</w:t>
      </w:r>
      <w:r w:rsidR="00142E65" w:rsidRPr="00142E65">
        <w:rPr>
          <w:rStyle w:val="Znakapoznpodarou"/>
          <w:rFonts w:asciiTheme="minorHAnsi" w:eastAsiaTheme="minorHAnsi" w:hAnsiTheme="minorHAnsi"/>
          <w:color w:val="000000"/>
          <w:sz w:val="22"/>
          <w:szCs w:val="22"/>
          <w:lang w:eastAsia="en-US"/>
        </w:rPr>
        <w:footnoteReference w:id="2"/>
      </w:r>
      <w:r w:rsidR="00142E65" w:rsidRPr="00974688">
        <w:rPr>
          <w:rFonts w:asciiTheme="minorHAnsi" w:eastAsiaTheme="minorHAnsi" w:hAnsiTheme="minorHAnsi"/>
          <w:color w:val="000000"/>
          <w:sz w:val="22"/>
          <w:szCs w:val="22"/>
          <w:lang w:eastAsia="en-US"/>
        </w:rPr>
        <w:t xml:space="preserve">. </w:t>
      </w:r>
    </w:p>
    <w:p w:rsidR="00DE000B" w:rsidRDefault="00DE000B" w:rsidP="00DE000B">
      <w:pPr>
        <w:ind w:firstLine="0"/>
        <w:rPr>
          <w:rFonts w:ascii="Calibri" w:eastAsia="Calibri" w:hAnsi="Calibri"/>
          <w:sz w:val="22"/>
          <w:szCs w:val="22"/>
          <w:lang w:eastAsia="en-US"/>
        </w:rPr>
      </w:pPr>
      <w:r>
        <w:rPr>
          <w:rFonts w:ascii="Calibri" w:eastAsia="Calibri" w:hAnsi="Calibri"/>
          <w:sz w:val="22"/>
          <w:szCs w:val="22"/>
          <w:lang w:eastAsia="en-US"/>
        </w:rPr>
        <w:t>Funkční a spravedlivá organizace trhů patří mezi hlavní cíle Strategie pro růst Ministerstva zemědělství České republiky do roku 2030 (dále jen Strategie). Podle dokumentu t</w:t>
      </w:r>
      <w:r w:rsidRPr="00E72C26">
        <w:rPr>
          <w:rFonts w:ascii="Calibri" w:eastAsia="Calibri" w:hAnsi="Calibri"/>
          <w:sz w:val="22"/>
          <w:szCs w:val="22"/>
          <w:lang w:eastAsia="en-US"/>
        </w:rPr>
        <w:t>rh zemědělských komodit výrazně ovlivňují vztahy k</w:t>
      </w:r>
      <w:r>
        <w:rPr>
          <w:rFonts w:ascii="Calibri" w:eastAsia="Calibri" w:hAnsi="Calibri"/>
          <w:sz w:val="22"/>
          <w:szCs w:val="22"/>
          <w:lang w:eastAsia="en-US"/>
        </w:rPr>
        <w:t xml:space="preserve">e zpracovatelským podnikům, a to zejména k prvním zpracovatelům. </w:t>
      </w:r>
      <w:r w:rsidR="000E62CE">
        <w:rPr>
          <w:rFonts w:ascii="Calibri" w:eastAsia="Calibri" w:hAnsi="Calibri"/>
          <w:sz w:val="22"/>
          <w:szCs w:val="22"/>
          <w:lang w:eastAsia="en-US"/>
        </w:rPr>
        <w:t>J</w:t>
      </w:r>
      <w:r>
        <w:rPr>
          <w:rFonts w:ascii="Calibri" w:eastAsia="Calibri" w:hAnsi="Calibri"/>
          <w:sz w:val="22"/>
          <w:szCs w:val="22"/>
          <w:lang w:eastAsia="en-US"/>
        </w:rPr>
        <w:t xml:space="preserve">ejich </w:t>
      </w:r>
      <w:r w:rsidRPr="00E72C26">
        <w:rPr>
          <w:rFonts w:ascii="Calibri" w:eastAsia="Calibri" w:hAnsi="Calibri"/>
          <w:sz w:val="22"/>
          <w:szCs w:val="22"/>
          <w:lang w:eastAsia="en-US"/>
        </w:rPr>
        <w:t xml:space="preserve">produktivita </w:t>
      </w:r>
      <w:r>
        <w:rPr>
          <w:rFonts w:ascii="Calibri" w:eastAsia="Calibri" w:hAnsi="Calibri"/>
          <w:sz w:val="22"/>
          <w:szCs w:val="22"/>
          <w:lang w:eastAsia="en-US"/>
        </w:rPr>
        <w:t xml:space="preserve">je </w:t>
      </w:r>
      <w:r w:rsidRPr="00E72C26">
        <w:rPr>
          <w:rFonts w:ascii="Calibri" w:eastAsia="Calibri" w:hAnsi="Calibri"/>
          <w:sz w:val="22"/>
          <w:szCs w:val="22"/>
          <w:lang w:eastAsia="en-US"/>
        </w:rPr>
        <w:t>ve srovnání s vyspělejšími zeměmi EU podstatně nižší a</w:t>
      </w:r>
      <w:r w:rsidR="001B6D02">
        <w:rPr>
          <w:rFonts w:ascii="Calibri" w:eastAsia="Calibri" w:hAnsi="Calibri"/>
          <w:sz w:val="22"/>
          <w:szCs w:val="22"/>
          <w:lang w:eastAsia="en-US"/>
        </w:rPr>
        <w:t> </w:t>
      </w:r>
      <w:r w:rsidRPr="00E72C26">
        <w:rPr>
          <w:rFonts w:ascii="Calibri" w:eastAsia="Calibri" w:hAnsi="Calibri"/>
          <w:sz w:val="22"/>
          <w:szCs w:val="22"/>
          <w:lang w:eastAsia="en-US"/>
        </w:rPr>
        <w:t xml:space="preserve">přenáší se </w:t>
      </w:r>
      <w:r w:rsidR="000E62CE">
        <w:rPr>
          <w:rFonts w:ascii="Calibri" w:eastAsia="Calibri" w:hAnsi="Calibri"/>
          <w:sz w:val="22"/>
          <w:szCs w:val="22"/>
          <w:lang w:eastAsia="en-US"/>
        </w:rPr>
        <w:t xml:space="preserve">často </w:t>
      </w:r>
      <w:r w:rsidRPr="00E72C26">
        <w:rPr>
          <w:rFonts w:ascii="Calibri" w:eastAsia="Calibri" w:hAnsi="Calibri"/>
          <w:sz w:val="22"/>
          <w:szCs w:val="22"/>
          <w:lang w:eastAsia="en-US"/>
        </w:rPr>
        <w:t xml:space="preserve">do nižších CZV nakupované suroviny. Zemědělci v těchto podmínkách hledají jiné cesty odbytu své produkce, včetně vývozu suroviny, formování jiných segmentů trhu („krátkých řetězců“) či vertikál v nově se rozvíjejících podnicích holdingového typu. Na </w:t>
      </w:r>
      <w:r>
        <w:rPr>
          <w:rFonts w:ascii="Calibri" w:eastAsia="Calibri" w:hAnsi="Calibri"/>
          <w:sz w:val="22"/>
          <w:szCs w:val="22"/>
          <w:lang w:eastAsia="en-US"/>
        </w:rPr>
        <w:t xml:space="preserve">straně zemědělců je však </w:t>
      </w:r>
      <w:r w:rsidRPr="00E72C26">
        <w:rPr>
          <w:rFonts w:ascii="Calibri" w:eastAsia="Calibri" w:hAnsi="Calibri"/>
          <w:sz w:val="22"/>
          <w:szCs w:val="22"/>
          <w:lang w:eastAsia="en-US"/>
        </w:rPr>
        <w:t xml:space="preserve">relativně malá rozvinutost odbytových organizací prvovýrobců </w:t>
      </w:r>
      <w:r>
        <w:rPr>
          <w:rFonts w:ascii="Calibri" w:eastAsia="Calibri" w:hAnsi="Calibri"/>
          <w:sz w:val="22"/>
          <w:szCs w:val="22"/>
          <w:lang w:eastAsia="en-US"/>
        </w:rPr>
        <w:t xml:space="preserve">s výjimkou </w:t>
      </w:r>
      <w:r w:rsidRPr="00E72C26">
        <w:rPr>
          <w:rFonts w:ascii="Calibri" w:eastAsia="Calibri" w:hAnsi="Calibri"/>
          <w:sz w:val="22"/>
          <w:szCs w:val="22"/>
          <w:lang w:eastAsia="en-US"/>
        </w:rPr>
        <w:t>několika dobře fungujících</w:t>
      </w:r>
      <w:r>
        <w:rPr>
          <w:rFonts w:ascii="Calibri" w:eastAsia="Calibri" w:hAnsi="Calibri"/>
          <w:sz w:val="22"/>
          <w:szCs w:val="22"/>
          <w:lang w:eastAsia="en-US"/>
        </w:rPr>
        <w:t xml:space="preserve"> (MZe, 2016). </w:t>
      </w:r>
      <w:r w:rsidRPr="00E72C26">
        <w:rPr>
          <w:rFonts w:ascii="Calibri" w:eastAsia="Calibri" w:hAnsi="Calibri"/>
          <w:sz w:val="22"/>
          <w:szCs w:val="22"/>
          <w:lang w:eastAsia="en-US"/>
        </w:rPr>
        <w:t xml:space="preserve"> </w:t>
      </w:r>
    </w:p>
    <w:p w:rsidR="009230A6" w:rsidRDefault="00685F55" w:rsidP="000B28B3">
      <w:pPr>
        <w:ind w:firstLine="0"/>
        <w:rPr>
          <w:rFonts w:ascii="Calibri" w:eastAsia="Calibri" w:hAnsi="Calibri"/>
          <w:sz w:val="22"/>
          <w:szCs w:val="22"/>
          <w:lang w:eastAsia="en-US"/>
        </w:rPr>
      </w:pPr>
      <w:r>
        <w:rPr>
          <w:rFonts w:ascii="Calibri" w:eastAsia="Calibri" w:hAnsi="Calibri"/>
          <w:sz w:val="22"/>
          <w:szCs w:val="22"/>
          <w:lang w:eastAsia="en-US"/>
        </w:rPr>
        <w:t>Problém</w:t>
      </w:r>
      <w:r w:rsidR="009230A6">
        <w:rPr>
          <w:rFonts w:ascii="Calibri" w:eastAsia="Calibri" w:hAnsi="Calibri"/>
          <w:sz w:val="22"/>
          <w:szCs w:val="22"/>
          <w:lang w:eastAsia="en-US"/>
        </w:rPr>
        <w:t xml:space="preserve"> zlepšení pozice zemědělců v</w:t>
      </w:r>
      <w:r w:rsidR="00406AF1">
        <w:rPr>
          <w:rFonts w:ascii="Calibri" w:eastAsia="Calibri" w:hAnsi="Calibri"/>
          <w:sz w:val="22"/>
          <w:szCs w:val="22"/>
          <w:lang w:eastAsia="en-US"/>
        </w:rPr>
        <w:t> </w:t>
      </w:r>
      <w:r w:rsidR="009230A6">
        <w:rPr>
          <w:rFonts w:ascii="Calibri" w:eastAsia="Calibri" w:hAnsi="Calibri"/>
          <w:sz w:val="22"/>
          <w:szCs w:val="22"/>
          <w:lang w:eastAsia="en-US"/>
        </w:rPr>
        <w:t>hodnotovém řetězci lze strukturovat do několika okruhů, které jsou propojeny a vzájemně se ovlivňují.</w:t>
      </w:r>
    </w:p>
    <w:p w:rsidR="009230A6" w:rsidRPr="00406AF1" w:rsidRDefault="009230A6" w:rsidP="00036D58">
      <w:pPr>
        <w:pStyle w:val="Odstavecseseznamem"/>
        <w:numPr>
          <w:ilvl w:val="0"/>
          <w:numId w:val="14"/>
        </w:numPr>
        <w:spacing w:after="120"/>
        <w:ind w:left="714" w:hanging="357"/>
        <w:contextualSpacing w:val="0"/>
        <w:rPr>
          <w:rFonts w:ascii="Calibri" w:eastAsia="Calibri" w:hAnsi="Calibri"/>
          <w:b/>
          <w:sz w:val="22"/>
          <w:szCs w:val="22"/>
          <w:lang w:eastAsia="en-US"/>
        </w:rPr>
      </w:pPr>
      <w:r w:rsidRPr="00406AF1">
        <w:rPr>
          <w:rFonts w:ascii="Calibri" w:eastAsia="Calibri" w:hAnsi="Calibri"/>
          <w:b/>
          <w:sz w:val="22"/>
          <w:szCs w:val="22"/>
          <w:lang w:eastAsia="en-US"/>
        </w:rPr>
        <w:t xml:space="preserve">Dominantní vliv obchodních řetězců </w:t>
      </w:r>
      <w:r w:rsidR="000E62CE">
        <w:rPr>
          <w:rFonts w:ascii="Calibri" w:eastAsia="Calibri" w:hAnsi="Calibri"/>
          <w:b/>
          <w:sz w:val="22"/>
          <w:szCs w:val="22"/>
          <w:lang w:eastAsia="en-US"/>
        </w:rPr>
        <w:t xml:space="preserve">z pozice </w:t>
      </w:r>
      <w:r w:rsidRPr="00406AF1">
        <w:rPr>
          <w:rFonts w:ascii="Calibri" w:eastAsia="Calibri" w:hAnsi="Calibri"/>
          <w:b/>
          <w:sz w:val="22"/>
          <w:szCs w:val="22"/>
          <w:lang w:eastAsia="en-US"/>
        </w:rPr>
        <w:t>maloobchodního odběratele</w:t>
      </w:r>
      <w:r w:rsidR="0058466D">
        <w:rPr>
          <w:rFonts w:ascii="Calibri" w:eastAsia="Calibri" w:hAnsi="Calibri"/>
          <w:b/>
          <w:sz w:val="22"/>
          <w:szCs w:val="22"/>
          <w:lang w:eastAsia="en-US"/>
        </w:rPr>
        <w:t xml:space="preserve"> a s tím související tržní nedokonalosti</w:t>
      </w:r>
      <w:r w:rsidR="0070239E">
        <w:rPr>
          <w:rFonts w:ascii="Calibri" w:eastAsia="Calibri" w:hAnsi="Calibri"/>
          <w:b/>
          <w:sz w:val="22"/>
          <w:szCs w:val="22"/>
          <w:lang w:eastAsia="en-US"/>
        </w:rPr>
        <w:t xml:space="preserve"> (asymetrická cenová transmise, diktát odběratelských podmínek)</w:t>
      </w:r>
      <w:r w:rsidRPr="00406AF1">
        <w:rPr>
          <w:rFonts w:ascii="Calibri" w:eastAsia="Calibri" w:hAnsi="Calibri"/>
          <w:b/>
          <w:sz w:val="22"/>
          <w:szCs w:val="22"/>
          <w:lang w:eastAsia="en-US"/>
        </w:rPr>
        <w:t>.</w:t>
      </w:r>
    </w:p>
    <w:p w:rsidR="00406AF1" w:rsidRDefault="00406AF1" w:rsidP="00036D58">
      <w:pPr>
        <w:pStyle w:val="Odstavecseseznamem"/>
        <w:numPr>
          <w:ilvl w:val="0"/>
          <w:numId w:val="14"/>
        </w:numPr>
        <w:spacing w:after="120"/>
        <w:ind w:left="714" w:hanging="357"/>
        <w:contextualSpacing w:val="0"/>
        <w:rPr>
          <w:rFonts w:ascii="Calibri" w:eastAsia="Calibri" w:hAnsi="Calibri"/>
          <w:b/>
          <w:sz w:val="22"/>
          <w:szCs w:val="22"/>
          <w:lang w:eastAsia="en-US"/>
        </w:rPr>
      </w:pPr>
      <w:r w:rsidRPr="00406AF1">
        <w:rPr>
          <w:rFonts w:ascii="Calibri" w:eastAsia="Calibri" w:hAnsi="Calibri"/>
          <w:b/>
          <w:sz w:val="22"/>
          <w:szCs w:val="22"/>
          <w:lang w:eastAsia="en-US"/>
        </w:rPr>
        <w:t xml:space="preserve">Nízká míra sdružování </w:t>
      </w:r>
      <w:r w:rsidR="00011676">
        <w:rPr>
          <w:rFonts w:ascii="Calibri" w:eastAsia="Calibri" w:hAnsi="Calibri"/>
          <w:b/>
          <w:sz w:val="22"/>
          <w:szCs w:val="22"/>
          <w:lang w:eastAsia="en-US"/>
        </w:rPr>
        <w:t xml:space="preserve">zemědělských </w:t>
      </w:r>
      <w:r w:rsidRPr="00406AF1">
        <w:rPr>
          <w:rFonts w:ascii="Calibri" w:eastAsia="Calibri" w:hAnsi="Calibri"/>
          <w:b/>
          <w:sz w:val="22"/>
          <w:szCs w:val="22"/>
          <w:lang w:eastAsia="en-US"/>
        </w:rPr>
        <w:t>výrobců při odbytu</w:t>
      </w:r>
      <w:r w:rsidR="00DD2F22">
        <w:rPr>
          <w:rFonts w:ascii="Calibri" w:eastAsia="Calibri" w:hAnsi="Calibri"/>
          <w:b/>
          <w:sz w:val="22"/>
          <w:szCs w:val="22"/>
          <w:lang w:eastAsia="en-US"/>
        </w:rPr>
        <w:t xml:space="preserve"> navazujícím článkům</w:t>
      </w:r>
      <w:r w:rsidRPr="00406AF1">
        <w:rPr>
          <w:rFonts w:ascii="Calibri" w:eastAsia="Calibri" w:hAnsi="Calibri"/>
          <w:b/>
          <w:sz w:val="22"/>
          <w:szCs w:val="22"/>
          <w:lang w:eastAsia="en-US"/>
        </w:rPr>
        <w:t>.</w:t>
      </w:r>
    </w:p>
    <w:p w:rsidR="00142E65" w:rsidRPr="00406AF1" w:rsidRDefault="00142E65" w:rsidP="00036D58">
      <w:pPr>
        <w:pStyle w:val="Odstavecseseznamem"/>
        <w:numPr>
          <w:ilvl w:val="0"/>
          <w:numId w:val="14"/>
        </w:numPr>
        <w:spacing w:after="240"/>
        <w:ind w:left="714" w:hanging="357"/>
        <w:contextualSpacing w:val="0"/>
        <w:rPr>
          <w:rFonts w:ascii="Calibri" w:eastAsia="Calibri" w:hAnsi="Calibri"/>
          <w:b/>
          <w:sz w:val="22"/>
          <w:szCs w:val="22"/>
          <w:lang w:eastAsia="en-US"/>
        </w:rPr>
      </w:pPr>
      <w:r>
        <w:rPr>
          <w:rFonts w:ascii="Calibri" w:eastAsia="Calibri" w:hAnsi="Calibri"/>
          <w:b/>
          <w:sz w:val="22"/>
          <w:szCs w:val="22"/>
          <w:lang w:eastAsia="en-US"/>
        </w:rPr>
        <w:t xml:space="preserve">Absence diferenciace produktů prostřednictvím </w:t>
      </w:r>
      <w:r w:rsidR="002C5D11">
        <w:rPr>
          <w:rFonts w:ascii="Calibri" w:eastAsia="Calibri" w:hAnsi="Calibri"/>
          <w:b/>
          <w:sz w:val="22"/>
          <w:szCs w:val="22"/>
          <w:lang w:eastAsia="en-US"/>
        </w:rPr>
        <w:t xml:space="preserve">vertikálních </w:t>
      </w:r>
      <w:r>
        <w:rPr>
          <w:rFonts w:ascii="Calibri" w:eastAsia="Calibri" w:hAnsi="Calibri"/>
          <w:b/>
          <w:sz w:val="22"/>
          <w:szCs w:val="22"/>
          <w:lang w:eastAsia="en-US"/>
        </w:rPr>
        <w:t>režimů kvality</w:t>
      </w:r>
      <w:r w:rsidR="002C5D11">
        <w:rPr>
          <w:rFonts w:ascii="Calibri" w:eastAsia="Calibri" w:hAnsi="Calibri"/>
          <w:b/>
          <w:sz w:val="22"/>
          <w:szCs w:val="22"/>
          <w:lang w:eastAsia="en-US"/>
        </w:rPr>
        <w:t xml:space="preserve"> zapojujících prvovýrobce </w:t>
      </w:r>
      <w:r w:rsidRPr="00406AF1">
        <w:rPr>
          <w:rFonts w:ascii="Calibri" w:eastAsia="Calibri" w:hAnsi="Calibri"/>
          <w:b/>
          <w:sz w:val="22"/>
          <w:szCs w:val="22"/>
          <w:lang w:eastAsia="en-US"/>
        </w:rPr>
        <w:t xml:space="preserve">k prosazení výrobků ve spotřebitelských preferencích. </w:t>
      </w:r>
    </w:p>
    <w:p w:rsidR="00406AF1" w:rsidRPr="00406AF1" w:rsidRDefault="00406AF1" w:rsidP="00036D58">
      <w:pPr>
        <w:pStyle w:val="Odstavecseseznamem"/>
        <w:numPr>
          <w:ilvl w:val="0"/>
          <w:numId w:val="10"/>
        </w:numPr>
        <w:tabs>
          <w:tab w:val="left" w:pos="284"/>
        </w:tabs>
        <w:ind w:left="284" w:hanging="284"/>
        <w:rPr>
          <w:rFonts w:ascii="Calibri" w:eastAsia="Calibri" w:hAnsi="Calibri"/>
          <w:b/>
          <w:sz w:val="22"/>
          <w:szCs w:val="22"/>
          <w:lang w:eastAsia="en-US"/>
        </w:rPr>
      </w:pPr>
      <w:r w:rsidRPr="00406AF1">
        <w:rPr>
          <w:rFonts w:ascii="Calibri" w:eastAsia="Calibri" w:hAnsi="Calibri"/>
          <w:b/>
          <w:sz w:val="22"/>
          <w:szCs w:val="22"/>
          <w:lang w:eastAsia="en-US"/>
        </w:rPr>
        <w:t xml:space="preserve">Dominantní vliv obchodních řetězců </w:t>
      </w:r>
      <w:r w:rsidR="000E62CE">
        <w:rPr>
          <w:rFonts w:ascii="Calibri" w:eastAsia="Calibri" w:hAnsi="Calibri"/>
          <w:b/>
          <w:sz w:val="22"/>
          <w:szCs w:val="22"/>
          <w:lang w:eastAsia="en-US"/>
        </w:rPr>
        <w:t>z pozice</w:t>
      </w:r>
      <w:r w:rsidRPr="00406AF1">
        <w:rPr>
          <w:rFonts w:ascii="Calibri" w:eastAsia="Calibri" w:hAnsi="Calibri"/>
          <w:b/>
          <w:sz w:val="22"/>
          <w:szCs w:val="22"/>
          <w:lang w:eastAsia="en-US"/>
        </w:rPr>
        <w:t xml:space="preserve"> maloobchodního odběratele</w:t>
      </w:r>
      <w:r w:rsidR="00090D7E">
        <w:rPr>
          <w:rFonts w:ascii="Calibri" w:eastAsia="Calibri" w:hAnsi="Calibri"/>
          <w:b/>
          <w:sz w:val="22"/>
          <w:szCs w:val="22"/>
          <w:lang w:eastAsia="en-US"/>
        </w:rPr>
        <w:t xml:space="preserve"> a s tím související tržní nedokonalosti (asymetrická cenová transmise, diktát odběratelských podmínek)</w:t>
      </w:r>
      <w:r w:rsidRPr="00406AF1">
        <w:rPr>
          <w:rFonts w:ascii="Calibri" w:eastAsia="Calibri" w:hAnsi="Calibri"/>
          <w:b/>
          <w:sz w:val="22"/>
          <w:szCs w:val="22"/>
          <w:lang w:eastAsia="en-US"/>
        </w:rPr>
        <w:t>.</w:t>
      </w:r>
    </w:p>
    <w:p w:rsidR="006F3562" w:rsidRPr="00406AF1" w:rsidRDefault="00CA4CCF" w:rsidP="00406AF1">
      <w:pPr>
        <w:tabs>
          <w:tab w:val="left" w:pos="284"/>
        </w:tabs>
        <w:ind w:firstLine="0"/>
        <w:rPr>
          <w:rFonts w:asciiTheme="minorHAnsi" w:eastAsia="Calibri" w:hAnsiTheme="minorHAnsi" w:cstheme="minorHAnsi"/>
          <w:sz w:val="22"/>
          <w:szCs w:val="22"/>
          <w:lang w:eastAsia="en-US"/>
        </w:rPr>
      </w:pPr>
      <w:r>
        <w:rPr>
          <w:rFonts w:ascii="Calibri" w:eastAsia="Calibri" w:hAnsi="Calibri"/>
          <w:sz w:val="22"/>
          <w:szCs w:val="22"/>
          <w:lang w:eastAsia="en-US"/>
        </w:rPr>
        <w:t>Maloobchod je silně koncentrován a p</w:t>
      </w:r>
      <w:r w:rsidR="009537AB" w:rsidRPr="00406AF1">
        <w:rPr>
          <w:rFonts w:ascii="Calibri" w:eastAsia="Calibri" w:hAnsi="Calibri"/>
          <w:sz w:val="22"/>
          <w:szCs w:val="22"/>
          <w:lang w:eastAsia="en-US"/>
        </w:rPr>
        <w:t xml:space="preserve">odmínky odběru převažující části </w:t>
      </w:r>
      <w:r w:rsidR="006B4752" w:rsidRPr="00406AF1">
        <w:rPr>
          <w:rFonts w:ascii="Calibri" w:eastAsia="Calibri" w:hAnsi="Calibri"/>
          <w:sz w:val="22"/>
          <w:szCs w:val="22"/>
          <w:lang w:eastAsia="en-US"/>
        </w:rPr>
        <w:t>zemědělských a</w:t>
      </w:r>
      <w:r>
        <w:rPr>
          <w:rFonts w:ascii="Calibri" w:eastAsia="Calibri" w:hAnsi="Calibri"/>
          <w:sz w:val="22"/>
          <w:szCs w:val="22"/>
          <w:lang w:eastAsia="en-US"/>
        </w:rPr>
        <w:t> </w:t>
      </w:r>
      <w:r w:rsidR="006B4752" w:rsidRPr="00406AF1">
        <w:rPr>
          <w:rFonts w:ascii="Calibri" w:eastAsia="Calibri" w:hAnsi="Calibri"/>
          <w:sz w:val="22"/>
          <w:szCs w:val="22"/>
          <w:lang w:eastAsia="en-US"/>
        </w:rPr>
        <w:t xml:space="preserve">potravinářských </w:t>
      </w:r>
      <w:r w:rsidR="009537AB" w:rsidRPr="00406AF1">
        <w:rPr>
          <w:rFonts w:ascii="Calibri" w:eastAsia="Calibri" w:hAnsi="Calibri"/>
          <w:sz w:val="22"/>
          <w:szCs w:val="22"/>
          <w:lang w:eastAsia="en-US"/>
        </w:rPr>
        <w:t xml:space="preserve">produktů na úrovni maloobchodu jsou </w:t>
      </w:r>
      <w:r>
        <w:rPr>
          <w:rFonts w:ascii="Calibri" w:eastAsia="Calibri" w:hAnsi="Calibri"/>
          <w:sz w:val="22"/>
          <w:szCs w:val="22"/>
          <w:lang w:eastAsia="en-US"/>
        </w:rPr>
        <w:t xml:space="preserve">podle informací dodavatelů </w:t>
      </w:r>
      <w:r w:rsidR="00AF1DE0">
        <w:rPr>
          <w:rFonts w:ascii="Calibri" w:eastAsia="Calibri" w:hAnsi="Calibri"/>
          <w:sz w:val="22"/>
          <w:szCs w:val="22"/>
          <w:lang w:eastAsia="en-US"/>
        </w:rPr>
        <w:t xml:space="preserve">ve většině případů </w:t>
      </w:r>
      <w:r w:rsidR="009537AB" w:rsidRPr="00406AF1">
        <w:rPr>
          <w:rFonts w:ascii="Calibri" w:eastAsia="Calibri" w:hAnsi="Calibri"/>
          <w:sz w:val="22"/>
          <w:szCs w:val="22"/>
          <w:lang w:eastAsia="en-US"/>
        </w:rPr>
        <w:t>určovány z pozice síly</w:t>
      </w:r>
      <w:r w:rsidR="004C1C26" w:rsidRPr="00406AF1">
        <w:rPr>
          <w:rFonts w:ascii="Calibri" w:eastAsia="Calibri" w:hAnsi="Calibri"/>
          <w:sz w:val="22"/>
          <w:szCs w:val="22"/>
          <w:lang w:eastAsia="en-US"/>
        </w:rPr>
        <w:t>.</w:t>
      </w:r>
    </w:p>
    <w:p w:rsidR="0043687D" w:rsidRDefault="00D6286F" w:rsidP="0043687D">
      <w:pPr>
        <w:pStyle w:val="Odstavecseseznamem"/>
        <w:numPr>
          <w:ilvl w:val="0"/>
          <w:numId w:val="13"/>
        </w:numPr>
        <w:spacing w:after="120"/>
        <w:ind w:left="714" w:hanging="357"/>
        <w:contextualSpacing w:val="0"/>
        <w:rPr>
          <w:rFonts w:asciiTheme="minorHAnsi" w:eastAsia="Calibri" w:hAnsiTheme="minorHAnsi" w:cstheme="minorHAnsi"/>
          <w:sz w:val="22"/>
          <w:szCs w:val="22"/>
          <w:lang w:eastAsia="en-US"/>
        </w:rPr>
      </w:pPr>
      <w:r>
        <w:rPr>
          <w:rFonts w:ascii="Calibri" w:eastAsia="Calibri" w:hAnsi="Calibri"/>
          <w:sz w:val="22"/>
          <w:szCs w:val="22"/>
          <w:lang w:eastAsia="en-US"/>
        </w:rPr>
        <w:t xml:space="preserve">Na úrovni maloobchodu dominuje v ČR pouze několik skupin obchodních řetězců. </w:t>
      </w:r>
      <w:r w:rsidR="0043687D" w:rsidRPr="00C96C01">
        <w:rPr>
          <w:rFonts w:asciiTheme="minorHAnsi" w:eastAsia="Calibri" w:hAnsiTheme="minorHAnsi" w:cstheme="minorHAnsi"/>
          <w:caps/>
          <w:sz w:val="22"/>
          <w:szCs w:val="22"/>
          <w:lang w:eastAsia="en-US"/>
        </w:rPr>
        <w:t>M</w:t>
      </w:r>
      <w:r w:rsidR="0043687D" w:rsidRPr="00C96C01">
        <w:rPr>
          <w:rFonts w:asciiTheme="minorHAnsi" w:eastAsia="Calibri" w:hAnsiTheme="minorHAnsi" w:cstheme="minorHAnsi"/>
          <w:sz w:val="22"/>
          <w:szCs w:val="22"/>
          <w:lang w:eastAsia="en-US"/>
        </w:rPr>
        <w:t xml:space="preserve">aloobchodní trh ČR se vyznačuje vysokou koncentrací, která </w:t>
      </w:r>
      <w:r w:rsidR="0043687D" w:rsidRPr="00C96C01">
        <w:rPr>
          <w:rFonts w:asciiTheme="minorHAnsi" w:hAnsiTheme="minorHAnsi" w:cstheme="minorHAnsi"/>
          <w:sz w:val="22"/>
          <w:szCs w:val="22"/>
        </w:rPr>
        <w:t>se přibližuje situaci v západoevropských zemích.</w:t>
      </w:r>
      <w:r w:rsidR="0043687D">
        <w:rPr>
          <w:rFonts w:asciiTheme="minorHAnsi" w:hAnsiTheme="minorHAnsi" w:cstheme="minorHAnsi"/>
          <w:sz w:val="22"/>
          <w:szCs w:val="22"/>
        </w:rPr>
        <w:t xml:space="preserve"> </w:t>
      </w:r>
      <w:r w:rsidR="0043687D">
        <w:rPr>
          <w:rFonts w:asciiTheme="minorHAnsi" w:eastAsia="Calibri" w:hAnsiTheme="minorHAnsi" w:cstheme="minorHAnsi"/>
          <w:sz w:val="22"/>
          <w:szCs w:val="22"/>
          <w:lang w:eastAsia="en-US"/>
        </w:rPr>
        <w:t>N</w:t>
      </w:r>
      <w:r w:rsidR="0043687D" w:rsidRPr="00C96C01">
        <w:rPr>
          <w:rFonts w:asciiTheme="minorHAnsi" w:eastAsia="Calibri" w:hAnsiTheme="minorHAnsi" w:cstheme="minorHAnsi"/>
          <w:sz w:val="22"/>
          <w:szCs w:val="22"/>
          <w:lang w:eastAsia="en-US"/>
        </w:rPr>
        <w:t>a úrovni maloobchodu dominuje v </w:t>
      </w:r>
      <w:r w:rsidR="0043687D">
        <w:rPr>
          <w:rFonts w:asciiTheme="minorHAnsi" w:eastAsia="Calibri" w:hAnsiTheme="minorHAnsi" w:cstheme="minorHAnsi"/>
          <w:sz w:val="22"/>
          <w:szCs w:val="22"/>
          <w:lang w:eastAsia="en-US"/>
        </w:rPr>
        <w:t>ČR</w:t>
      </w:r>
      <w:r w:rsidR="0043687D" w:rsidRPr="00C96C01">
        <w:rPr>
          <w:rFonts w:asciiTheme="minorHAnsi" w:eastAsia="Calibri" w:hAnsiTheme="minorHAnsi" w:cstheme="minorHAnsi"/>
          <w:sz w:val="22"/>
          <w:szCs w:val="22"/>
          <w:lang w:eastAsia="en-US"/>
        </w:rPr>
        <w:t xml:space="preserve"> pouze několik skupin obchodních řetězců. </w:t>
      </w:r>
      <w:r w:rsidR="0043687D" w:rsidRPr="00C96C01">
        <w:rPr>
          <w:rFonts w:asciiTheme="minorHAnsi" w:hAnsiTheme="minorHAnsi" w:cstheme="minorHAnsi"/>
          <w:sz w:val="22"/>
          <w:szCs w:val="22"/>
        </w:rPr>
        <w:t>V roce 2017 dosáhl tržní podíl moderního trhu celkem reprezentovaný 8</w:t>
      </w:r>
      <w:r w:rsidR="0043687D">
        <w:rPr>
          <w:rFonts w:asciiTheme="minorHAnsi" w:hAnsiTheme="minorHAnsi" w:cstheme="minorHAnsi"/>
          <w:sz w:val="22"/>
          <w:szCs w:val="22"/>
        </w:rPr>
        <w:t> </w:t>
      </w:r>
      <w:r w:rsidR="0043687D" w:rsidRPr="00C96C01">
        <w:rPr>
          <w:rFonts w:asciiTheme="minorHAnsi" w:hAnsiTheme="minorHAnsi" w:cstheme="minorHAnsi"/>
          <w:sz w:val="22"/>
          <w:szCs w:val="22"/>
        </w:rPr>
        <w:t>největšími obchodními řetězci (Kaufland, Lidl</w:t>
      </w:r>
      <w:r w:rsidR="0043687D">
        <w:rPr>
          <w:rFonts w:asciiTheme="minorHAnsi" w:hAnsiTheme="minorHAnsi" w:cstheme="minorHAnsi"/>
          <w:sz w:val="22"/>
          <w:szCs w:val="22"/>
        </w:rPr>
        <w:t xml:space="preserve">, </w:t>
      </w:r>
      <w:r w:rsidR="0043687D" w:rsidRPr="00C96C01">
        <w:rPr>
          <w:rFonts w:asciiTheme="minorHAnsi" w:hAnsiTheme="minorHAnsi" w:cstheme="minorHAnsi"/>
          <w:sz w:val="22"/>
          <w:szCs w:val="22"/>
        </w:rPr>
        <w:t>Ahold, Tesco, Makro, Penny Market, Billa a</w:t>
      </w:r>
      <w:r w:rsidR="0043687D">
        <w:rPr>
          <w:rFonts w:asciiTheme="minorHAnsi" w:hAnsiTheme="minorHAnsi" w:cstheme="minorHAnsi"/>
          <w:sz w:val="22"/>
          <w:szCs w:val="22"/>
        </w:rPr>
        <w:t> </w:t>
      </w:r>
      <w:r w:rsidR="0043687D" w:rsidRPr="00C96C01">
        <w:rPr>
          <w:rFonts w:asciiTheme="minorHAnsi" w:hAnsiTheme="minorHAnsi" w:cstheme="minorHAnsi"/>
          <w:sz w:val="22"/>
          <w:szCs w:val="22"/>
        </w:rPr>
        <w:t>Globus) 70,6 %</w:t>
      </w:r>
      <w:r w:rsidR="00917138">
        <w:rPr>
          <w:rFonts w:asciiTheme="minorHAnsi" w:hAnsiTheme="minorHAnsi" w:cstheme="minorHAnsi"/>
          <w:sz w:val="22"/>
          <w:szCs w:val="22"/>
        </w:rPr>
        <w:t xml:space="preserve"> (GFK Czech, 2017)</w:t>
      </w:r>
      <w:r w:rsidR="0043687D" w:rsidRPr="00C96C01">
        <w:rPr>
          <w:rFonts w:asciiTheme="minorHAnsi" w:hAnsiTheme="minorHAnsi" w:cstheme="minorHAnsi"/>
          <w:sz w:val="22"/>
          <w:szCs w:val="22"/>
        </w:rPr>
        <w:t xml:space="preserve">, což představuje </w:t>
      </w:r>
      <w:r w:rsidR="0043687D">
        <w:rPr>
          <w:rFonts w:asciiTheme="minorHAnsi" w:hAnsiTheme="minorHAnsi" w:cstheme="minorHAnsi"/>
          <w:sz w:val="22"/>
          <w:szCs w:val="22"/>
        </w:rPr>
        <w:t xml:space="preserve">vzhledem k vývoji před 5 lety </w:t>
      </w:r>
      <w:r w:rsidR="0043687D" w:rsidRPr="00C96C01">
        <w:rPr>
          <w:rFonts w:asciiTheme="minorHAnsi" w:hAnsiTheme="minorHAnsi" w:cstheme="minorHAnsi"/>
          <w:sz w:val="22"/>
          <w:szCs w:val="22"/>
        </w:rPr>
        <w:t>nárůst o </w:t>
      </w:r>
      <w:r w:rsidR="0043687D">
        <w:rPr>
          <w:rFonts w:asciiTheme="minorHAnsi" w:hAnsiTheme="minorHAnsi" w:cstheme="minorHAnsi"/>
          <w:sz w:val="22"/>
          <w:szCs w:val="22"/>
        </w:rPr>
        <w:t>3,3 </w:t>
      </w:r>
      <w:r w:rsidR="0043687D" w:rsidRPr="00C96C01">
        <w:rPr>
          <w:rFonts w:asciiTheme="minorHAnsi" w:hAnsiTheme="minorHAnsi" w:cstheme="minorHAnsi"/>
          <w:sz w:val="22"/>
          <w:szCs w:val="22"/>
        </w:rPr>
        <w:t>p. b.</w:t>
      </w:r>
      <w:r w:rsidR="0043687D" w:rsidRPr="00C96C01">
        <w:rPr>
          <w:rFonts w:asciiTheme="minorHAnsi" w:eastAsia="Calibri" w:hAnsiTheme="minorHAnsi" w:cstheme="minorHAnsi"/>
          <w:caps/>
          <w:sz w:val="22"/>
          <w:szCs w:val="22"/>
          <w:lang w:eastAsia="en-US"/>
        </w:rPr>
        <w:t xml:space="preserve"> V</w:t>
      </w:r>
      <w:r w:rsidR="0043687D" w:rsidRPr="00C96C01">
        <w:rPr>
          <w:rFonts w:asciiTheme="minorHAnsi" w:eastAsia="Calibri" w:hAnsiTheme="minorHAnsi" w:cstheme="minorHAnsi"/>
          <w:sz w:val="22"/>
          <w:szCs w:val="22"/>
          <w:lang w:eastAsia="en-US"/>
        </w:rPr>
        <w:t>ůči obchodním řetězcům neexistuje adekvátní vyjednávací síla</w:t>
      </w:r>
      <w:r w:rsidR="0043687D">
        <w:rPr>
          <w:rFonts w:asciiTheme="minorHAnsi" w:eastAsia="Calibri" w:hAnsiTheme="minorHAnsi" w:cstheme="minorHAnsi"/>
          <w:sz w:val="22"/>
          <w:szCs w:val="22"/>
          <w:lang w:eastAsia="en-US"/>
        </w:rPr>
        <w:t>.</w:t>
      </w:r>
    </w:p>
    <w:p w:rsidR="00A720A1" w:rsidRDefault="0043687D" w:rsidP="0043687D">
      <w:pPr>
        <w:pStyle w:val="Odstavecseseznamem"/>
        <w:numPr>
          <w:ilvl w:val="0"/>
          <w:numId w:val="13"/>
        </w:numPr>
        <w:spacing w:after="120"/>
        <w:ind w:left="714" w:hanging="357"/>
        <w:contextualSpacing w:val="0"/>
        <w:rPr>
          <w:rFonts w:ascii="Calibri" w:eastAsia="Calibri" w:hAnsi="Calibri"/>
          <w:sz w:val="22"/>
          <w:szCs w:val="22"/>
          <w:lang w:eastAsia="en-US"/>
        </w:rPr>
      </w:pPr>
      <w:r>
        <w:rPr>
          <w:rFonts w:ascii="Calibri" w:eastAsia="Calibri" w:hAnsi="Calibri"/>
          <w:sz w:val="22"/>
          <w:szCs w:val="22"/>
          <w:lang w:eastAsia="en-US"/>
        </w:rPr>
        <w:t>V</w:t>
      </w:r>
      <w:r w:rsidR="00A720A1" w:rsidRPr="00D6286F">
        <w:rPr>
          <w:rFonts w:ascii="Calibri" w:eastAsia="Calibri" w:hAnsi="Calibri"/>
          <w:sz w:val="22"/>
          <w:szCs w:val="22"/>
          <w:lang w:eastAsia="en-US"/>
        </w:rPr>
        <w:t xml:space="preserve">ůči </w:t>
      </w:r>
      <w:r>
        <w:rPr>
          <w:rFonts w:ascii="Calibri" w:eastAsia="Calibri" w:hAnsi="Calibri"/>
          <w:sz w:val="22"/>
          <w:szCs w:val="22"/>
          <w:lang w:eastAsia="en-US"/>
        </w:rPr>
        <w:t xml:space="preserve">vysoké koncentraci maloobchodu </w:t>
      </w:r>
      <w:r w:rsidR="00A720A1" w:rsidRPr="00D6286F">
        <w:rPr>
          <w:rFonts w:ascii="Calibri" w:eastAsia="Calibri" w:hAnsi="Calibri"/>
          <w:sz w:val="22"/>
          <w:szCs w:val="22"/>
          <w:lang w:eastAsia="en-US"/>
        </w:rPr>
        <w:t>neexistuje adekvátní vyjednávací síla.</w:t>
      </w:r>
      <w:r w:rsidR="00DE000B">
        <w:rPr>
          <w:rFonts w:ascii="Calibri" w:eastAsia="Calibri" w:hAnsi="Calibri"/>
          <w:sz w:val="22"/>
          <w:szCs w:val="22"/>
          <w:lang w:eastAsia="en-US"/>
        </w:rPr>
        <w:t xml:space="preserve"> Jak potvrzuje Strategie (MZe, 2015)</w:t>
      </w:r>
      <w:r w:rsidR="00480F0A">
        <w:rPr>
          <w:rFonts w:ascii="Calibri" w:eastAsia="Calibri" w:hAnsi="Calibri"/>
          <w:sz w:val="22"/>
          <w:szCs w:val="22"/>
          <w:lang w:eastAsia="en-US"/>
        </w:rPr>
        <w:t>,</w:t>
      </w:r>
      <w:r w:rsidR="00DE000B">
        <w:rPr>
          <w:rFonts w:ascii="Calibri" w:eastAsia="Calibri" w:hAnsi="Calibri"/>
          <w:sz w:val="22"/>
          <w:szCs w:val="22"/>
          <w:lang w:eastAsia="en-US"/>
        </w:rPr>
        <w:t xml:space="preserve"> </w:t>
      </w:r>
      <w:r w:rsidR="00480F0A">
        <w:rPr>
          <w:rFonts w:ascii="Calibri" w:eastAsia="Calibri" w:hAnsi="Calibri"/>
          <w:sz w:val="22"/>
          <w:szCs w:val="22"/>
          <w:lang w:eastAsia="en-US"/>
        </w:rPr>
        <w:t>v</w:t>
      </w:r>
      <w:r w:rsidR="00DE000B" w:rsidRPr="00DE000B">
        <w:rPr>
          <w:rFonts w:ascii="Calibri" w:eastAsia="Calibri" w:hAnsi="Calibri"/>
          <w:sz w:val="22"/>
          <w:szCs w:val="22"/>
          <w:lang w:eastAsia="en-US"/>
        </w:rPr>
        <w:t>ýznamné rozdíly ve vyjednávací síle mezi smluvními stranami v</w:t>
      </w:r>
      <w:r w:rsidR="00DE000B">
        <w:rPr>
          <w:rFonts w:ascii="Calibri" w:eastAsia="Calibri" w:hAnsi="Calibri"/>
          <w:sz w:val="22"/>
          <w:szCs w:val="22"/>
          <w:lang w:eastAsia="en-US"/>
        </w:rPr>
        <w:t> </w:t>
      </w:r>
      <w:r w:rsidR="00DE000B" w:rsidRPr="00DE000B">
        <w:rPr>
          <w:rFonts w:ascii="Calibri" w:eastAsia="Calibri" w:hAnsi="Calibri"/>
          <w:sz w:val="22"/>
          <w:szCs w:val="22"/>
          <w:lang w:eastAsia="en-US"/>
        </w:rPr>
        <w:t>rámci potravinového řetězce mohou vyústit do zneužívání ekonomické síly a do uplatňování nekalých obchodních praktik, s dopady zejména na dodavatelské články řetězce</w:t>
      </w:r>
      <w:r w:rsidR="00480F0A">
        <w:rPr>
          <w:rFonts w:ascii="Calibri" w:eastAsia="Calibri" w:hAnsi="Calibri"/>
          <w:sz w:val="22"/>
          <w:szCs w:val="22"/>
          <w:lang w:eastAsia="en-US"/>
        </w:rPr>
        <w:t>.</w:t>
      </w:r>
    </w:p>
    <w:p w:rsidR="00090D7E" w:rsidRDefault="00090D7E" w:rsidP="00036D58">
      <w:pPr>
        <w:pStyle w:val="Odstavecseseznamem"/>
        <w:numPr>
          <w:ilvl w:val="0"/>
          <w:numId w:val="13"/>
        </w:numPr>
        <w:spacing w:after="60"/>
        <w:rPr>
          <w:rFonts w:ascii="Calibri" w:eastAsia="Calibri" w:hAnsi="Calibri"/>
          <w:sz w:val="22"/>
          <w:szCs w:val="22"/>
          <w:lang w:eastAsia="en-US"/>
        </w:rPr>
      </w:pPr>
      <w:r>
        <w:rPr>
          <w:rFonts w:ascii="Calibri" w:eastAsia="Calibri" w:hAnsi="Calibri"/>
          <w:sz w:val="22"/>
          <w:szCs w:val="22"/>
          <w:lang w:eastAsia="en-US"/>
        </w:rPr>
        <w:t>Byla identifikována asymetrická cenová transmise.</w:t>
      </w:r>
    </w:p>
    <w:p w:rsidR="00A720A1" w:rsidRDefault="009537AB" w:rsidP="00406AF1">
      <w:pPr>
        <w:spacing w:after="120"/>
        <w:ind w:firstLine="0"/>
        <w:rPr>
          <w:rFonts w:ascii="Calibri" w:eastAsia="Calibri" w:hAnsi="Calibri"/>
          <w:sz w:val="22"/>
          <w:szCs w:val="22"/>
          <w:lang w:eastAsia="en-US"/>
        </w:rPr>
      </w:pPr>
      <w:r w:rsidRPr="006F3562">
        <w:rPr>
          <w:rFonts w:ascii="Calibri" w:eastAsia="Calibri" w:hAnsi="Calibri"/>
          <w:sz w:val="22"/>
          <w:szCs w:val="22"/>
          <w:lang w:eastAsia="en-US"/>
        </w:rPr>
        <w:t>Podle výsledků výzkumu společnosti GfK Czech</w:t>
      </w:r>
      <w:r w:rsidRPr="00AC6057">
        <w:rPr>
          <w:rFonts w:ascii="Calibri" w:eastAsia="Calibri" w:hAnsi="Calibri"/>
          <w:sz w:val="22"/>
          <w:szCs w:val="22"/>
          <w:vertAlign w:val="superscript"/>
          <w:lang w:eastAsia="en-US"/>
        </w:rPr>
        <w:footnoteReference w:id="3"/>
      </w:r>
      <w:r w:rsidRPr="006F3562">
        <w:rPr>
          <w:rFonts w:ascii="Calibri" w:eastAsia="Calibri" w:hAnsi="Calibri"/>
          <w:sz w:val="22"/>
          <w:szCs w:val="22"/>
          <w:lang w:eastAsia="en-US"/>
        </w:rPr>
        <w:t xml:space="preserve"> byly v roce 2017 velkoformátové prodejny obchodních řetězců (hypermarket, supermarket, diskont) hlavním nákupním místem </w:t>
      </w:r>
      <w:r w:rsidR="00D26DD2">
        <w:rPr>
          <w:rFonts w:ascii="Calibri" w:eastAsia="Calibri" w:hAnsi="Calibri"/>
          <w:sz w:val="22"/>
          <w:szCs w:val="22"/>
          <w:lang w:eastAsia="en-US"/>
        </w:rPr>
        <w:t>potravin</w:t>
      </w:r>
      <w:r w:rsidR="00D26DD2" w:rsidRPr="00D6286F">
        <w:rPr>
          <w:rFonts w:ascii="Calibri" w:eastAsia="Calibri" w:hAnsi="Calibri"/>
          <w:sz w:val="22"/>
          <w:szCs w:val="22"/>
          <w:lang w:eastAsia="en-US"/>
        </w:rPr>
        <w:t> </w:t>
      </w:r>
      <w:r w:rsidR="00EB50EE">
        <w:rPr>
          <w:rFonts w:ascii="Calibri" w:eastAsia="Calibri" w:hAnsi="Calibri"/>
          <w:sz w:val="22"/>
          <w:szCs w:val="22"/>
          <w:lang w:eastAsia="en-US"/>
        </w:rPr>
        <w:t>v </w:t>
      </w:r>
      <w:r w:rsidR="00D26DD2" w:rsidRPr="00D6286F">
        <w:rPr>
          <w:rFonts w:ascii="Calibri" w:eastAsia="Calibri" w:hAnsi="Calibri"/>
          <w:sz w:val="22"/>
          <w:szCs w:val="22"/>
          <w:lang w:eastAsia="en-US"/>
        </w:rPr>
        <w:t xml:space="preserve">závislosti na sortimentu </w:t>
      </w:r>
      <w:r w:rsidR="00D26DD2">
        <w:rPr>
          <w:rFonts w:ascii="Calibri" w:eastAsia="Calibri" w:hAnsi="Calibri"/>
          <w:sz w:val="22"/>
          <w:szCs w:val="22"/>
          <w:lang w:eastAsia="en-US"/>
        </w:rPr>
        <w:t>pro</w:t>
      </w:r>
      <w:r w:rsidR="00D26DD2" w:rsidRPr="00D6286F">
        <w:rPr>
          <w:rFonts w:ascii="Calibri" w:eastAsia="Calibri" w:hAnsi="Calibri"/>
          <w:sz w:val="22"/>
          <w:szCs w:val="22"/>
          <w:lang w:eastAsia="en-US"/>
        </w:rPr>
        <w:t xml:space="preserve"> 70 až 90 % </w:t>
      </w:r>
      <w:r w:rsidRPr="006F3562">
        <w:rPr>
          <w:rFonts w:ascii="Calibri" w:eastAsia="Calibri" w:hAnsi="Calibri"/>
          <w:sz w:val="22"/>
          <w:szCs w:val="22"/>
          <w:lang w:eastAsia="en-US"/>
        </w:rPr>
        <w:t>spotřebitelů</w:t>
      </w:r>
      <w:r w:rsidR="00D26DD2">
        <w:rPr>
          <w:rFonts w:ascii="Calibri" w:eastAsia="Calibri" w:hAnsi="Calibri"/>
          <w:sz w:val="22"/>
          <w:szCs w:val="22"/>
          <w:lang w:eastAsia="en-US"/>
        </w:rPr>
        <w:t xml:space="preserve"> (masa pro 72 %,</w:t>
      </w:r>
      <w:r w:rsidRPr="006F3562">
        <w:rPr>
          <w:rFonts w:ascii="Calibri" w:eastAsia="Calibri" w:hAnsi="Calibri"/>
          <w:sz w:val="22"/>
          <w:szCs w:val="22"/>
          <w:lang w:eastAsia="en-US"/>
        </w:rPr>
        <w:t xml:space="preserve"> uzenin pro 85 %, sýrů pro 87 %, pečiva pro 78 % a ovoce a zeleniny pro 90 % spotřebitelů.</w:t>
      </w:r>
      <w:r w:rsidR="000B28B3">
        <w:rPr>
          <w:rFonts w:ascii="Calibri" w:eastAsia="Calibri" w:hAnsi="Calibri"/>
          <w:sz w:val="22"/>
          <w:szCs w:val="22"/>
          <w:lang w:eastAsia="en-US"/>
        </w:rPr>
        <w:t xml:space="preserve"> Podíly se za uplynulých pět let zvýšily u jednotlivých sortimentních skupin o 3 až 5 p. b.</w:t>
      </w:r>
      <w:r w:rsidR="0091301C">
        <w:rPr>
          <w:rFonts w:ascii="Calibri" w:eastAsia="Calibri" w:hAnsi="Calibri"/>
          <w:sz w:val="22"/>
          <w:szCs w:val="22"/>
          <w:lang w:eastAsia="en-US"/>
        </w:rPr>
        <w:t xml:space="preserve"> </w:t>
      </w:r>
      <w:r w:rsidR="0091301C" w:rsidRPr="0091301C">
        <w:rPr>
          <w:rFonts w:ascii="Calibri" w:eastAsia="Calibri" w:hAnsi="Calibri"/>
          <w:sz w:val="22"/>
          <w:szCs w:val="22"/>
          <w:lang w:eastAsia="en-US"/>
        </w:rPr>
        <w:t>Obchodní řetězce ke zvýšení svých prodejů používají cílený marketing, ale motivace spotřebitelů k nákupu v obchodních řetězcích může být způsobena i dalšími vlivy.  Lze se domnívat, že se jedná např. o šíři sortimentu, ceny, doplňkové služby apod.</w:t>
      </w:r>
    </w:p>
    <w:p w:rsidR="00E52985" w:rsidRDefault="00E52985" w:rsidP="00EB50EE">
      <w:pPr>
        <w:spacing w:after="60" w:line="240" w:lineRule="atLeast"/>
        <w:ind w:firstLine="0"/>
        <w:rPr>
          <w:rFonts w:ascii="Calibri" w:eastAsia="Calibri" w:hAnsi="Calibri"/>
          <w:sz w:val="22"/>
          <w:szCs w:val="22"/>
          <w:lang w:eastAsia="en-US"/>
        </w:rPr>
      </w:pPr>
      <w:r w:rsidRPr="00D14361">
        <w:rPr>
          <w:noProof/>
          <w:sz w:val="22"/>
          <w:szCs w:val="22"/>
        </w:rPr>
        <w:drawing>
          <wp:inline distT="0" distB="0" distL="0" distR="0">
            <wp:extent cx="5760720" cy="2305050"/>
            <wp:effectExtent l="0" t="0" r="11430" b="0"/>
            <wp:docPr id="11" name="Graf 1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8F14EC2-7DBF-4379-A8CB-279C4851600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52985" w:rsidRPr="00E52985" w:rsidRDefault="00E52985" w:rsidP="00F26915">
      <w:pPr>
        <w:pStyle w:val="Odstavecseseznamem"/>
        <w:numPr>
          <w:ilvl w:val="0"/>
          <w:numId w:val="5"/>
        </w:numPr>
        <w:spacing w:before="0" w:line="160" w:lineRule="atLeast"/>
        <w:ind w:left="426" w:hanging="142"/>
        <w:contextualSpacing w:val="0"/>
        <w:rPr>
          <w:rFonts w:ascii="Calibri" w:eastAsia="Calibri" w:hAnsi="Calibri"/>
          <w:sz w:val="18"/>
          <w:szCs w:val="18"/>
          <w:lang w:eastAsia="en-US"/>
        </w:rPr>
      </w:pPr>
      <w:r w:rsidRPr="00E52985">
        <w:rPr>
          <w:rFonts w:ascii="Calibri" w:eastAsia="Calibri" w:hAnsi="Calibri"/>
          <w:sz w:val="18"/>
          <w:szCs w:val="18"/>
          <w:lang w:eastAsia="en-US"/>
        </w:rPr>
        <w:t>% podíl z těch, kteří danou potravinu nakupují.</w:t>
      </w:r>
    </w:p>
    <w:p w:rsidR="00E52985" w:rsidRPr="00E52985" w:rsidRDefault="00E52985" w:rsidP="00F26915">
      <w:pPr>
        <w:pStyle w:val="Odstavecseseznamem"/>
        <w:numPr>
          <w:ilvl w:val="0"/>
          <w:numId w:val="5"/>
        </w:numPr>
        <w:spacing w:before="0" w:line="160" w:lineRule="atLeast"/>
        <w:ind w:left="426" w:hanging="142"/>
        <w:contextualSpacing w:val="0"/>
        <w:rPr>
          <w:rFonts w:ascii="Calibri" w:eastAsia="Calibri" w:hAnsi="Calibri"/>
          <w:sz w:val="18"/>
          <w:szCs w:val="18"/>
          <w:lang w:eastAsia="en-US"/>
        </w:rPr>
      </w:pPr>
      <w:r w:rsidRPr="00E52985">
        <w:rPr>
          <w:rFonts w:ascii="Calibri" w:eastAsia="Calibri" w:hAnsi="Calibri"/>
          <w:sz w:val="18"/>
          <w:szCs w:val="18"/>
          <w:lang w:eastAsia="en-US"/>
        </w:rPr>
        <w:t>Pramen: Zpracováno ÚZEI z dat GfK Czech</w:t>
      </w:r>
    </w:p>
    <w:p w:rsidR="00D14361" w:rsidRDefault="00D14361" w:rsidP="003B7F00">
      <w:pPr>
        <w:spacing w:before="0" w:after="60" w:line="240" w:lineRule="atLeast"/>
        <w:ind w:firstLine="0"/>
        <w:rPr>
          <w:rFonts w:ascii="Calibri" w:eastAsia="Calibri" w:hAnsi="Calibri"/>
          <w:sz w:val="22"/>
          <w:szCs w:val="22"/>
          <w:lang w:eastAsia="en-US"/>
        </w:rPr>
      </w:pPr>
      <w:r>
        <w:rPr>
          <w:noProof/>
        </w:rPr>
        <w:drawing>
          <wp:inline distT="0" distB="0" distL="0" distR="0">
            <wp:extent cx="5760720" cy="2257425"/>
            <wp:effectExtent l="0" t="0" r="11430" b="9525"/>
            <wp:docPr id="12" name="Graf 12">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A23FCB71-E6CA-4BB5-8F57-BC3D3639207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14361" w:rsidRPr="00E52985" w:rsidRDefault="00D14361" w:rsidP="00036D58">
      <w:pPr>
        <w:pStyle w:val="Odstavecseseznamem"/>
        <w:numPr>
          <w:ilvl w:val="0"/>
          <w:numId w:val="6"/>
        </w:numPr>
        <w:spacing w:before="0" w:line="240" w:lineRule="atLeast"/>
        <w:ind w:left="426" w:hanging="437"/>
        <w:contextualSpacing w:val="0"/>
        <w:rPr>
          <w:rFonts w:ascii="Calibri" w:eastAsia="Calibri" w:hAnsi="Calibri"/>
          <w:sz w:val="18"/>
          <w:szCs w:val="18"/>
          <w:lang w:eastAsia="en-US"/>
        </w:rPr>
      </w:pPr>
      <w:r w:rsidRPr="00E52985">
        <w:rPr>
          <w:rFonts w:ascii="Calibri" w:eastAsia="Calibri" w:hAnsi="Calibri"/>
          <w:sz w:val="18"/>
          <w:szCs w:val="18"/>
          <w:lang w:eastAsia="en-US"/>
        </w:rPr>
        <w:t>% podíl z těch, kteří danou potravinu nakupují.</w:t>
      </w:r>
    </w:p>
    <w:p w:rsidR="00D14361" w:rsidRPr="00E52985" w:rsidRDefault="00D14361" w:rsidP="00036D58">
      <w:pPr>
        <w:pStyle w:val="Odstavecseseznamem"/>
        <w:numPr>
          <w:ilvl w:val="0"/>
          <w:numId w:val="6"/>
        </w:numPr>
        <w:spacing w:before="0" w:line="240" w:lineRule="atLeast"/>
        <w:ind w:left="426" w:hanging="437"/>
        <w:contextualSpacing w:val="0"/>
        <w:rPr>
          <w:rFonts w:ascii="Calibri" w:eastAsia="Calibri" w:hAnsi="Calibri"/>
          <w:sz w:val="18"/>
          <w:szCs w:val="18"/>
          <w:lang w:eastAsia="en-US"/>
        </w:rPr>
      </w:pPr>
      <w:r w:rsidRPr="00E52985">
        <w:rPr>
          <w:rFonts w:ascii="Calibri" w:eastAsia="Calibri" w:hAnsi="Calibri"/>
          <w:sz w:val="18"/>
          <w:szCs w:val="18"/>
          <w:lang w:eastAsia="en-US"/>
        </w:rPr>
        <w:t>Pramen: Zpracováno ÚZEI z dat GfK Czech</w:t>
      </w:r>
    </w:p>
    <w:p w:rsidR="00D14361" w:rsidRDefault="00D14361" w:rsidP="003B7F00">
      <w:pPr>
        <w:spacing w:after="60" w:line="240" w:lineRule="atLeast"/>
        <w:ind w:firstLine="0"/>
        <w:rPr>
          <w:rFonts w:ascii="Calibri" w:eastAsia="Calibri" w:hAnsi="Calibri"/>
          <w:sz w:val="22"/>
          <w:szCs w:val="22"/>
          <w:lang w:eastAsia="en-US"/>
        </w:rPr>
      </w:pPr>
      <w:r>
        <w:rPr>
          <w:noProof/>
        </w:rPr>
        <w:drawing>
          <wp:inline distT="0" distB="0" distL="0" distR="0">
            <wp:extent cx="5760720" cy="2438400"/>
            <wp:effectExtent l="0" t="0" r="11430" b="0"/>
            <wp:docPr id="13" name="Graf 13">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510D4E2C-21B9-4A51-8C01-1E30C08A84C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14361" w:rsidRPr="00E52985" w:rsidRDefault="00D14361" w:rsidP="00036D58">
      <w:pPr>
        <w:pStyle w:val="Odstavecseseznamem"/>
        <w:numPr>
          <w:ilvl w:val="0"/>
          <w:numId w:val="8"/>
        </w:numPr>
        <w:spacing w:after="60" w:line="240" w:lineRule="atLeast"/>
        <w:rPr>
          <w:rFonts w:ascii="Calibri" w:eastAsia="Calibri" w:hAnsi="Calibri"/>
          <w:sz w:val="18"/>
          <w:szCs w:val="18"/>
          <w:lang w:eastAsia="en-US"/>
        </w:rPr>
      </w:pPr>
      <w:r w:rsidRPr="00E52985">
        <w:rPr>
          <w:rFonts w:ascii="Calibri" w:eastAsia="Calibri" w:hAnsi="Calibri"/>
          <w:sz w:val="18"/>
          <w:szCs w:val="18"/>
          <w:lang w:eastAsia="en-US"/>
        </w:rPr>
        <w:t>% podíl z těch, kteří danou potravinu nakupují.</w:t>
      </w:r>
    </w:p>
    <w:p w:rsidR="00D14361" w:rsidRPr="00E52985" w:rsidRDefault="00D14361" w:rsidP="00036D58">
      <w:pPr>
        <w:pStyle w:val="Odstavecseseznamem"/>
        <w:numPr>
          <w:ilvl w:val="0"/>
          <w:numId w:val="8"/>
        </w:numPr>
        <w:spacing w:after="60" w:line="240" w:lineRule="atLeast"/>
        <w:rPr>
          <w:rFonts w:ascii="Calibri" w:eastAsia="Calibri" w:hAnsi="Calibri"/>
          <w:sz w:val="18"/>
          <w:szCs w:val="18"/>
          <w:lang w:eastAsia="en-US"/>
        </w:rPr>
      </w:pPr>
      <w:r w:rsidRPr="00E52985">
        <w:rPr>
          <w:rFonts w:ascii="Calibri" w:eastAsia="Calibri" w:hAnsi="Calibri"/>
          <w:sz w:val="18"/>
          <w:szCs w:val="18"/>
          <w:lang w:eastAsia="en-US"/>
        </w:rPr>
        <w:t>Pramen: Zpracováno ÚZEI z dat GfK Czech</w:t>
      </w:r>
    </w:p>
    <w:p w:rsidR="00D14361" w:rsidRDefault="00D14361" w:rsidP="00EB50EE">
      <w:pPr>
        <w:spacing w:after="60"/>
        <w:ind w:firstLine="0"/>
        <w:rPr>
          <w:rFonts w:ascii="Calibri" w:eastAsia="Calibri" w:hAnsi="Calibri"/>
          <w:sz w:val="22"/>
          <w:szCs w:val="22"/>
          <w:lang w:eastAsia="en-US"/>
        </w:rPr>
      </w:pPr>
      <w:r>
        <w:rPr>
          <w:noProof/>
        </w:rPr>
        <w:drawing>
          <wp:inline distT="0" distB="0" distL="0" distR="0">
            <wp:extent cx="5760720" cy="2552700"/>
            <wp:effectExtent l="0" t="0" r="11430" b="0"/>
            <wp:docPr id="14" name="Graf 14">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498A443E-47C3-4753-9C36-02E8F9520AC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14361" w:rsidRPr="00E52985" w:rsidRDefault="00D14361" w:rsidP="00EB50EE">
      <w:pPr>
        <w:pStyle w:val="Odstavecseseznamem"/>
        <w:numPr>
          <w:ilvl w:val="0"/>
          <w:numId w:val="7"/>
        </w:numPr>
        <w:spacing w:after="60" w:line="240" w:lineRule="atLeast"/>
        <w:ind w:left="567" w:hanging="210"/>
        <w:contextualSpacing w:val="0"/>
        <w:rPr>
          <w:rFonts w:ascii="Calibri" w:eastAsia="Calibri" w:hAnsi="Calibri"/>
          <w:sz w:val="18"/>
          <w:szCs w:val="18"/>
          <w:lang w:eastAsia="en-US"/>
        </w:rPr>
      </w:pPr>
      <w:r w:rsidRPr="00E52985">
        <w:rPr>
          <w:rFonts w:ascii="Calibri" w:eastAsia="Calibri" w:hAnsi="Calibri"/>
          <w:sz w:val="18"/>
          <w:szCs w:val="18"/>
          <w:lang w:eastAsia="en-US"/>
        </w:rPr>
        <w:t>% podíl z těch, kteří danou potravinu nakupují.</w:t>
      </w:r>
    </w:p>
    <w:p w:rsidR="00D14361" w:rsidRDefault="00D14361" w:rsidP="00036D58">
      <w:pPr>
        <w:pStyle w:val="Odstavecseseznamem"/>
        <w:numPr>
          <w:ilvl w:val="0"/>
          <w:numId w:val="7"/>
        </w:numPr>
        <w:spacing w:before="0" w:line="240" w:lineRule="atLeast"/>
        <w:ind w:left="567" w:hanging="210"/>
        <w:contextualSpacing w:val="0"/>
        <w:rPr>
          <w:rFonts w:ascii="Calibri" w:eastAsia="Calibri" w:hAnsi="Calibri"/>
          <w:sz w:val="18"/>
          <w:szCs w:val="18"/>
          <w:lang w:eastAsia="en-US"/>
        </w:rPr>
      </w:pPr>
      <w:r w:rsidRPr="00E52985">
        <w:rPr>
          <w:rFonts w:ascii="Calibri" w:eastAsia="Calibri" w:hAnsi="Calibri"/>
          <w:sz w:val="18"/>
          <w:szCs w:val="18"/>
          <w:lang w:eastAsia="en-US"/>
        </w:rPr>
        <w:t>Pramen: Zpracováno ÚZEI z dat GfK Czech</w:t>
      </w:r>
    </w:p>
    <w:p w:rsidR="00D14361" w:rsidRDefault="00D14361" w:rsidP="00D14361">
      <w:pPr>
        <w:spacing w:after="60" w:line="240" w:lineRule="atLeast"/>
        <w:rPr>
          <w:rFonts w:ascii="Calibri" w:eastAsia="Calibri" w:hAnsi="Calibri"/>
          <w:sz w:val="18"/>
          <w:szCs w:val="18"/>
          <w:lang w:eastAsia="en-US"/>
        </w:rPr>
      </w:pPr>
    </w:p>
    <w:p w:rsidR="00D14361" w:rsidRPr="00D14361" w:rsidRDefault="00D14361" w:rsidP="00D14361">
      <w:pPr>
        <w:spacing w:after="60" w:line="240" w:lineRule="atLeast"/>
        <w:ind w:firstLine="0"/>
        <w:rPr>
          <w:rFonts w:ascii="Calibri" w:eastAsia="Calibri" w:hAnsi="Calibri"/>
          <w:sz w:val="18"/>
          <w:szCs w:val="18"/>
          <w:lang w:eastAsia="en-US"/>
        </w:rPr>
      </w:pPr>
      <w:r>
        <w:rPr>
          <w:noProof/>
        </w:rPr>
        <w:drawing>
          <wp:inline distT="0" distB="0" distL="0" distR="0">
            <wp:extent cx="5760720" cy="2724150"/>
            <wp:effectExtent l="0" t="0" r="11430" b="0"/>
            <wp:docPr id="15" name="Graf 15">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F112B9A8-C2BB-4E2F-8113-7300B13DA80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14361" w:rsidRPr="00E52985" w:rsidRDefault="00D14361" w:rsidP="00036D58">
      <w:pPr>
        <w:pStyle w:val="Odstavecseseznamem"/>
        <w:numPr>
          <w:ilvl w:val="0"/>
          <w:numId w:val="9"/>
        </w:numPr>
        <w:spacing w:after="60" w:line="240" w:lineRule="atLeast"/>
        <w:rPr>
          <w:rFonts w:ascii="Calibri" w:eastAsia="Calibri" w:hAnsi="Calibri"/>
          <w:sz w:val="18"/>
          <w:szCs w:val="18"/>
          <w:lang w:eastAsia="en-US"/>
        </w:rPr>
      </w:pPr>
      <w:r w:rsidRPr="00E52985">
        <w:rPr>
          <w:rFonts w:ascii="Calibri" w:eastAsia="Calibri" w:hAnsi="Calibri"/>
          <w:sz w:val="18"/>
          <w:szCs w:val="18"/>
          <w:lang w:eastAsia="en-US"/>
        </w:rPr>
        <w:t>% podíl z těch, kteří danou potravinu nakupují.</w:t>
      </w:r>
    </w:p>
    <w:p w:rsidR="00D14361" w:rsidRDefault="00D14361" w:rsidP="00036D58">
      <w:pPr>
        <w:pStyle w:val="Odstavecseseznamem"/>
        <w:numPr>
          <w:ilvl w:val="0"/>
          <w:numId w:val="9"/>
        </w:numPr>
        <w:spacing w:after="60" w:line="240" w:lineRule="atLeast"/>
        <w:ind w:left="567" w:hanging="207"/>
        <w:rPr>
          <w:rFonts w:ascii="Calibri" w:eastAsia="Calibri" w:hAnsi="Calibri"/>
          <w:sz w:val="18"/>
          <w:szCs w:val="18"/>
          <w:lang w:eastAsia="en-US"/>
        </w:rPr>
      </w:pPr>
      <w:r w:rsidRPr="00E52985">
        <w:rPr>
          <w:rFonts w:ascii="Calibri" w:eastAsia="Calibri" w:hAnsi="Calibri"/>
          <w:sz w:val="18"/>
          <w:szCs w:val="18"/>
          <w:lang w:eastAsia="en-US"/>
        </w:rPr>
        <w:t>Pramen: Zpracováno ÚZEI z dat GfK Czech</w:t>
      </w:r>
    </w:p>
    <w:p w:rsidR="00EA73D8" w:rsidRDefault="00D6286F" w:rsidP="006F3562">
      <w:pPr>
        <w:ind w:firstLine="0"/>
        <w:rPr>
          <w:rFonts w:ascii="Calibri" w:eastAsia="Calibri" w:hAnsi="Calibri"/>
          <w:sz w:val="22"/>
          <w:szCs w:val="22"/>
          <w:lang w:eastAsia="en-US"/>
        </w:rPr>
      </w:pPr>
      <w:r w:rsidRPr="009D2101">
        <w:rPr>
          <w:rFonts w:ascii="Calibri" w:eastAsia="Calibri" w:hAnsi="Calibri"/>
          <w:sz w:val="22"/>
          <w:szCs w:val="22"/>
          <w:lang w:eastAsia="en-US"/>
        </w:rPr>
        <w:t>Tržní selhání v transmisi cen byla měřena ve vertikále výroby a prodeje mléka a mlékárenských výrobků</w:t>
      </w:r>
      <w:r w:rsidR="009D2101" w:rsidRPr="009D2101">
        <w:rPr>
          <w:rFonts w:ascii="Calibri" w:eastAsia="Calibri" w:hAnsi="Calibri"/>
          <w:sz w:val="22"/>
          <w:szCs w:val="22"/>
          <w:lang w:eastAsia="en-US"/>
        </w:rPr>
        <w:t xml:space="preserve"> (Bošková a kol.</w:t>
      </w:r>
      <w:r w:rsidRPr="009D2101">
        <w:rPr>
          <w:rFonts w:ascii="Calibri" w:eastAsia="Calibri" w:hAnsi="Calibri"/>
          <w:sz w:val="22"/>
          <w:szCs w:val="22"/>
          <w:lang w:eastAsia="en-US"/>
        </w:rPr>
        <w:t>, 2017)</w:t>
      </w:r>
      <w:r w:rsidR="00090D7E">
        <w:rPr>
          <w:rFonts w:ascii="Calibri" w:eastAsia="Calibri" w:hAnsi="Calibri"/>
          <w:sz w:val="22"/>
          <w:szCs w:val="22"/>
          <w:lang w:eastAsia="en-US"/>
        </w:rPr>
        <w:t xml:space="preserve">, </w:t>
      </w:r>
      <w:r w:rsidR="001E1BC5">
        <w:rPr>
          <w:rFonts w:ascii="Calibri" w:eastAsia="Calibri" w:hAnsi="Calibri"/>
          <w:sz w:val="22"/>
          <w:szCs w:val="22"/>
          <w:lang w:eastAsia="en-US"/>
        </w:rPr>
        <w:t xml:space="preserve">vepřového masa a drůbežího masa </w:t>
      </w:r>
      <w:r w:rsidR="00090D7E">
        <w:rPr>
          <w:rFonts w:ascii="Calibri" w:eastAsia="Calibri" w:hAnsi="Calibri"/>
          <w:sz w:val="22"/>
          <w:szCs w:val="22"/>
          <w:lang w:eastAsia="en-US"/>
        </w:rPr>
        <w:t>(Rudinskaya, 2017)</w:t>
      </w:r>
      <w:r w:rsidR="00F56054">
        <w:rPr>
          <w:rStyle w:val="Znakapoznpodarou"/>
          <w:rFonts w:eastAsia="Calibri"/>
          <w:szCs w:val="22"/>
          <w:lang w:eastAsia="en-US"/>
        </w:rPr>
        <w:footnoteReference w:id="4"/>
      </w:r>
      <w:r w:rsidR="00090D7E">
        <w:rPr>
          <w:rFonts w:ascii="Calibri" w:eastAsia="Calibri" w:hAnsi="Calibri"/>
          <w:sz w:val="22"/>
          <w:szCs w:val="22"/>
          <w:lang w:eastAsia="en-US"/>
        </w:rPr>
        <w:t>.</w:t>
      </w:r>
      <w:r w:rsidRPr="009D2101">
        <w:rPr>
          <w:rFonts w:ascii="Calibri" w:eastAsia="Calibri" w:hAnsi="Calibri"/>
          <w:sz w:val="22"/>
          <w:szCs w:val="22"/>
          <w:lang w:eastAsia="en-US"/>
        </w:rPr>
        <w:t xml:space="preserve"> </w:t>
      </w:r>
      <w:r w:rsidR="00600994">
        <w:rPr>
          <w:rFonts w:ascii="Calibri" w:eastAsia="Calibri" w:hAnsi="Calibri"/>
          <w:sz w:val="22"/>
          <w:szCs w:val="22"/>
          <w:lang w:eastAsia="en-US"/>
        </w:rPr>
        <w:t>Výsledky cenových transmisí naznačují, že rozložení sil ve vertikále není rovnoměrné.</w:t>
      </w:r>
    </w:p>
    <w:p w:rsidR="007725F8" w:rsidRDefault="00D6286F" w:rsidP="007725F8">
      <w:pPr>
        <w:ind w:firstLine="0"/>
        <w:rPr>
          <w:rFonts w:ascii="Calibri" w:eastAsia="Calibri" w:hAnsi="Calibri"/>
          <w:sz w:val="22"/>
          <w:szCs w:val="22"/>
          <w:lang w:eastAsia="en-US"/>
        </w:rPr>
      </w:pPr>
      <w:r w:rsidRPr="009D2101">
        <w:rPr>
          <w:rFonts w:ascii="Calibri" w:eastAsia="Calibri" w:hAnsi="Calibri"/>
          <w:sz w:val="22"/>
          <w:szCs w:val="22"/>
          <w:lang w:eastAsia="en-US"/>
        </w:rPr>
        <w:t xml:space="preserve">Výzkum </w:t>
      </w:r>
      <w:r w:rsidR="00F56054">
        <w:rPr>
          <w:rFonts w:ascii="Calibri" w:eastAsia="Calibri" w:hAnsi="Calibri"/>
          <w:sz w:val="22"/>
          <w:szCs w:val="22"/>
          <w:lang w:eastAsia="en-US"/>
        </w:rPr>
        <w:t xml:space="preserve">v odvětví mléka </w:t>
      </w:r>
      <w:r w:rsidRPr="009D2101">
        <w:rPr>
          <w:rFonts w:ascii="Calibri" w:eastAsia="Calibri" w:hAnsi="Calibri"/>
          <w:sz w:val="22"/>
          <w:szCs w:val="22"/>
          <w:lang w:eastAsia="en-US"/>
        </w:rPr>
        <w:t xml:space="preserve">prokázal, že </w:t>
      </w:r>
      <w:r w:rsidRPr="009D2101">
        <w:rPr>
          <w:rFonts w:ascii="Calibri" w:eastAsia="Calibri" w:hAnsi="Calibri"/>
          <w:b/>
          <w:sz w:val="22"/>
          <w:szCs w:val="22"/>
          <w:lang w:eastAsia="en-US"/>
        </w:rPr>
        <w:t>reakce ceny v navazujícím článku vertikály na cenu předchozího článku je větší v případě cenového růstu než v případě cenového poklesu</w:t>
      </w:r>
      <w:r w:rsidRPr="009D2101">
        <w:rPr>
          <w:rFonts w:ascii="Calibri" w:eastAsia="Calibri" w:hAnsi="Calibri"/>
          <w:sz w:val="22"/>
          <w:szCs w:val="22"/>
          <w:lang w:eastAsia="en-US"/>
        </w:rPr>
        <w:t xml:space="preserve">. </w:t>
      </w:r>
      <w:r w:rsidR="009D2101" w:rsidRPr="009D2101">
        <w:rPr>
          <w:rFonts w:ascii="Calibri" w:eastAsia="Calibri" w:hAnsi="Calibri"/>
          <w:sz w:val="22"/>
          <w:szCs w:val="22"/>
          <w:lang w:eastAsia="en-US"/>
        </w:rPr>
        <w:t xml:space="preserve">To znamená, že pokud odběratelům vzroste nákupní cena, zvyšují svou prodejní cenu více, než ji snižují v případě poklesu dodavatelské ceny. </w:t>
      </w:r>
      <w:r w:rsidR="00F56054">
        <w:rPr>
          <w:rFonts w:ascii="Calibri" w:eastAsia="Calibri" w:hAnsi="Calibri"/>
          <w:sz w:val="22"/>
          <w:szCs w:val="22"/>
          <w:lang w:eastAsia="en-US"/>
        </w:rPr>
        <w:t>D</w:t>
      </w:r>
      <w:r w:rsidR="007725F8" w:rsidRPr="00076D49">
        <w:rPr>
          <w:rFonts w:ascii="Calibri" w:eastAsia="Calibri" w:hAnsi="Calibri"/>
          <w:sz w:val="22"/>
          <w:szCs w:val="22"/>
          <w:lang w:eastAsia="en-US"/>
        </w:rPr>
        <w:t xml:space="preserve">alším zjištěním analýzy cenových transmisí </w:t>
      </w:r>
      <w:r w:rsidR="007725F8">
        <w:rPr>
          <w:rFonts w:ascii="Calibri" w:eastAsia="Calibri" w:hAnsi="Calibri"/>
          <w:sz w:val="22"/>
          <w:szCs w:val="22"/>
          <w:lang w:eastAsia="en-US"/>
        </w:rPr>
        <w:t xml:space="preserve">v odvětví mléka </w:t>
      </w:r>
      <w:r w:rsidR="007725F8" w:rsidRPr="00076D49">
        <w:rPr>
          <w:rFonts w:ascii="Calibri" w:eastAsia="Calibri" w:hAnsi="Calibri"/>
          <w:sz w:val="22"/>
          <w:szCs w:val="22"/>
          <w:lang w:eastAsia="en-US"/>
        </w:rPr>
        <w:t xml:space="preserve">je zjištění, že </w:t>
      </w:r>
      <w:r w:rsidR="007725F8" w:rsidRPr="00076D49">
        <w:rPr>
          <w:rFonts w:ascii="Calibri" w:eastAsia="Calibri" w:hAnsi="Calibri"/>
          <w:b/>
          <w:sz w:val="22"/>
          <w:szCs w:val="22"/>
          <w:lang w:eastAsia="en-US"/>
        </w:rPr>
        <w:t>přenos CZV na CPV je neelastický</w:t>
      </w:r>
      <w:r w:rsidR="007725F8" w:rsidRPr="00076D49">
        <w:rPr>
          <w:rFonts w:ascii="Calibri" w:eastAsia="Calibri" w:hAnsi="Calibri"/>
          <w:sz w:val="22"/>
          <w:szCs w:val="22"/>
          <w:lang w:eastAsia="en-US"/>
        </w:rPr>
        <w:t>. To je v souladu s běžnou praxí, kdy CZV v podstatě určují odběratelé (zpětně po vyhodnocení úspěšnosti prodeje). O cenovém vyjednávání lze hovořit zřejmě jen v případě prodeje přes silné odbytové organizace.</w:t>
      </w:r>
    </w:p>
    <w:p w:rsidR="0091301C" w:rsidRDefault="0091301C" w:rsidP="00674939">
      <w:pPr>
        <w:ind w:firstLine="0"/>
        <w:rPr>
          <w:rFonts w:asciiTheme="minorHAnsi" w:hAnsiTheme="minorHAnsi"/>
          <w:b/>
          <w:sz w:val="22"/>
          <w:szCs w:val="22"/>
        </w:rPr>
      </w:pPr>
    </w:p>
    <w:p w:rsidR="0091301C" w:rsidRDefault="0091301C" w:rsidP="00674939">
      <w:pPr>
        <w:ind w:firstLine="0"/>
        <w:rPr>
          <w:rFonts w:asciiTheme="minorHAnsi" w:hAnsiTheme="minorHAnsi"/>
          <w:b/>
          <w:sz w:val="22"/>
          <w:szCs w:val="22"/>
        </w:rPr>
      </w:pPr>
    </w:p>
    <w:p w:rsidR="0091301C" w:rsidRDefault="0091301C" w:rsidP="00674939">
      <w:pPr>
        <w:ind w:firstLine="0"/>
        <w:rPr>
          <w:rFonts w:asciiTheme="minorHAnsi" w:hAnsiTheme="minorHAnsi"/>
          <w:b/>
          <w:sz w:val="22"/>
          <w:szCs w:val="22"/>
        </w:rPr>
      </w:pPr>
    </w:p>
    <w:p w:rsidR="0091301C" w:rsidRDefault="0091301C" w:rsidP="00674939">
      <w:pPr>
        <w:ind w:firstLine="0"/>
        <w:rPr>
          <w:rFonts w:asciiTheme="minorHAnsi" w:hAnsiTheme="minorHAnsi"/>
          <w:b/>
          <w:sz w:val="22"/>
          <w:szCs w:val="22"/>
        </w:rPr>
      </w:pPr>
    </w:p>
    <w:p w:rsidR="0091301C" w:rsidRDefault="0091301C" w:rsidP="00674939">
      <w:pPr>
        <w:ind w:firstLine="0"/>
        <w:rPr>
          <w:rFonts w:asciiTheme="minorHAnsi" w:hAnsiTheme="minorHAnsi"/>
          <w:b/>
          <w:sz w:val="22"/>
          <w:szCs w:val="22"/>
        </w:rPr>
      </w:pPr>
    </w:p>
    <w:p w:rsidR="0091301C" w:rsidRDefault="0091301C" w:rsidP="00674939">
      <w:pPr>
        <w:ind w:firstLine="0"/>
        <w:rPr>
          <w:rFonts w:asciiTheme="minorHAnsi" w:hAnsiTheme="minorHAnsi"/>
          <w:b/>
          <w:sz w:val="22"/>
          <w:szCs w:val="22"/>
        </w:rPr>
      </w:pPr>
    </w:p>
    <w:p w:rsidR="0091301C" w:rsidRDefault="0091301C" w:rsidP="00674939">
      <w:pPr>
        <w:ind w:firstLine="0"/>
        <w:rPr>
          <w:rFonts w:asciiTheme="minorHAnsi" w:hAnsiTheme="minorHAnsi"/>
          <w:b/>
          <w:sz w:val="22"/>
          <w:szCs w:val="22"/>
        </w:rPr>
      </w:pPr>
    </w:p>
    <w:p w:rsidR="00674939" w:rsidRPr="00674939" w:rsidRDefault="00674939" w:rsidP="00674939">
      <w:pPr>
        <w:ind w:firstLine="0"/>
        <w:rPr>
          <w:rFonts w:asciiTheme="minorHAnsi" w:hAnsiTheme="minorHAnsi" w:cs="Arial"/>
          <w:b/>
          <w:sz w:val="22"/>
          <w:szCs w:val="22"/>
        </w:rPr>
      </w:pPr>
      <w:r w:rsidRPr="00674939">
        <w:rPr>
          <w:rFonts w:asciiTheme="minorHAnsi" w:hAnsiTheme="minorHAnsi"/>
          <w:b/>
          <w:sz w:val="22"/>
          <w:szCs w:val="22"/>
        </w:rPr>
        <w:t>Vývoj cen mléka</w:t>
      </w:r>
      <w:r w:rsidRPr="00674939">
        <w:rPr>
          <w:rFonts w:asciiTheme="minorHAnsi" w:hAnsiTheme="minorHAnsi" w:cs="Arial"/>
          <w:b/>
          <w:sz w:val="22"/>
          <w:szCs w:val="22"/>
        </w:rPr>
        <w:t xml:space="preserve"> kravského I a Q tř.j., Kč/ tis.l (CZV), mléka polotučného, Kč/l (CPV),  mléka polotučného pasterovaného, Kč/l (SC)</w:t>
      </w:r>
    </w:p>
    <w:p w:rsidR="00674939" w:rsidRDefault="00674939" w:rsidP="00674939">
      <w:pPr>
        <w:spacing w:before="0" w:line="240" w:lineRule="atLeast"/>
        <w:ind w:firstLine="0"/>
        <w:rPr>
          <w:rFonts w:ascii="Calibri" w:eastAsia="Calibri" w:hAnsi="Calibri"/>
          <w:color w:val="FF0000"/>
          <w:sz w:val="22"/>
          <w:szCs w:val="22"/>
          <w:lang w:eastAsia="en-US"/>
        </w:rPr>
      </w:pPr>
      <w:r>
        <w:rPr>
          <w:noProof/>
        </w:rPr>
        <w:drawing>
          <wp:inline distT="0" distB="0" distL="0" distR="0">
            <wp:extent cx="5581650" cy="3171825"/>
            <wp:effectExtent l="0" t="0" r="0" b="9525"/>
            <wp:docPr id="41" name="Graf 4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2C66474A-F0F7-4C6F-9107-78A00A37361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74939" w:rsidRPr="007725F8" w:rsidRDefault="00674939" w:rsidP="00674939">
      <w:pPr>
        <w:spacing w:before="0" w:line="240" w:lineRule="atLeast"/>
        <w:ind w:firstLine="0"/>
        <w:rPr>
          <w:rFonts w:ascii="Calibri" w:eastAsia="Calibri" w:hAnsi="Calibri"/>
          <w:sz w:val="18"/>
          <w:szCs w:val="18"/>
          <w:lang w:eastAsia="en-US"/>
        </w:rPr>
      </w:pPr>
      <w:r w:rsidRPr="007725F8">
        <w:rPr>
          <w:rFonts w:ascii="Calibri" w:eastAsia="Calibri" w:hAnsi="Calibri"/>
          <w:sz w:val="18"/>
          <w:szCs w:val="18"/>
          <w:lang w:eastAsia="en-US"/>
        </w:rPr>
        <w:t>Pramen: ÚZEI dle dat ČSÚ</w:t>
      </w:r>
    </w:p>
    <w:p w:rsidR="00674939" w:rsidRDefault="00674939" w:rsidP="00674939">
      <w:pPr>
        <w:ind w:firstLine="0"/>
        <w:rPr>
          <w:rFonts w:ascii="Calibri" w:eastAsia="Calibri" w:hAnsi="Calibri"/>
          <w:sz w:val="22"/>
          <w:szCs w:val="22"/>
          <w:lang w:eastAsia="en-US"/>
        </w:rPr>
      </w:pPr>
      <w:r w:rsidRPr="002B7906">
        <w:rPr>
          <w:rFonts w:ascii="Calibri" w:eastAsia="Calibri" w:hAnsi="Calibri"/>
          <w:sz w:val="22"/>
          <w:szCs w:val="22"/>
          <w:lang w:eastAsia="en-US"/>
        </w:rPr>
        <w:t>V případě vepřového masa a výrobků</w:t>
      </w:r>
      <w:r>
        <w:rPr>
          <w:rFonts w:ascii="Calibri" w:eastAsia="Calibri" w:hAnsi="Calibri"/>
          <w:sz w:val="22"/>
          <w:szCs w:val="22"/>
          <w:lang w:eastAsia="en-US"/>
        </w:rPr>
        <w:t xml:space="preserve"> z vepřového masa v</w:t>
      </w:r>
      <w:r w:rsidRPr="002B7906">
        <w:rPr>
          <w:rFonts w:ascii="Calibri" w:eastAsia="Calibri" w:hAnsi="Calibri"/>
          <w:sz w:val="22"/>
          <w:szCs w:val="22"/>
          <w:lang w:eastAsia="en-US"/>
        </w:rPr>
        <w:t xml:space="preserve">ýzkum prokázal, že </w:t>
      </w:r>
      <w:r>
        <w:rPr>
          <w:rFonts w:ascii="Calibri" w:eastAsia="Calibri" w:hAnsi="Calibri"/>
          <w:sz w:val="22"/>
          <w:szCs w:val="22"/>
          <w:lang w:eastAsia="en-US"/>
        </w:rPr>
        <w:t>v</w:t>
      </w:r>
      <w:r w:rsidRPr="002B7906">
        <w:rPr>
          <w:rFonts w:ascii="Calibri" w:eastAsia="Calibri" w:hAnsi="Calibri"/>
          <w:sz w:val="22"/>
          <w:szCs w:val="22"/>
          <w:lang w:eastAsia="en-US"/>
        </w:rPr>
        <w:t> případě růstu ceny je reakce ve většině případů výraznější. Asymetrie cenového přenosu byla identifikována i pomocí odhadu modelu korekce chyby (VEC model), ve kte</w:t>
      </w:r>
      <w:r>
        <w:rPr>
          <w:rFonts w:ascii="Calibri" w:eastAsia="Calibri" w:hAnsi="Calibri"/>
          <w:sz w:val="22"/>
          <w:szCs w:val="22"/>
          <w:lang w:eastAsia="en-US"/>
        </w:rPr>
        <w:t>rém složka korekce chyby ukázala</w:t>
      </w:r>
      <w:r w:rsidRPr="002B7906">
        <w:rPr>
          <w:rFonts w:ascii="Calibri" w:eastAsia="Calibri" w:hAnsi="Calibri"/>
          <w:sz w:val="22"/>
          <w:szCs w:val="22"/>
          <w:lang w:eastAsia="en-US"/>
        </w:rPr>
        <w:t xml:space="preserve"> na </w:t>
      </w:r>
      <w:r w:rsidRPr="002B7906">
        <w:rPr>
          <w:rFonts w:ascii="Calibri" w:eastAsia="Calibri" w:hAnsi="Calibri"/>
          <w:b/>
          <w:sz w:val="22"/>
          <w:szCs w:val="22"/>
          <w:lang w:eastAsia="en-US"/>
        </w:rPr>
        <w:t>neidentickou rychlost návratu</w:t>
      </w:r>
      <w:r w:rsidRPr="002B7906">
        <w:rPr>
          <w:rFonts w:ascii="Calibri" w:eastAsia="Calibri" w:hAnsi="Calibri"/>
          <w:sz w:val="22"/>
          <w:szCs w:val="22"/>
          <w:lang w:eastAsia="en-US"/>
        </w:rPr>
        <w:t xml:space="preserve"> k rovnovážnému stavu v </w:t>
      </w:r>
      <w:r w:rsidRPr="002B7906">
        <w:rPr>
          <w:rFonts w:ascii="Calibri" w:eastAsia="Calibri" w:hAnsi="Calibri"/>
          <w:b/>
          <w:sz w:val="22"/>
          <w:szCs w:val="22"/>
          <w:lang w:eastAsia="en-US"/>
        </w:rPr>
        <w:t>případě rostoucích či klesajících cen</w:t>
      </w:r>
      <w:r w:rsidRPr="002B7906">
        <w:rPr>
          <w:rFonts w:ascii="Calibri" w:eastAsia="Calibri" w:hAnsi="Calibri"/>
          <w:sz w:val="22"/>
          <w:szCs w:val="22"/>
          <w:lang w:eastAsia="en-US"/>
        </w:rPr>
        <w:t xml:space="preserve">. </w:t>
      </w:r>
      <w:r>
        <w:rPr>
          <w:rFonts w:ascii="Calibri" w:eastAsia="Calibri" w:hAnsi="Calibri"/>
          <w:sz w:val="22"/>
          <w:szCs w:val="22"/>
          <w:lang w:eastAsia="en-US"/>
        </w:rPr>
        <w:t>Obchodníci a zpracovatelský průmysl reagují na zvýšení ceny rychleji a s větším rozsahem (SC a CPV se změní o více jednotek), než na snížení ceny.</w:t>
      </w:r>
      <w:r w:rsidR="00F56054">
        <w:rPr>
          <w:rFonts w:ascii="Calibri" w:eastAsia="Calibri" w:hAnsi="Calibri"/>
          <w:sz w:val="22"/>
          <w:szCs w:val="22"/>
          <w:lang w:eastAsia="en-US"/>
        </w:rPr>
        <w:t xml:space="preserve"> </w:t>
      </w:r>
      <w:r w:rsidRPr="008C6574">
        <w:rPr>
          <w:rFonts w:ascii="Calibri" w:eastAsia="Calibri" w:hAnsi="Calibri"/>
          <w:sz w:val="22"/>
          <w:szCs w:val="22"/>
          <w:lang w:eastAsia="en-US"/>
        </w:rPr>
        <w:t>Analýza elasticit cenových transmisí naznačuje, že v případě vepřového masa (vepřové kýty) přenos cen probíhá v </w:t>
      </w:r>
      <w:r w:rsidRPr="008C6574">
        <w:rPr>
          <w:rFonts w:ascii="Calibri" w:eastAsia="Calibri" w:hAnsi="Calibri"/>
          <w:b/>
          <w:sz w:val="22"/>
          <w:szCs w:val="22"/>
          <w:lang w:eastAsia="en-US"/>
        </w:rPr>
        <w:t>nabídkovém směru</w:t>
      </w:r>
      <w:r w:rsidRPr="008C6574">
        <w:rPr>
          <w:rFonts w:ascii="Calibri" w:eastAsia="Calibri" w:hAnsi="Calibri"/>
          <w:sz w:val="22"/>
          <w:szCs w:val="22"/>
          <w:lang w:eastAsia="en-US"/>
        </w:rPr>
        <w:t xml:space="preserve"> (od obchodníka k zemědělci a od zpracovatele k zemědělci).</w:t>
      </w:r>
      <w:r>
        <w:rPr>
          <w:rFonts w:ascii="Calibri" w:eastAsia="Calibri" w:hAnsi="Calibri"/>
          <w:sz w:val="22"/>
          <w:szCs w:val="22"/>
          <w:lang w:eastAsia="en-US"/>
        </w:rPr>
        <w:t xml:space="preserve"> V tomto případě úroveň tržní ceny neurčují zemědělci, ale obchodníci a zpracovatelé. </w:t>
      </w:r>
    </w:p>
    <w:p w:rsidR="00EB50EE" w:rsidRPr="00291606" w:rsidRDefault="00EB50EE" w:rsidP="00EB50EE">
      <w:pPr>
        <w:pStyle w:val="Default"/>
        <w:spacing w:before="60" w:line="360" w:lineRule="atLeast"/>
        <w:jc w:val="both"/>
        <w:rPr>
          <w:rFonts w:ascii="Calibri" w:eastAsia="Calibri" w:hAnsi="Calibri"/>
          <w:color w:val="auto"/>
          <w:sz w:val="22"/>
          <w:szCs w:val="22"/>
        </w:rPr>
      </w:pPr>
      <w:r w:rsidRPr="00291606">
        <w:rPr>
          <w:rFonts w:ascii="Calibri" w:eastAsia="Calibri" w:hAnsi="Calibri"/>
          <w:color w:val="auto"/>
          <w:sz w:val="22"/>
          <w:szCs w:val="22"/>
        </w:rPr>
        <w:t xml:space="preserve">U drůbežího masa se analýza prováděla na časové řadě CZV kuřat jatečných, CPV a SC kuřat kuchaných. Určitým omezením bylo to, že nebylo možné provést analýzu na výrobcích s vyšší přidanou hodnotou z důvodu absence cen těchto výrobků. I v případě drůbeže a drůbežího masa reakce CPV na kladnou změnu CZV a reakce SC na kladnou změnu CPV (zvýšení ceny) je výraznější než reakce na zápornou změnu (snížení ceny). </w:t>
      </w:r>
    </w:p>
    <w:p w:rsidR="00EB50EE" w:rsidRDefault="00EB50EE" w:rsidP="00674939">
      <w:pPr>
        <w:ind w:firstLine="0"/>
        <w:rPr>
          <w:rFonts w:asciiTheme="minorHAnsi" w:hAnsiTheme="minorHAnsi"/>
          <w:b/>
          <w:sz w:val="22"/>
          <w:szCs w:val="22"/>
        </w:rPr>
      </w:pPr>
    </w:p>
    <w:p w:rsidR="00EB50EE" w:rsidRDefault="00EB50EE" w:rsidP="00674939">
      <w:pPr>
        <w:ind w:firstLine="0"/>
        <w:rPr>
          <w:rFonts w:asciiTheme="minorHAnsi" w:hAnsiTheme="minorHAnsi"/>
          <w:b/>
          <w:sz w:val="22"/>
          <w:szCs w:val="22"/>
        </w:rPr>
      </w:pPr>
    </w:p>
    <w:p w:rsidR="00EB50EE" w:rsidRDefault="00EB50EE" w:rsidP="00674939">
      <w:pPr>
        <w:ind w:firstLine="0"/>
        <w:rPr>
          <w:rFonts w:asciiTheme="minorHAnsi" w:hAnsiTheme="minorHAnsi"/>
          <w:b/>
          <w:sz w:val="22"/>
          <w:szCs w:val="22"/>
        </w:rPr>
      </w:pPr>
    </w:p>
    <w:p w:rsidR="0091301C" w:rsidRDefault="0091301C" w:rsidP="00674939">
      <w:pPr>
        <w:ind w:firstLine="0"/>
        <w:rPr>
          <w:rFonts w:asciiTheme="minorHAnsi" w:hAnsiTheme="minorHAnsi"/>
          <w:b/>
          <w:sz w:val="22"/>
          <w:szCs w:val="22"/>
        </w:rPr>
      </w:pPr>
    </w:p>
    <w:p w:rsidR="0091301C" w:rsidRDefault="0091301C" w:rsidP="00674939">
      <w:pPr>
        <w:ind w:firstLine="0"/>
        <w:rPr>
          <w:rFonts w:asciiTheme="minorHAnsi" w:hAnsiTheme="minorHAnsi"/>
          <w:b/>
          <w:sz w:val="22"/>
          <w:szCs w:val="22"/>
        </w:rPr>
      </w:pPr>
    </w:p>
    <w:p w:rsidR="00674939" w:rsidRPr="00F56054" w:rsidRDefault="00674939" w:rsidP="00674939">
      <w:pPr>
        <w:ind w:firstLine="0"/>
        <w:rPr>
          <w:rFonts w:asciiTheme="minorHAnsi" w:hAnsiTheme="minorHAnsi"/>
          <w:b/>
          <w:sz w:val="22"/>
          <w:szCs w:val="22"/>
        </w:rPr>
      </w:pPr>
      <w:r w:rsidRPr="00F56054">
        <w:rPr>
          <w:rFonts w:asciiTheme="minorHAnsi" w:hAnsiTheme="minorHAnsi"/>
          <w:b/>
          <w:sz w:val="22"/>
          <w:szCs w:val="22"/>
        </w:rPr>
        <w:t>Vývoj cen prasat jatečných tř.j. SEU v JUT, Kč/t (CZV), vepřové kýty, Kč/kg (CPV), vepřové kýty, Kč/kg (SC)</w:t>
      </w:r>
    </w:p>
    <w:p w:rsidR="00674939" w:rsidRDefault="00674939" w:rsidP="00674939">
      <w:pPr>
        <w:ind w:firstLine="0"/>
      </w:pPr>
      <w:r>
        <w:rPr>
          <w:noProof/>
        </w:rPr>
        <w:drawing>
          <wp:inline distT="0" distB="0" distL="0" distR="0">
            <wp:extent cx="5724525" cy="3118485"/>
            <wp:effectExtent l="0" t="0" r="9525" b="5715"/>
            <wp:docPr id="39" name="Graf 39">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74939" w:rsidRDefault="00674939" w:rsidP="00674939">
      <w:pPr>
        <w:spacing w:before="0" w:line="240" w:lineRule="atLeast"/>
        <w:ind w:firstLine="0"/>
        <w:rPr>
          <w:rFonts w:ascii="Calibri" w:eastAsia="Calibri" w:hAnsi="Calibri"/>
          <w:sz w:val="18"/>
          <w:szCs w:val="18"/>
          <w:lang w:eastAsia="en-US"/>
        </w:rPr>
      </w:pPr>
      <w:r w:rsidRPr="007725F8">
        <w:rPr>
          <w:rFonts w:ascii="Calibri" w:eastAsia="Calibri" w:hAnsi="Calibri"/>
          <w:sz w:val="18"/>
          <w:szCs w:val="18"/>
          <w:lang w:eastAsia="en-US"/>
        </w:rPr>
        <w:t>Pramen: ÚZEI dle dat ČSÚ</w:t>
      </w:r>
    </w:p>
    <w:p w:rsidR="00674939" w:rsidRPr="00081605" w:rsidRDefault="00674939" w:rsidP="00674939">
      <w:pPr>
        <w:pStyle w:val="Default"/>
        <w:spacing w:before="60" w:after="120" w:line="300" w:lineRule="atLeast"/>
        <w:jc w:val="both"/>
        <w:rPr>
          <w:rFonts w:ascii="Arial" w:hAnsi="Arial" w:cs="Arial"/>
          <w:b/>
          <w:sz w:val="20"/>
          <w:szCs w:val="20"/>
        </w:rPr>
      </w:pPr>
      <w:r w:rsidRPr="00081605">
        <w:rPr>
          <w:rFonts w:ascii="Arial" w:hAnsi="Arial" w:cs="Arial"/>
          <w:b/>
          <w:sz w:val="20"/>
          <w:szCs w:val="20"/>
        </w:rPr>
        <w:t>Vývoj cen kuřat jatečných, Kč/t (CZV), kuřat kuchaných, Kč/kg (CPV), kuřat kuchaných, Kč/kg (SC)</w:t>
      </w:r>
    </w:p>
    <w:p w:rsidR="00674939" w:rsidRDefault="00674939" w:rsidP="00674939">
      <w:pPr>
        <w:ind w:left="720" w:hanging="720"/>
        <w:rPr>
          <w:rFonts w:asciiTheme="minorHAnsi" w:hAnsiTheme="minorHAnsi"/>
          <w:sz w:val="22"/>
          <w:szCs w:val="22"/>
        </w:rPr>
      </w:pPr>
      <w:r>
        <w:rPr>
          <w:noProof/>
        </w:rPr>
        <w:drawing>
          <wp:inline distT="0" distB="0" distL="0" distR="0">
            <wp:extent cx="5734050" cy="2710815"/>
            <wp:effectExtent l="0" t="0" r="0" b="13335"/>
            <wp:docPr id="44" name="Graf 44">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D5C48C69-7DCB-4C09-977B-46E3D6B1FC7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74939" w:rsidRDefault="00674939" w:rsidP="00674939">
      <w:pPr>
        <w:spacing w:before="0" w:line="240" w:lineRule="atLeast"/>
        <w:ind w:firstLine="0"/>
        <w:rPr>
          <w:rFonts w:ascii="Calibri" w:eastAsia="Calibri" w:hAnsi="Calibri"/>
          <w:sz w:val="18"/>
          <w:szCs w:val="18"/>
          <w:lang w:eastAsia="en-US"/>
        </w:rPr>
      </w:pPr>
      <w:r w:rsidRPr="007725F8">
        <w:rPr>
          <w:rFonts w:ascii="Calibri" w:eastAsia="Calibri" w:hAnsi="Calibri"/>
          <w:sz w:val="18"/>
          <w:szCs w:val="18"/>
          <w:lang w:eastAsia="en-US"/>
        </w:rPr>
        <w:t>Pramen: ÚZEI dle dat ČSÚ</w:t>
      </w:r>
    </w:p>
    <w:p w:rsidR="00C65BBB" w:rsidRDefault="004577B9" w:rsidP="006F3562">
      <w:pPr>
        <w:ind w:firstLine="0"/>
        <w:rPr>
          <w:rFonts w:ascii="Calibri" w:eastAsia="Calibri" w:hAnsi="Calibri"/>
          <w:sz w:val="22"/>
          <w:szCs w:val="22"/>
          <w:lang w:eastAsia="en-US"/>
        </w:rPr>
      </w:pPr>
      <w:r w:rsidRPr="007725F8">
        <w:rPr>
          <w:rFonts w:ascii="Calibri" w:eastAsia="Calibri" w:hAnsi="Calibri"/>
          <w:b/>
          <w:caps/>
          <w:sz w:val="22"/>
          <w:szCs w:val="22"/>
          <w:lang w:eastAsia="en-US"/>
        </w:rPr>
        <w:t>Alternativní formy prodeje</w:t>
      </w:r>
      <w:r>
        <w:rPr>
          <w:rFonts w:ascii="Calibri" w:eastAsia="Calibri" w:hAnsi="Calibri"/>
          <w:sz w:val="22"/>
          <w:szCs w:val="22"/>
          <w:lang w:eastAsia="en-US"/>
        </w:rPr>
        <w:t xml:space="preserve"> prostřednictvím </w:t>
      </w:r>
      <w:r w:rsidRPr="007725F8">
        <w:rPr>
          <w:rFonts w:ascii="Calibri" w:eastAsia="Calibri" w:hAnsi="Calibri"/>
          <w:b/>
          <w:caps/>
          <w:sz w:val="22"/>
          <w:szCs w:val="22"/>
          <w:lang w:eastAsia="en-US"/>
        </w:rPr>
        <w:t>malo-formátových prodejen a jiných míst</w:t>
      </w:r>
      <w:r>
        <w:rPr>
          <w:rFonts w:ascii="Calibri" w:eastAsia="Calibri" w:hAnsi="Calibri"/>
          <w:sz w:val="22"/>
          <w:szCs w:val="22"/>
          <w:lang w:eastAsia="en-US"/>
        </w:rPr>
        <w:t xml:space="preserve"> uvádí </w:t>
      </w:r>
      <w:r w:rsidR="007725F8">
        <w:rPr>
          <w:rFonts w:ascii="Calibri" w:eastAsia="Calibri" w:hAnsi="Calibri"/>
          <w:sz w:val="22"/>
          <w:szCs w:val="22"/>
          <w:lang w:eastAsia="en-US"/>
        </w:rPr>
        <w:t xml:space="preserve">dle GfK (2017) </w:t>
      </w:r>
      <w:r w:rsidR="001E1BC5">
        <w:rPr>
          <w:rFonts w:ascii="Calibri" w:eastAsia="Calibri" w:hAnsi="Calibri"/>
          <w:sz w:val="22"/>
          <w:szCs w:val="22"/>
          <w:lang w:eastAsia="en-US"/>
        </w:rPr>
        <w:t xml:space="preserve">ustoupily obchodním řetězcům; </w:t>
      </w:r>
      <w:r>
        <w:rPr>
          <w:rFonts w:ascii="Calibri" w:eastAsia="Calibri" w:hAnsi="Calibri"/>
          <w:sz w:val="22"/>
          <w:szCs w:val="22"/>
          <w:lang w:eastAsia="en-US"/>
        </w:rPr>
        <w:t xml:space="preserve">jako hlavní nákupní místo 10 % až 30 % spotřebitelů. </w:t>
      </w:r>
    </w:p>
    <w:p w:rsidR="007725F8" w:rsidRDefault="00C65BBB" w:rsidP="005233B8">
      <w:pPr>
        <w:ind w:firstLine="0"/>
        <w:rPr>
          <w:rFonts w:ascii="Calibri" w:eastAsia="Calibri" w:hAnsi="Calibri"/>
          <w:sz w:val="22"/>
          <w:szCs w:val="22"/>
          <w:lang w:eastAsia="en-US"/>
        </w:rPr>
      </w:pPr>
      <w:r>
        <w:rPr>
          <w:rFonts w:ascii="Calibri" w:eastAsia="Calibri" w:hAnsi="Calibri"/>
          <w:sz w:val="22"/>
          <w:szCs w:val="22"/>
          <w:lang w:eastAsia="en-US"/>
        </w:rPr>
        <w:t>P</w:t>
      </w:r>
      <w:r w:rsidR="006F3562" w:rsidRPr="006F3562">
        <w:rPr>
          <w:rFonts w:ascii="Calibri" w:eastAsia="Calibri" w:hAnsi="Calibri"/>
          <w:sz w:val="22"/>
          <w:szCs w:val="22"/>
          <w:lang w:eastAsia="en-US"/>
        </w:rPr>
        <w:t xml:space="preserve">rodej formou </w:t>
      </w:r>
      <w:r w:rsidR="006F3562" w:rsidRPr="005F1900">
        <w:rPr>
          <w:rFonts w:ascii="Calibri" w:eastAsia="Calibri" w:hAnsi="Calibri"/>
          <w:b/>
          <w:caps/>
          <w:sz w:val="22"/>
          <w:szCs w:val="22"/>
          <w:lang w:eastAsia="en-US"/>
        </w:rPr>
        <w:t xml:space="preserve">krátkých </w:t>
      </w:r>
      <w:r w:rsidR="009901A2" w:rsidRPr="005F1900">
        <w:rPr>
          <w:rFonts w:ascii="Calibri" w:eastAsia="Calibri" w:hAnsi="Calibri"/>
          <w:b/>
          <w:caps/>
          <w:sz w:val="22"/>
          <w:szCs w:val="22"/>
          <w:lang w:eastAsia="en-US"/>
        </w:rPr>
        <w:t xml:space="preserve">dodavatelských </w:t>
      </w:r>
      <w:r w:rsidR="006F3562" w:rsidRPr="005F1900">
        <w:rPr>
          <w:rFonts w:ascii="Calibri" w:eastAsia="Calibri" w:hAnsi="Calibri"/>
          <w:b/>
          <w:caps/>
          <w:sz w:val="22"/>
          <w:szCs w:val="22"/>
          <w:lang w:eastAsia="en-US"/>
        </w:rPr>
        <w:t>řetězců</w:t>
      </w:r>
      <w:r w:rsidR="0067514E" w:rsidRPr="005F1900">
        <w:rPr>
          <w:rFonts w:ascii="Calibri" w:eastAsia="Calibri" w:hAnsi="Calibri"/>
          <w:b/>
          <w:caps/>
          <w:sz w:val="22"/>
          <w:szCs w:val="22"/>
          <w:lang w:eastAsia="en-US"/>
        </w:rPr>
        <w:t xml:space="preserve"> (KDŘ)</w:t>
      </w:r>
      <w:r>
        <w:rPr>
          <w:rFonts w:ascii="Calibri" w:eastAsia="Calibri" w:hAnsi="Calibri"/>
          <w:b/>
          <w:caps/>
          <w:sz w:val="22"/>
          <w:szCs w:val="22"/>
          <w:lang w:eastAsia="en-US"/>
        </w:rPr>
        <w:t xml:space="preserve"> </w:t>
      </w:r>
      <w:r w:rsidRPr="00C65BBB">
        <w:rPr>
          <w:rFonts w:ascii="Calibri" w:eastAsia="Calibri" w:hAnsi="Calibri"/>
          <w:sz w:val="22"/>
          <w:szCs w:val="22"/>
          <w:lang w:eastAsia="en-US"/>
        </w:rPr>
        <w:t>je vhodný pro malé a střední podniky</w:t>
      </w:r>
      <w:r>
        <w:rPr>
          <w:rStyle w:val="Znakapoznpodarou"/>
          <w:rFonts w:eastAsia="Calibri"/>
          <w:szCs w:val="22"/>
          <w:lang w:eastAsia="en-US"/>
        </w:rPr>
        <w:footnoteReference w:id="5"/>
      </w:r>
      <w:r w:rsidR="006F3562" w:rsidRPr="00C65BBB">
        <w:rPr>
          <w:rFonts w:ascii="Calibri" w:eastAsia="Calibri" w:hAnsi="Calibri"/>
          <w:sz w:val="22"/>
          <w:szCs w:val="22"/>
          <w:lang w:eastAsia="en-US"/>
        </w:rPr>
        <w:t>.</w:t>
      </w:r>
      <w:r w:rsidR="006F3562" w:rsidRPr="006F3562">
        <w:rPr>
          <w:rFonts w:ascii="Calibri" w:eastAsia="Calibri" w:hAnsi="Calibri"/>
          <w:sz w:val="22"/>
          <w:szCs w:val="22"/>
          <w:lang w:eastAsia="en-US"/>
        </w:rPr>
        <w:t xml:space="preserve"> </w:t>
      </w:r>
      <w:r w:rsidR="0067514E">
        <w:rPr>
          <w:rFonts w:ascii="Calibri" w:eastAsia="Calibri" w:hAnsi="Calibri"/>
          <w:sz w:val="22"/>
          <w:szCs w:val="22"/>
          <w:lang w:eastAsia="en-US"/>
        </w:rPr>
        <w:t>Segment KDŘ není datově podchycen tak, aby bylo možné konstatovat, do jaké míry se podílí na prodeji potravin v ČR a zda dochází k jeho rozvoji.</w:t>
      </w:r>
      <w:r w:rsidR="00B270B0">
        <w:rPr>
          <w:rFonts w:ascii="Calibri" w:eastAsia="Calibri" w:hAnsi="Calibri"/>
          <w:sz w:val="22"/>
          <w:szCs w:val="22"/>
          <w:lang w:eastAsia="en-US"/>
        </w:rPr>
        <w:t xml:space="preserve"> </w:t>
      </w:r>
      <w:r w:rsidR="005233B8">
        <w:rPr>
          <w:rFonts w:ascii="Calibri" w:eastAsia="Calibri" w:hAnsi="Calibri"/>
          <w:sz w:val="22"/>
          <w:szCs w:val="22"/>
          <w:lang w:eastAsia="en-US"/>
        </w:rPr>
        <w:t xml:space="preserve">Dílčí informace lze vyvodit z různých zdrojů. </w:t>
      </w:r>
    </w:p>
    <w:p w:rsidR="005233B8" w:rsidRPr="007725F8" w:rsidRDefault="005233B8" w:rsidP="00036D58">
      <w:pPr>
        <w:pStyle w:val="Odstavecseseznamem"/>
        <w:numPr>
          <w:ilvl w:val="0"/>
          <w:numId w:val="15"/>
        </w:numPr>
        <w:ind w:left="0" w:firstLine="0"/>
        <w:rPr>
          <w:rFonts w:ascii="Calibri" w:eastAsia="Calibri" w:hAnsi="Calibri"/>
          <w:sz w:val="22"/>
          <w:szCs w:val="22"/>
          <w:lang w:eastAsia="en-US"/>
        </w:rPr>
      </w:pPr>
      <w:r w:rsidRPr="007725F8">
        <w:rPr>
          <w:rFonts w:ascii="Calibri" w:eastAsia="Calibri" w:hAnsi="Calibri"/>
          <w:sz w:val="22"/>
          <w:szCs w:val="22"/>
          <w:lang w:eastAsia="en-US"/>
        </w:rPr>
        <w:t xml:space="preserve">Dle databáze </w:t>
      </w:r>
      <w:r w:rsidR="00391273" w:rsidRPr="007725F8">
        <w:rPr>
          <w:rFonts w:ascii="Calibri" w:eastAsia="Calibri" w:hAnsi="Calibri"/>
          <w:sz w:val="22"/>
          <w:szCs w:val="22"/>
          <w:lang w:eastAsia="en-US"/>
        </w:rPr>
        <w:t xml:space="preserve">ČSÚ a MPO </w:t>
      </w:r>
      <w:r w:rsidRPr="007725F8">
        <w:rPr>
          <w:rFonts w:ascii="Calibri" w:eastAsia="Calibri" w:hAnsi="Calibri"/>
          <w:sz w:val="22"/>
          <w:szCs w:val="22"/>
          <w:lang w:eastAsia="en-US"/>
        </w:rPr>
        <w:t xml:space="preserve">se </w:t>
      </w:r>
      <w:r w:rsidRPr="007725F8">
        <w:rPr>
          <w:rFonts w:ascii="Calibri" w:eastAsia="Calibri" w:hAnsi="Calibri"/>
          <w:b/>
          <w:sz w:val="22"/>
          <w:szCs w:val="22"/>
          <w:lang w:eastAsia="en-US"/>
        </w:rPr>
        <w:t>malé a střední podniky</w:t>
      </w:r>
      <w:r w:rsidRPr="007725F8">
        <w:rPr>
          <w:rFonts w:ascii="Calibri" w:eastAsia="Calibri" w:hAnsi="Calibri"/>
          <w:sz w:val="22"/>
          <w:szCs w:val="22"/>
          <w:lang w:eastAsia="en-US"/>
        </w:rPr>
        <w:t xml:space="preserve"> </w:t>
      </w:r>
      <w:r w:rsidR="002939D1">
        <w:rPr>
          <w:rFonts w:ascii="Calibri" w:eastAsia="Calibri" w:hAnsi="Calibri"/>
          <w:sz w:val="22"/>
          <w:szCs w:val="22"/>
          <w:lang w:eastAsia="en-US"/>
        </w:rPr>
        <w:t xml:space="preserve">v oboru NACE 10 (zpracování potravin) </w:t>
      </w:r>
      <w:r w:rsidRPr="007725F8">
        <w:rPr>
          <w:rFonts w:ascii="Calibri" w:eastAsia="Calibri" w:hAnsi="Calibri"/>
          <w:sz w:val="22"/>
          <w:szCs w:val="22"/>
          <w:lang w:eastAsia="en-US"/>
        </w:rPr>
        <w:t xml:space="preserve">podílely na celkovém obratu odvětví </w:t>
      </w:r>
      <w:r w:rsidR="00BA383C" w:rsidRPr="007725F8">
        <w:rPr>
          <w:rFonts w:ascii="Calibri" w:eastAsia="Calibri" w:hAnsi="Calibri"/>
          <w:sz w:val="22"/>
          <w:szCs w:val="22"/>
          <w:lang w:eastAsia="en-US"/>
        </w:rPr>
        <w:t xml:space="preserve">NACE 10 </w:t>
      </w:r>
      <w:r w:rsidRPr="007725F8">
        <w:rPr>
          <w:rFonts w:ascii="Calibri" w:eastAsia="Calibri" w:hAnsi="Calibri"/>
          <w:sz w:val="22"/>
          <w:szCs w:val="22"/>
          <w:lang w:eastAsia="en-US"/>
        </w:rPr>
        <w:t xml:space="preserve">v roce 2010 </w:t>
      </w:r>
      <w:r w:rsidR="00391273" w:rsidRPr="007725F8">
        <w:rPr>
          <w:rFonts w:ascii="Calibri" w:eastAsia="Calibri" w:hAnsi="Calibri"/>
          <w:sz w:val="22"/>
          <w:szCs w:val="22"/>
          <w:lang w:eastAsia="en-US"/>
        </w:rPr>
        <w:t xml:space="preserve">celkem 58,4 % </w:t>
      </w:r>
      <w:r w:rsidRPr="007725F8">
        <w:rPr>
          <w:rFonts w:ascii="Calibri" w:eastAsia="Calibri" w:hAnsi="Calibri"/>
          <w:sz w:val="22"/>
          <w:szCs w:val="22"/>
          <w:lang w:eastAsia="en-US"/>
        </w:rPr>
        <w:t xml:space="preserve">a v roce 2017 </w:t>
      </w:r>
      <w:r w:rsidR="00391273" w:rsidRPr="007725F8">
        <w:rPr>
          <w:rFonts w:ascii="Calibri" w:eastAsia="Calibri" w:hAnsi="Calibri"/>
          <w:sz w:val="22"/>
          <w:szCs w:val="22"/>
          <w:lang w:eastAsia="en-US"/>
        </w:rPr>
        <w:t>celkem 57,4 %.</w:t>
      </w:r>
      <w:r w:rsidRPr="007725F8">
        <w:rPr>
          <w:rFonts w:ascii="Calibri" w:eastAsia="Calibri" w:hAnsi="Calibri"/>
          <w:sz w:val="22"/>
          <w:szCs w:val="22"/>
          <w:lang w:eastAsia="en-US"/>
        </w:rPr>
        <w:t xml:space="preserve"> </w:t>
      </w:r>
      <w:r w:rsidR="007725F8">
        <w:rPr>
          <w:rFonts w:ascii="Calibri" w:eastAsia="Calibri" w:hAnsi="Calibri"/>
          <w:sz w:val="22"/>
          <w:szCs w:val="22"/>
          <w:lang w:eastAsia="en-US"/>
        </w:rPr>
        <w:t>Pro splnění podmínky KDŘ by však prodej spotřebitelům musel probíhat již přímo ze zpracovatelského podniku. To lze v případě středních podniků předpokládat ve velmi omezeném rozsahu</w:t>
      </w:r>
      <w:r w:rsidR="008E70E3">
        <w:rPr>
          <w:rFonts w:ascii="Calibri" w:eastAsia="Calibri" w:hAnsi="Calibri"/>
          <w:sz w:val="22"/>
          <w:szCs w:val="22"/>
          <w:lang w:eastAsia="en-US"/>
        </w:rPr>
        <w:t xml:space="preserve"> a v případě malých podniků nelze odhadovat.  </w:t>
      </w:r>
    </w:p>
    <w:p w:rsidR="00BA383C" w:rsidRPr="002939D1" w:rsidRDefault="00BA383C" w:rsidP="005233B8">
      <w:pPr>
        <w:ind w:firstLine="0"/>
        <w:rPr>
          <w:rFonts w:ascii="Calibri" w:eastAsia="Calibri" w:hAnsi="Calibri"/>
          <w:b/>
          <w:sz w:val="22"/>
          <w:szCs w:val="22"/>
          <w:lang w:eastAsia="en-US"/>
        </w:rPr>
      </w:pPr>
      <w:r w:rsidRPr="002939D1">
        <w:rPr>
          <w:rFonts w:ascii="Calibri" w:eastAsia="Calibri" w:hAnsi="Calibri"/>
          <w:b/>
          <w:sz w:val="22"/>
          <w:szCs w:val="22"/>
          <w:lang w:eastAsia="en-US"/>
        </w:rPr>
        <w:t>Obrat v odvětví NACE 10 zpracování potravin</w:t>
      </w:r>
    </w:p>
    <w:tbl>
      <w:tblPr>
        <w:tblW w:w="5000" w:type="pct"/>
        <w:tblLayout w:type="fixed"/>
        <w:tblCellMar>
          <w:left w:w="70" w:type="dxa"/>
          <w:right w:w="70" w:type="dxa"/>
        </w:tblCellMar>
        <w:tblLook w:val="04A0"/>
      </w:tblPr>
      <w:tblGrid>
        <w:gridCol w:w="1289"/>
        <w:gridCol w:w="1298"/>
        <w:gridCol w:w="720"/>
        <w:gridCol w:w="657"/>
        <w:gridCol w:w="656"/>
        <w:gridCol w:w="656"/>
        <w:gridCol w:w="656"/>
        <w:gridCol w:w="656"/>
        <w:gridCol w:w="656"/>
        <w:gridCol w:w="656"/>
        <w:gridCol w:w="656"/>
        <w:gridCol w:w="656"/>
      </w:tblGrid>
      <w:tr w:rsidR="00BA383C" w:rsidRPr="00BA383C" w:rsidTr="00BA383C">
        <w:trPr>
          <w:trHeight w:val="300"/>
        </w:trPr>
        <w:tc>
          <w:tcPr>
            <w:tcW w:w="699" w:type="pct"/>
            <w:tcBorders>
              <w:top w:val="single" w:sz="12" w:space="0" w:color="auto"/>
              <w:left w:val="single" w:sz="12" w:space="0" w:color="auto"/>
              <w:bottom w:val="single" w:sz="12" w:space="0" w:color="auto"/>
              <w:right w:val="single" w:sz="4" w:space="0" w:color="auto"/>
            </w:tcBorders>
            <w:shd w:val="clear" w:color="auto" w:fill="auto"/>
            <w:noWrap/>
            <w:vAlign w:val="bottom"/>
            <w:hideMark/>
          </w:tcPr>
          <w:p w:rsidR="00BA383C" w:rsidRPr="00BA383C" w:rsidRDefault="00BA383C" w:rsidP="00BA383C">
            <w:pPr>
              <w:spacing w:before="0" w:line="240" w:lineRule="auto"/>
              <w:ind w:firstLine="0"/>
              <w:jc w:val="left"/>
              <w:rPr>
                <w:rFonts w:asciiTheme="minorHAnsi" w:hAnsiTheme="minorHAnsi" w:cs="Arial"/>
                <w:b/>
                <w:bCs/>
                <w:color w:val="000000"/>
                <w:sz w:val="18"/>
                <w:szCs w:val="18"/>
              </w:rPr>
            </w:pPr>
            <w:r w:rsidRPr="00BA383C">
              <w:rPr>
                <w:rFonts w:asciiTheme="minorHAnsi" w:hAnsiTheme="minorHAnsi" w:cs="Arial"/>
                <w:b/>
                <w:bCs/>
                <w:color w:val="000000"/>
                <w:sz w:val="18"/>
                <w:szCs w:val="18"/>
              </w:rPr>
              <w:t> </w:t>
            </w:r>
          </w:p>
        </w:tc>
        <w:tc>
          <w:tcPr>
            <w:tcW w:w="704" w:type="pct"/>
            <w:tcBorders>
              <w:top w:val="single" w:sz="12" w:space="0" w:color="auto"/>
              <w:left w:val="nil"/>
              <w:bottom w:val="single" w:sz="12" w:space="0" w:color="auto"/>
              <w:right w:val="single" w:sz="4" w:space="0" w:color="auto"/>
            </w:tcBorders>
            <w:shd w:val="clear" w:color="auto" w:fill="auto"/>
            <w:noWrap/>
            <w:vAlign w:val="bottom"/>
            <w:hideMark/>
          </w:tcPr>
          <w:p w:rsidR="00BA383C" w:rsidRPr="00BA383C" w:rsidRDefault="00BA383C" w:rsidP="00BA383C">
            <w:pPr>
              <w:spacing w:before="0" w:line="240" w:lineRule="auto"/>
              <w:ind w:firstLine="0"/>
              <w:jc w:val="left"/>
              <w:rPr>
                <w:rFonts w:asciiTheme="minorHAnsi" w:hAnsiTheme="minorHAnsi" w:cs="Arial"/>
                <w:b/>
                <w:bCs/>
                <w:color w:val="000000"/>
                <w:sz w:val="18"/>
                <w:szCs w:val="18"/>
              </w:rPr>
            </w:pPr>
            <w:r w:rsidRPr="00BA383C">
              <w:rPr>
                <w:rFonts w:asciiTheme="minorHAnsi" w:hAnsiTheme="minorHAnsi" w:cs="Arial"/>
                <w:b/>
                <w:bCs/>
                <w:color w:val="000000"/>
                <w:sz w:val="18"/>
                <w:szCs w:val="18"/>
              </w:rPr>
              <w:t> </w:t>
            </w:r>
          </w:p>
        </w:tc>
        <w:tc>
          <w:tcPr>
            <w:tcW w:w="390" w:type="pct"/>
            <w:tcBorders>
              <w:top w:val="single" w:sz="12" w:space="0" w:color="auto"/>
              <w:left w:val="nil"/>
              <w:bottom w:val="single" w:sz="12" w:space="0" w:color="auto"/>
              <w:right w:val="single" w:sz="4" w:space="0" w:color="auto"/>
            </w:tcBorders>
            <w:shd w:val="clear" w:color="auto" w:fill="auto"/>
            <w:noWrap/>
            <w:vAlign w:val="center"/>
            <w:hideMark/>
          </w:tcPr>
          <w:p w:rsidR="00BA383C" w:rsidRPr="00BA383C" w:rsidRDefault="00BA383C" w:rsidP="00BA383C">
            <w:pPr>
              <w:spacing w:before="0" w:line="240" w:lineRule="auto"/>
              <w:ind w:firstLine="0"/>
              <w:jc w:val="center"/>
              <w:rPr>
                <w:rFonts w:asciiTheme="minorHAnsi" w:hAnsiTheme="minorHAnsi" w:cs="Arial"/>
                <w:b/>
                <w:bCs/>
                <w:color w:val="000000"/>
                <w:sz w:val="18"/>
                <w:szCs w:val="18"/>
              </w:rPr>
            </w:pPr>
            <w:r w:rsidRPr="00BA383C">
              <w:rPr>
                <w:rFonts w:asciiTheme="minorHAnsi" w:hAnsiTheme="minorHAnsi" w:cs="Arial"/>
                <w:b/>
                <w:bCs/>
                <w:color w:val="000000"/>
                <w:sz w:val="18"/>
                <w:szCs w:val="18"/>
              </w:rPr>
              <w:t> </w:t>
            </w:r>
          </w:p>
        </w:tc>
        <w:tc>
          <w:tcPr>
            <w:tcW w:w="356" w:type="pct"/>
            <w:tcBorders>
              <w:top w:val="single" w:sz="12" w:space="0" w:color="auto"/>
              <w:left w:val="nil"/>
              <w:bottom w:val="single" w:sz="12" w:space="0" w:color="auto"/>
              <w:right w:val="single" w:sz="4" w:space="0" w:color="auto"/>
            </w:tcBorders>
            <w:shd w:val="clear" w:color="auto" w:fill="auto"/>
            <w:noWrap/>
            <w:vAlign w:val="center"/>
            <w:hideMark/>
          </w:tcPr>
          <w:p w:rsidR="00BA383C" w:rsidRPr="00BA383C" w:rsidRDefault="00BA383C" w:rsidP="00BA383C">
            <w:pPr>
              <w:spacing w:before="0" w:line="240" w:lineRule="auto"/>
              <w:ind w:firstLine="0"/>
              <w:jc w:val="center"/>
              <w:rPr>
                <w:rFonts w:asciiTheme="minorHAnsi" w:hAnsiTheme="minorHAnsi" w:cs="Arial"/>
                <w:b/>
                <w:bCs/>
                <w:color w:val="000000"/>
                <w:sz w:val="18"/>
                <w:szCs w:val="18"/>
              </w:rPr>
            </w:pPr>
            <w:r w:rsidRPr="00BA383C">
              <w:rPr>
                <w:rFonts w:asciiTheme="minorHAnsi" w:hAnsiTheme="minorHAnsi" w:cs="Arial"/>
                <w:b/>
                <w:bCs/>
                <w:color w:val="000000"/>
                <w:sz w:val="18"/>
                <w:szCs w:val="18"/>
              </w:rPr>
              <w:t>2010</w:t>
            </w:r>
          </w:p>
        </w:tc>
        <w:tc>
          <w:tcPr>
            <w:tcW w:w="356" w:type="pct"/>
            <w:tcBorders>
              <w:top w:val="single" w:sz="12" w:space="0" w:color="auto"/>
              <w:left w:val="nil"/>
              <w:bottom w:val="single" w:sz="12" w:space="0" w:color="auto"/>
              <w:right w:val="single" w:sz="4" w:space="0" w:color="auto"/>
            </w:tcBorders>
            <w:shd w:val="clear" w:color="auto" w:fill="auto"/>
            <w:noWrap/>
            <w:vAlign w:val="center"/>
            <w:hideMark/>
          </w:tcPr>
          <w:p w:rsidR="00BA383C" w:rsidRPr="00BA383C" w:rsidRDefault="00BA383C" w:rsidP="00BA383C">
            <w:pPr>
              <w:spacing w:before="0" w:line="240" w:lineRule="auto"/>
              <w:ind w:firstLine="0"/>
              <w:jc w:val="center"/>
              <w:rPr>
                <w:rFonts w:asciiTheme="minorHAnsi" w:hAnsiTheme="minorHAnsi" w:cs="Arial"/>
                <w:b/>
                <w:bCs/>
                <w:color w:val="000000"/>
                <w:sz w:val="18"/>
                <w:szCs w:val="18"/>
              </w:rPr>
            </w:pPr>
            <w:r w:rsidRPr="00BA383C">
              <w:rPr>
                <w:rFonts w:asciiTheme="minorHAnsi" w:hAnsiTheme="minorHAnsi" w:cs="Arial"/>
                <w:b/>
                <w:bCs/>
                <w:color w:val="000000"/>
                <w:sz w:val="18"/>
                <w:szCs w:val="18"/>
              </w:rPr>
              <w:t>2011</w:t>
            </w:r>
          </w:p>
        </w:tc>
        <w:tc>
          <w:tcPr>
            <w:tcW w:w="356" w:type="pct"/>
            <w:tcBorders>
              <w:top w:val="single" w:sz="12" w:space="0" w:color="auto"/>
              <w:left w:val="nil"/>
              <w:bottom w:val="single" w:sz="12" w:space="0" w:color="auto"/>
              <w:right w:val="single" w:sz="4" w:space="0" w:color="auto"/>
            </w:tcBorders>
            <w:shd w:val="clear" w:color="auto" w:fill="auto"/>
            <w:noWrap/>
            <w:vAlign w:val="center"/>
            <w:hideMark/>
          </w:tcPr>
          <w:p w:rsidR="00BA383C" w:rsidRPr="00BA383C" w:rsidRDefault="00BA383C" w:rsidP="00BA383C">
            <w:pPr>
              <w:spacing w:before="0" w:line="240" w:lineRule="auto"/>
              <w:ind w:firstLine="0"/>
              <w:jc w:val="center"/>
              <w:rPr>
                <w:rFonts w:asciiTheme="minorHAnsi" w:hAnsiTheme="minorHAnsi" w:cs="Arial"/>
                <w:b/>
                <w:bCs/>
                <w:color w:val="000000"/>
                <w:sz w:val="18"/>
                <w:szCs w:val="18"/>
              </w:rPr>
            </w:pPr>
            <w:r w:rsidRPr="00BA383C">
              <w:rPr>
                <w:rFonts w:asciiTheme="minorHAnsi" w:hAnsiTheme="minorHAnsi" w:cs="Arial"/>
                <w:b/>
                <w:bCs/>
                <w:color w:val="000000"/>
                <w:sz w:val="18"/>
                <w:szCs w:val="18"/>
              </w:rPr>
              <w:t>2012</w:t>
            </w:r>
          </w:p>
        </w:tc>
        <w:tc>
          <w:tcPr>
            <w:tcW w:w="356" w:type="pct"/>
            <w:tcBorders>
              <w:top w:val="single" w:sz="12" w:space="0" w:color="auto"/>
              <w:left w:val="nil"/>
              <w:bottom w:val="single" w:sz="12" w:space="0" w:color="auto"/>
              <w:right w:val="single" w:sz="4" w:space="0" w:color="auto"/>
            </w:tcBorders>
            <w:shd w:val="clear" w:color="auto" w:fill="auto"/>
            <w:noWrap/>
            <w:vAlign w:val="center"/>
            <w:hideMark/>
          </w:tcPr>
          <w:p w:rsidR="00BA383C" w:rsidRPr="00BA383C" w:rsidRDefault="00BA383C" w:rsidP="00BA383C">
            <w:pPr>
              <w:spacing w:before="0" w:line="240" w:lineRule="auto"/>
              <w:ind w:firstLine="0"/>
              <w:jc w:val="center"/>
              <w:rPr>
                <w:rFonts w:asciiTheme="minorHAnsi" w:hAnsiTheme="minorHAnsi" w:cs="Arial"/>
                <w:b/>
                <w:bCs/>
                <w:color w:val="000000"/>
                <w:sz w:val="18"/>
                <w:szCs w:val="18"/>
              </w:rPr>
            </w:pPr>
            <w:r w:rsidRPr="00BA383C">
              <w:rPr>
                <w:rFonts w:asciiTheme="minorHAnsi" w:hAnsiTheme="minorHAnsi" w:cs="Arial"/>
                <w:b/>
                <w:bCs/>
                <w:color w:val="000000"/>
                <w:sz w:val="18"/>
                <w:szCs w:val="18"/>
              </w:rPr>
              <w:t>2013</w:t>
            </w:r>
          </w:p>
        </w:tc>
        <w:tc>
          <w:tcPr>
            <w:tcW w:w="356" w:type="pct"/>
            <w:tcBorders>
              <w:top w:val="single" w:sz="12" w:space="0" w:color="auto"/>
              <w:left w:val="nil"/>
              <w:bottom w:val="single" w:sz="12" w:space="0" w:color="auto"/>
              <w:right w:val="single" w:sz="4" w:space="0" w:color="auto"/>
            </w:tcBorders>
            <w:shd w:val="clear" w:color="auto" w:fill="auto"/>
            <w:noWrap/>
            <w:vAlign w:val="center"/>
            <w:hideMark/>
          </w:tcPr>
          <w:p w:rsidR="00BA383C" w:rsidRPr="00BA383C" w:rsidRDefault="00BA383C" w:rsidP="00BA383C">
            <w:pPr>
              <w:spacing w:before="0" w:line="240" w:lineRule="auto"/>
              <w:ind w:firstLine="0"/>
              <w:jc w:val="center"/>
              <w:rPr>
                <w:rFonts w:asciiTheme="minorHAnsi" w:hAnsiTheme="minorHAnsi" w:cs="Arial"/>
                <w:b/>
                <w:bCs/>
                <w:color w:val="000000"/>
                <w:sz w:val="18"/>
                <w:szCs w:val="18"/>
              </w:rPr>
            </w:pPr>
            <w:r w:rsidRPr="00BA383C">
              <w:rPr>
                <w:rFonts w:asciiTheme="minorHAnsi" w:hAnsiTheme="minorHAnsi" w:cs="Arial"/>
                <w:b/>
                <w:bCs/>
                <w:color w:val="000000"/>
                <w:sz w:val="18"/>
                <w:szCs w:val="18"/>
              </w:rPr>
              <w:t>2014</w:t>
            </w:r>
          </w:p>
        </w:tc>
        <w:tc>
          <w:tcPr>
            <w:tcW w:w="356" w:type="pct"/>
            <w:tcBorders>
              <w:top w:val="single" w:sz="12" w:space="0" w:color="auto"/>
              <w:left w:val="nil"/>
              <w:bottom w:val="single" w:sz="12" w:space="0" w:color="auto"/>
              <w:right w:val="single" w:sz="4" w:space="0" w:color="auto"/>
            </w:tcBorders>
            <w:shd w:val="clear" w:color="auto" w:fill="auto"/>
            <w:noWrap/>
            <w:vAlign w:val="center"/>
            <w:hideMark/>
          </w:tcPr>
          <w:p w:rsidR="00BA383C" w:rsidRPr="00BA383C" w:rsidRDefault="00BA383C" w:rsidP="00BA383C">
            <w:pPr>
              <w:spacing w:before="0" w:line="240" w:lineRule="auto"/>
              <w:ind w:firstLine="0"/>
              <w:jc w:val="center"/>
              <w:rPr>
                <w:rFonts w:asciiTheme="minorHAnsi" w:hAnsiTheme="minorHAnsi" w:cs="Arial"/>
                <w:b/>
                <w:bCs/>
                <w:color w:val="000000"/>
                <w:sz w:val="18"/>
                <w:szCs w:val="18"/>
              </w:rPr>
            </w:pPr>
            <w:r w:rsidRPr="00BA383C">
              <w:rPr>
                <w:rFonts w:asciiTheme="minorHAnsi" w:hAnsiTheme="minorHAnsi" w:cs="Arial"/>
                <w:b/>
                <w:bCs/>
                <w:color w:val="000000"/>
                <w:sz w:val="18"/>
                <w:szCs w:val="18"/>
              </w:rPr>
              <w:t>2015</w:t>
            </w:r>
          </w:p>
        </w:tc>
        <w:tc>
          <w:tcPr>
            <w:tcW w:w="356" w:type="pct"/>
            <w:tcBorders>
              <w:top w:val="single" w:sz="12" w:space="0" w:color="auto"/>
              <w:left w:val="nil"/>
              <w:bottom w:val="single" w:sz="12" w:space="0" w:color="auto"/>
              <w:right w:val="single" w:sz="4" w:space="0" w:color="auto"/>
            </w:tcBorders>
            <w:shd w:val="clear" w:color="auto" w:fill="auto"/>
            <w:noWrap/>
            <w:vAlign w:val="center"/>
            <w:hideMark/>
          </w:tcPr>
          <w:p w:rsidR="00BA383C" w:rsidRPr="00BA383C" w:rsidRDefault="00BA383C" w:rsidP="00BA383C">
            <w:pPr>
              <w:spacing w:before="0" w:line="240" w:lineRule="auto"/>
              <w:ind w:firstLine="0"/>
              <w:jc w:val="center"/>
              <w:rPr>
                <w:rFonts w:asciiTheme="minorHAnsi" w:hAnsiTheme="minorHAnsi" w:cs="Arial"/>
                <w:b/>
                <w:bCs/>
                <w:color w:val="000000"/>
                <w:sz w:val="18"/>
                <w:szCs w:val="18"/>
              </w:rPr>
            </w:pPr>
            <w:r w:rsidRPr="00BA383C">
              <w:rPr>
                <w:rFonts w:asciiTheme="minorHAnsi" w:hAnsiTheme="minorHAnsi" w:cs="Arial"/>
                <w:b/>
                <w:bCs/>
                <w:color w:val="000000"/>
                <w:sz w:val="18"/>
                <w:szCs w:val="18"/>
              </w:rPr>
              <w:t>2016</w:t>
            </w:r>
          </w:p>
        </w:tc>
        <w:tc>
          <w:tcPr>
            <w:tcW w:w="356" w:type="pct"/>
            <w:tcBorders>
              <w:top w:val="single" w:sz="12" w:space="0" w:color="auto"/>
              <w:left w:val="nil"/>
              <w:bottom w:val="single" w:sz="12" w:space="0" w:color="auto"/>
              <w:right w:val="single" w:sz="12" w:space="0" w:color="auto"/>
            </w:tcBorders>
            <w:shd w:val="clear" w:color="auto" w:fill="auto"/>
            <w:noWrap/>
            <w:vAlign w:val="center"/>
            <w:hideMark/>
          </w:tcPr>
          <w:p w:rsidR="00BA383C" w:rsidRPr="00BA383C" w:rsidRDefault="00BA383C" w:rsidP="00BA383C">
            <w:pPr>
              <w:spacing w:before="0" w:line="240" w:lineRule="auto"/>
              <w:ind w:firstLine="0"/>
              <w:jc w:val="center"/>
              <w:rPr>
                <w:rFonts w:asciiTheme="minorHAnsi" w:hAnsiTheme="minorHAnsi" w:cs="Arial"/>
                <w:b/>
                <w:bCs/>
                <w:color w:val="000000"/>
                <w:sz w:val="18"/>
                <w:szCs w:val="18"/>
              </w:rPr>
            </w:pPr>
            <w:r w:rsidRPr="00BA383C">
              <w:rPr>
                <w:rFonts w:asciiTheme="minorHAnsi" w:hAnsiTheme="minorHAnsi" w:cs="Arial"/>
                <w:b/>
                <w:bCs/>
                <w:color w:val="000000"/>
                <w:sz w:val="18"/>
                <w:szCs w:val="18"/>
              </w:rPr>
              <w:t>2017</w:t>
            </w:r>
          </w:p>
        </w:tc>
        <w:tc>
          <w:tcPr>
            <w:tcW w:w="356"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BA383C" w:rsidRPr="00BA383C" w:rsidRDefault="00BA383C" w:rsidP="00BA383C">
            <w:pPr>
              <w:spacing w:before="0" w:line="240" w:lineRule="auto"/>
              <w:ind w:firstLine="0"/>
              <w:jc w:val="center"/>
              <w:rPr>
                <w:rFonts w:asciiTheme="minorHAnsi" w:hAnsiTheme="minorHAnsi" w:cs="Arial"/>
                <w:b/>
                <w:bCs/>
                <w:color w:val="000000"/>
                <w:sz w:val="18"/>
                <w:szCs w:val="18"/>
              </w:rPr>
            </w:pPr>
            <w:r w:rsidRPr="00BA383C">
              <w:rPr>
                <w:rFonts w:asciiTheme="minorHAnsi" w:hAnsiTheme="minorHAnsi" w:cs="Arial"/>
                <w:b/>
                <w:bCs/>
                <w:color w:val="000000"/>
                <w:sz w:val="18"/>
                <w:szCs w:val="18"/>
              </w:rPr>
              <w:t>% 17/10</w:t>
            </w:r>
          </w:p>
        </w:tc>
      </w:tr>
      <w:tr w:rsidR="00BA383C" w:rsidRPr="00BA383C" w:rsidTr="00BA383C">
        <w:trPr>
          <w:trHeight w:val="300"/>
        </w:trPr>
        <w:tc>
          <w:tcPr>
            <w:tcW w:w="699" w:type="pct"/>
            <w:vMerge w:val="restart"/>
            <w:tcBorders>
              <w:top w:val="single" w:sz="12" w:space="0" w:color="auto"/>
              <w:left w:val="single" w:sz="12" w:space="0" w:color="auto"/>
              <w:bottom w:val="single" w:sz="4" w:space="0" w:color="auto"/>
              <w:right w:val="single" w:sz="4" w:space="0" w:color="auto"/>
            </w:tcBorders>
            <w:shd w:val="clear" w:color="auto" w:fill="auto"/>
            <w:vAlign w:val="center"/>
            <w:hideMark/>
          </w:tcPr>
          <w:p w:rsidR="00BA383C" w:rsidRPr="00BA383C" w:rsidRDefault="00BA383C" w:rsidP="00BA383C">
            <w:pPr>
              <w:spacing w:before="0" w:line="240" w:lineRule="auto"/>
              <w:ind w:firstLine="0"/>
              <w:jc w:val="left"/>
              <w:rPr>
                <w:rFonts w:asciiTheme="minorHAnsi" w:hAnsiTheme="minorHAnsi"/>
                <w:color w:val="000000"/>
                <w:sz w:val="18"/>
                <w:szCs w:val="18"/>
              </w:rPr>
            </w:pPr>
            <w:r w:rsidRPr="00BA383C">
              <w:rPr>
                <w:rFonts w:asciiTheme="minorHAnsi" w:hAnsiTheme="minorHAnsi"/>
                <w:color w:val="000000"/>
                <w:sz w:val="18"/>
                <w:szCs w:val="18"/>
              </w:rPr>
              <w:t>Čistý obrat za účetní období (tis. Kč)</w:t>
            </w:r>
          </w:p>
        </w:tc>
        <w:tc>
          <w:tcPr>
            <w:tcW w:w="704" w:type="pct"/>
            <w:tcBorders>
              <w:top w:val="single" w:sz="12" w:space="0" w:color="auto"/>
              <w:left w:val="nil"/>
              <w:bottom w:val="single" w:sz="4" w:space="0" w:color="auto"/>
              <w:right w:val="single" w:sz="4" w:space="0" w:color="auto"/>
            </w:tcBorders>
            <w:shd w:val="clear" w:color="auto" w:fill="auto"/>
            <w:noWrap/>
            <w:vAlign w:val="center"/>
            <w:hideMark/>
          </w:tcPr>
          <w:p w:rsidR="00BA383C" w:rsidRPr="00BA383C" w:rsidRDefault="00BA383C" w:rsidP="00BA383C">
            <w:pPr>
              <w:spacing w:before="0" w:line="240" w:lineRule="auto"/>
              <w:ind w:firstLine="0"/>
              <w:jc w:val="left"/>
              <w:rPr>
                <w:rFonts w:asciiTheme="minorHAnsi" w:hAnsiTheme="minorHAnsi"/>
                <w:color w:val="000000"/>
                <w:sz w:val="18"/>
                <w:szCs w:val="18"/>
              </w:rPr>
            </w:pPr>
            <w:r w:rsidRPr="00BA383C">
              <w:rPr>
                <w:rFonts w:asciiTheme="minorHAnsi" w:hAnsiTheme="minorHAnsi"/>
                <w:color w:val="000000"/>
                <w:sz w:val="18"/>
                <w:szCs w:val="18"/>
              </w:rPr>
              <w:t>celkem</w:t>
            </w:r>
          </w:p>
        </w:tc>
        <w:tc>
          <w:tcPr>
            <w:tcW w:w="390" w:type="pct"/>
            <w:tcBorders>
              <w:top w:val="single" w:sz="12" w:space="0" w:color="auto"/>
              <w:left w:val="nil"/>
              <w:bottom w:val="single" w:sz="4" w:space="0" w:color="auto"/>
              <w:right w:val="single" w:sz="4" w:space="0" w:color="auto"/>
            </w:tcBorders>
            <w:shd w:val="clear" w:color="auto" w:fill="auto"/>
            <w:noWrap/>
            <w:vAlign w:val="center"/>
            <w:hideMark/>
          </w:tcPr>
          <w:p w:rsidR="00BA383C" w:rsidRPr="00BA383C" w:rsidRDefault="00BA383C" w:rsidP="00BA383C">
            <w:pPr>
              <w:spacing w:before="0" w:line="240" w:lineRule="auto"/>
              <w:ind w:firstLine="0"/>
              <w:jc w:val="center"/>
              <w:rPr>
                <w:rFonts w:asciiTheme="minorHAnsi" w:hAnsiTheme="minorHAnsi"/>
                <w:color w:val="000000"/>
                <w:sz w:val="18"/>
                <w:szCs w:val="18"/>
              </w:rPr>
            </w:pPr>
            <w:r w:rsidRPr="00BA383C">
              <w:rPr>
                <w:rFonts w:asciiTheme="minorHAnsi" w:hAnsiTheme="minorHAnsi"/>
                <w:color w:val="000000"/>
                <w:sz w:val="18"/>
                <w:szCs w:val="18"/>
              </w:rPr>
              <w:t>mil. Kč</w:t>
            </w:r>
          </w:p>
        </w:tc>
        <w:tc>
          <w:tcPr>
            <w:tcW w:w="356" w:type="pct"/>
            <w:tcBorders>
              <w:top w:val="single" w:sz="12" w:space="0" w:color="auto"/>
              <w:left w:val="nil"/>
              <w:bottom w:val="single" w:sz="4" w:space="0" w:color="auto"/>
              <w:right w:val="single" w:sz="4" w:space="0" w:color="auto"/>
            </w:tcBorders>
            <w:shd w:val="clear" w:color="auto" w:fill="auto"/>
            <w:noWrap/>
            <w:vAlign w:val="center"/>
            <w:hideMark/>
          </w:tcPr>
          <w:p w:rsidR="00BA383C" w:rsidRPr="00BA383C" w:rsidRDefault="00BA383C" w:rsidP="00BA383C">
            <w:pPr>
              <w:spacing w:before="0" w:line="240" w:lineRule="auto"/>
              <w:ind w:firstLine="0"/>
              <w:jc w:val="right"/>
              <w:rPr>
                <w:rFonts w:asciiTheme="minorHAnsi" w:hAnsiTheme="minorHAnsi" w:cs="Arial"/>
                <w:color w:val="000000"/>
                <w:sz w:val="18"/>
                <w:szCs w:val="18"/>
              </w:rPr>
            </w:pPr>
            <w:r w:rsidRPr="00BA383C">
              <w:rPr>
                <w:rFonts w:asciiTheme="minorHAnsi" w:hAnsiTheme="minorHAnsi" w:cs="Arial"/>
                <w:color w:val="000000"/>
                <w:sz w:val="18"/>
                <w:szCs w:val="18"/>
              </w:rPr>
              <w:t xml:space="preserve">          297    </w:t>
            </w:r>
          </w:p>
        </w:tc>
        <w:tc>
          <w:tcPr>
            <w:tcW w:w="356" w:type="pct"/>
            <w:tcBorders>
              <w:top w:val="single" w:sz="12" w:space="0" w:color="auto"/>
              <w:left w:val="nil"/>
              <w:bottom w:val="single" w:sz="4" w:space="0" w:color="auto"/>
              <w:right w:val="single" w:sz="4" w:space="0" w:color="auto"/>
            </w:tcBorders>
            <w:shd w:val="clear" w:color="auto" w:fill="auto"/>
            <w:noWrap/>
            <w:vAlign w:val="center"/>
            <w:hideMark/>
          </w:tcPr>
          <w:p w:rsidR="00BA383C" w:rsidRPr="00BA383C" w:rsidRDefault="00BA383C" w:rsidP="00BA383C">
            <w:pPr>
              <w:spacing w:before="0" w:line="240" w:lineRule="auto"/>
              <w:ind w:firstLine="0"/>
              <w:jc w:val="right"/>
              <w:rPr>
                <w:rFonts w:asciiTheme="minorHAnsi" w:hAnsiTheme="minorHAnsi" w:cs="Arial"/>
                <w:color w:val="000000"/>
                <w:sz w:val="18"/>
                <w:szCs w:val="18"/>
              </w:rPr>
            </w:pPr>
            <w:r w:rsidRPr="00BA383C">
              <w:rPr>
                <w:rFonts w:asciiTheme="minorHAnsi" w:hAnsiTheme="minorHAnsi" w:cs="Arial"/>
                <w:color w:val="000000"/>
                <w:sz w:val="18"/>
                <w:szCs w:val="18"/>
              </w:rPr>
              <w:t xml:space="preserve">         306    </w:t>
            </w:r>
          </w:p>
        </w:tc>
        <w:tc>
          <w:tcPr>
            <w:tcW w:w="356" w:type="pct"/>
            <w:tcBorders>
              <w:top w:val="single" w:sz="12" w:space="0" w:color="auto"/>
              <w:left w:val="nil"/>
              <w:bottom w:val="single" w:sz="4" w:space="0" w:color="auto"/>
              <w:right w:val="single" w:sz="4" w:space="0" w:color="auto"/>
            </w:tcBorders>
            <w:shd w:val="clear" w:color="auto" w:fill="auto"/>
            <w:noWrap/>
            <w:vAlign w:val="center"/>
            <w:hideMark/>
          </w:tcPr>
          <w:p w:rsidR="00BA383C" w:rsidRPr="00BA383C" w:rsidRDefault="00BA383C" w:rsidP="00BA383C">
            <w:pPr>
              <w:spacing w:before="0" w:line="240" w:lineRule="auto"/>
              <w:ind w:firstLine="0"/>
              <w:jc w:val="right"/>
              <w:rPr>
                <w:rFonts w:asciiTheme="minorHAnsi" w:hAnsiTheme="minorHAnsi" w:cs="Arial"/>
                <w:color w:val="000000"/>
                <w:sz w:val="18"/>
                <w:szCs w:val="18"/>
              </w:rPr>
            </w:pPr>
            <w:r w:rsidRPr="00BA383C">
              <w:rPr>
                <w:rFonts w:asciiTheme="minorHAnsi" w:hAnsiTheme="minorHAnsi" w:cs="Arial"/>
                <w:color w:val="000000"/>
                <w:sz w:val="18"/>
                <w:szCs w:val="18"/>
              </w:rPr>
              <w:t xml:space="preserve">         319    </w:t>
            </w:r>
          </w:p>
        </w:tc>
        <w:tc>
          <w:tcPr>
            <w:tcW w:w="356" w:type="pct"/>
            <w:tcBorders>
              <w:top w:val="single" w:sz="12" w:space="0" w:color="auto"/>
              <w:left w:val="nil"/>
              <w:bottom w:val="single" w:sz="4" w:space="0" w:color="auto"/>
              <w:right w:val="single" w:sz="4" w:space="0" w:color="auto"/>
            </w:tcBorders>
            <w:shd w:val="clear" w:color="auto" w:fill="auto"/>
            <w:noWrap/>
            <w:vAlign w:val="center"/>
            <w:hideMark/>
          </w:tcPr>
          <w:p w:rsidR="00BA383C" w:rsidRPr="00BA383C" w:rsidRDefault="00BA383C" w:rsidP="00BA383C">
            <w:pPr>
              <w:spacing w:before="0" w:line="240" w:lineRule="auto"/>
              <w:ind w:firstLine="0"/>
              <w:jc w:val="right"/>
              <w:rPr>
                <w:rFonts w:asciiTheme="minorHAnsi" w:hAnsiTheme="minorHAnsi" w:cs="Arial"/>
                <w:color w:val="000000"/>
                <w:sz w:val="18"/>
                <w:szCs w:val="18"/>
              </w:rPr>
            </w:pPr>
            <w:r w:rsidRPr="00BA383C">
              <w:rPr>
                <w:rFonts w:asciiTheme="minorHAnsi" w:hAnsiTheme="minorHAnsi" w:cs="Arial"/>
                <w:color w:val="000000"/>
                <w:sz w:val="18"/>
                <w:szCs w:val="18"/>
              </w:rPr>
              <w:t xml:space="preserve">         317    </w:t>
            </w:r>
          </w:p>
        </w:tc>
        <w:tc>
          <w:tcPr>
            <w:tcW w:w="356" w:type="pct"/>
            <w:tcBorders>
              <w:top w:val="single" w:sz="12" w:space="0" w:color="auto"/>
              <w:left w:val="nil"/>
              <w:bottom w:val="single" w:sz="4" w:space="0" w:color="auto"/>
              <w:right w:val="single" w:sz="4" w:space="0" w:color="auto"/>
            </w:tcBorders>
            <w:shd w:val="clear" w:color="auto" w:fill="auto"/>
            <w:noWrap/>
            <w:vAlign w:val="center"/>
            <w:hideMark/>
          </w:tcPr>
          <w:p w:rsidR="00BA383C" w:rsidRPr="00BA383C" w:rsidRDefault="00BA383C" w:rsidP="00BA383C">
            <w:pPr>
              <w:spacing w:before="0" w:line="240" w:lineRule="auto"/>
              <w:ind w:firstLine="0"/>
              <w:jc w:val="right"/>
              <w:rPr>
                <w:rFonts w:asciiTheme="minorHAnsi" w:hAnsiTheme="minorHAnsi" w:cs="Arial"/>
                <w:color w:val="000000"/>
                <w:sz w:val="18"/>
                <w:szCs w:val="18"/>
              </w:rPr>
            </w:pPr>
            <w:r w:rsidRPr="00BA383C">
              <w:rPr>
                <w:rFonts w:asciiTheme="minorHAnsi" w:hAnsiTheme="minorHAnsi" w:cs="Arial"/>
                <w:color w:val="000000"/>
                <w:sz w:val="18"/>
                <w:szCs w:val="18"/>
              </w:rPr>
              <w:t xml:space="preserve">         316    </w:t>
            </w:r>
          </w:p>
        </w:tc>
        <w:tc>
          <w:tcPr>
            <w:tcW w:w="356" w:type="pct"/>
            <w:tcBorders>
              <w:top w:val="single" w:sz="12" w:space="0" w:color="auto"/>
              <w:left w:val="nil"/>
              <w:bottom w:val="single" w:sz="4" w:space="0" w:color="auto"/>
              <w:right w:val="single" w:sz="4" w:space="0" w:color="auto"/>
            </w:tcBorders>
            <w:shd w:val="clear" w:color="auto" w:fill="auto"/>
            <w:noWrap/>
            <w:vAlign w:val="center"/>
            <w:hideMark/>
          </w:tcPr>
          <w:p w:rsidR="00BA383C" w:rsidRPr="00BA383C" w:rsidRDefault="00BA383C" w:rsidP="00BA383C">
            <w:pPr>
              <w:spacing w:before="0" w:line="240" w:lineRule="auto"/>
              <w:ind w:firstLine="0"/>
              <w:jc w:val="right"/>
              <w:rPr>
                <w:rFonts w:asciiTheme="minorHAnsi" w:hAnsiTheme="minorHAnsi" w:cs="Arial"/>
                <w:color w:val="000000"/>
                <w:sz w:val="18"/>
                <w:szCs w:val="18"/>
              </w:rPr>
            </w:pPr>
            <w:r w:rsidRPr="00BA383C">
              <w:rPr>
                <w:rFonts w:asciiTheme="minorHAnsi" w:hAnsiTheme="minorHAnsi" w:cs="Arial"/>
                <w:color w:val="000000"/>
                <w:sz w:val="18"/>
                <w:szCs w:val="18"/>
              </w:rPr>
              <w:t xml:space="preserve">        315    </w:t>
            </w:r>
          </w:p>
        </w:tc>
        <w:tc>
          <w:tcPr>
            <w:tcW w:w="356" w:type="pct"/>
            <w:tcBorders>
              <w:top w:val="single" w:sz="12" w:space="0" w:color="auto"/>
              <w:left w:val="nil"/>
              <w:bottom w:val="single" w:sz="4" w:space="0" w:color="auto"/>
              <w:right w:val="single" w:sz="4" w:space="0" w:color="auto"/>
            </w:tcBorders>
            <w:shd w:val="clear" w:color="auto" w:fill="auto"/>
            <w:noWrap/>
            <w:vAlign w:val="center"/>
            <w:hideMark/>
          </w:tcPr>
          <w:p w:rsidR="00BA383C" w:rsidRPr="00BA383C" w:rsidRDefault="00BA383C" w:rsidP="00BA383C">
            <w:pPr>
              <w:spacing w:before="0" w:line="240" w:lineRule="auto"/>
              <w:ind w:firstLine="0"/>
              <w:jc w:val="right"/>
              <w:rPr>
                <w:rFonts w:asciiTheme="minorHAnsi" w:hAnsiTheme="minorHAnsi" w:cs="Arial"/>
                <w:color w:val="000000"/>
                <w:sz w:val="18"/>
                <w:szCs w:val="18"/>
              </w:rPr>
            </w:pPr>
            <w:r w:rsidRPr="00BA383C">
              <w:rPr>
                <w:rFonts w:asciiTheme="minorHAnsi" w:hAnsiTheme="minorHAnsi" w:cs="Arial"/>
                <w:color w:val="000000"/>
                <w:sz w:val="18"/>
                <w:szCs w:val="18"/>
              </w:rPr>
              <w:t xml:space="preserve">          302    </w:t>
            </w:r>
          </w:p>
        </w:tc>
        <w:tc>
          <w:tcPr>
            <w:tcW w:w="356" w:type="pct"/>
            <w:tcBorders>
              <w:top w:val="single" w:sz="12" w:space="0" w:color="auto"/>
              <w:left w:val="nil"/>
              <w:bottom w:val="single" w:sz="4" w:space="0" w:color="auto"/>
              <w:right w:val="single" w:sz="12" w:space="0" w:color="auto"/>
            </w:tcBorders>
            <w:shd w:val="clear" w:color="auto" w:fill="auto"/>
            <w:noWrap/>
            <w:vAlign w:val="center"/>
            <w:hideMark/>
          </w:tcPr>
          <w:p w:rsidR="00BA383C" w:rsidRPr="00BA383C" w:rsidRDefault="00BA383C" w:rsidP="00BA383C">
            <w:pPr>
              <w:spacing w:before="0" w:line="240" w:lineRule="auto"/>
              <w:ind w:firstLine="0"/>
              <w:jc w:val="right"/>
              <w:rPr>
                <w:rFonts w:asciiTheme="minorHAnsi" w:hAnsiTheme="minorHAnsi" w:cs="Arial"/>
                <w:color w:val="000000"/>
                <w:sz w:val="18"/>
                <w:szCs w:val="18"/>
              </w:rPr>
            </w:pPr>
            <w:r w:rsidRPr="00BA383C">
              <w:rPr>
                <w:rFonts w:asciiTheme="minorHAnsi" w:hAnsiTheme="minorHAnsi" w:cs="Arial"/>
                <w:color w:val="000000"/>
                <w:sz w:val="18"/>
                <w:szCs w:val="18"/>
              </w:rPr>
              <w:t xml:space="preserve">         316    </w:t>
            </w:r>
          </w:p>
        </w:tc>
        <w:tc>
          <w:tcPr>
            <w:tcW w:w="356" w:type="pct"/>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BA383C" w:rsidRPr="00BA383C" w:rsidRDefault="00BA383C" w:rsidP="00BA383C">
            <w:pPr>
              <w:spacing w:before="0" w:line="240" w:lineRule="auto"/>
              <w:ind w:firstLine="0"/>
              <w:jc w:val="right"/>
              <w:rPr>
                <w:rFonts w:asciiTheme="minorHAnsi" w:hAnsiTheme="minorHAnsi" w:cs="Arial"/>
                <w:color w:val="000000"/>
                <w:sz w:val="18"/>
                <w:szCs w:val="18"/>
              </w:rPr>
            </w:pPr>
            <w:r w:rsidRPr="00BA383C">
              <w:rPr>
                <w:rFonts w:asciiTheme="minorHAnsi" w:hAnsiTheme="minorHAnsi" w:cs="Arial"/>
                <w:color w:val="000000"/>
                <w:sz w:val="18"/>
                <w:szCs w:val="18"/>
              </w:rPr>
              <w:t>106,6</w:t>
            </w:r>
          </w:p>
        </w:tc>
      </w:tr>
      <w:tr w:rsidR="00BA383C" w:rsidRPr="00BA383C" w:rsidTr="00BA383C">
        <w:trPr>
          <w:trHeight w:val="300"/>
        </w:trPr>
        <w:tc>
          <w:tcPr>
            <w:tcW w:w="699" w:type="pct"/>
            <w:vMerge/>
            <w:tcBorders>
              <w:top w:val="single" w:sz="4" w:space="0" w:color="auto"/>
              <w:left w:val="single" w:sz="12" w:space="0" w:color="auto"/>
              <w:bottom w:val="single" w:sz="4" w:space="0" w:color="auto"/>
              <w:right w:val="single" w:sz="4" w:space="0" w:color="auto"/>
            </w:tcBorders>
            <w:vAlign w:val="center"/>
            <w:hideMark/>
          </w:tcPr>
          <w:p w:rsidR="00BA383C" w:rsidRPr="00BA383C" w:rsidRDefault="00BA383C" w:rsidP="00BA383C">
            <w:pPr>
              <w:spacing w:before="0" w:line="240" w:lineRule="auto"/>
              <w:ind w:firstLine="0"/>
              <w:jc w:val="left"/>
              <w:rPr>
                <w:rFonts w:asciiTheme="minorHAnsi" w:hAnsiTheme="minorHAnsi"/>
                <w:color w:val="000000"/>
                <w:sz w:val="18"/>
                <w:szCs w:val="18"/>
              </w:rPr>
            </w:pPr>
          </w:p>
        </w:tc>
        <w:tc>
          <w:tcPr>
            <w:tcW w:w="704" w:type="pct"/>
            <w:tcBorders>
              <w:top w:val="single" w:sz="4" w:space="0" w:color="auto"/>
              <w:left w:val="nil"/>
              <w:bottom w:val="single" w:sz="4" w:space="0" w:color="auto"/>
              <w:right w:val="single" w:sz="4" w:space="0" w:color="auto"/>
            </w:tcBorders>
            <w:shd w:val="clear" w:color="auto" w:fill="auto"/>
            <w:noWrap/>
            <w:vAlign w:val="center"/>
            <w:hideMark/>
          </w:tcPr>
          <w:p w:rsidR="00BA383C" w:rsidRPr="00BA383C" w:rsidRDefault="00BA383C" w:rsidP="00BA383C">
            <w:pPr>
              <w:spacing w:before="0" w:line="240" w:lineRule="auto"/>
              <w:ind w:firstLine="0"/>
              <w:jc w:val="left"/>
              <w:rPr>
                <w:rFonts w:asciiTheme="minorHAnsi" w:hAnsiTheme="minorHAnsi"/>
                <w:color w:val="000000"/>
                <w:sz w:val="18"/>
                <w:szCs w:val="18"/>
              </w:rPr>
            </w:pPr>
            <w:r w:rsidRPr="00BA383C">
              <w:rPr>
                <w:rFonts w:asciiTheme="minorHAnsi" w:hAnsiTheme="minorHAnsi"/>
                <w:color w:val="000000"/>
                <w:sz w:val="18"/>
                <w:szCs w:val="18"/>
              </w:rPr>
              <w:t>malé podniky</w:t>
            </w:r>
          </w:p>
        </w:tc>
        <w:tc>
          <w:tcPr>
            <w:tcW w:w="390" w:type="pct"/>
            <w:tcBorders>
              <w:top w:val="single" w:sz="4" w:space="0" w:color="auto"/>
              <w:left w:val="nil"/>
              <w:bottom w:val="single" w:sz="4" w:space="0" w:color="auto"/>
              <w:right w:val="single" w:sz="4" w:space="0" w:color="auto"/>
            </w:tcBorders>
            <w:shd w:val="clear" w:color="auto" w:fill="auto"/>
            <w:noWrap/>
            <w:vAlign w:val="center"/>
            <w:hideMark/>
          </w:tcPr>
          <w:p w:rsidR="00BA383C" w:rsidRPr="00BA383C" w:rsidRDefault="00BA383C" w:rsidP="00BA383C">
            <w:pPr>
              <w:spacing w:before="0" w:line="240" w:lineRule="auto"/>
              <w:ind w:firstLine="0"/>
              <w:jc w:val="center"/>
              <w:rPr>
                <w:rFonts w:asciiTheme="minorHAnsi" w:hAnsiTheme="minorHAnsi"/>
                <w:color w:val="000000"/>
                <w:sz w:val="18"/>
                <w:szCs w:val="18"/>
              </w:rPr>
            </w:pPr>
            <w:r w:rsidRPr="00BA383C">
              <w:rPr>
                <w:rFonts w:asciiTheme="minorHAnsi" w:hAnsiTheme="minorHAnsi"/>
                <w:color w:val="000000"/>
                <w:sz w:val="18"/>
                <w:szCs w:val="18"/>
              </w:rPr>
              <w:t>mil. Kč</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BA383C" w:rsidRPr="00BA383C" w:rsidRDefault="00BA383C" w:rsidP="00BA383C">
            <w:pPr>
              <w:spacing w:before="0" w:line="240" w:lineRule="auto"/>
              <w:ind w:firstLine="0"/>
              <w:jc w:val="right"/>
              <w:rPr>
                <w:rFonts w:asciiTheme="minorHAnsi" w:hAnsiTheme="minorHAnsi" w:cs="Arial"/>
                <w:color w:val="000000"/>
                <w:sz w:val="18"/>
                <w:szCs w:val="18"/>
              </w:rPr>
            </w:pPr>
            <w:r w:rsidRPr="00BA383C">
              <w:rPr>
                <w:rFonts w:asciiTheme="minorHAnsi" w:hAnsiTheme="minorHAnsi" w:cs="Arial"/>
                <w:color w:val="000000"/>
                <w:sz w:val="18"/>
                <w:szCs w:val="18"/>
              </w:rPr>
              <w:t xml:space="preserve">           54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BA383C" w:rsidRPr="00BA383C" w:rsidRDefault="00BA383C" w:rsidP="00BA383C">
            <w:pPr>
              <w:spacing w:before="0" w:line="240" w:lineRule="auto"/>
              <w:ind w:firstLine="0"/>
              <w:jc w:val="right"/>
              <w:rPr>
                <w:rFonts w:asciiTheme="minorHAnsi" w:hAnsiTheme="minorHAnsi" w:cs="Arial"/>
                <w:color w:val="000000"/>
                <w:sz w:val="18"/>
                <w:szCs w:val="18"/>
              </w:rPr>
            </w:pPr>
            <w:r w:rsidRPr="00BA383C">
              <w:rPr>
                <w:rFonts w:asciiTheme="minorHAnsi" w:hAnsiTheme="minorHAnsi" w:cs="Arial"/>
                <w:color w:val="000000"/>
                <w:sz w:val="18"/>
                <w:szCs w:val="18"/>
              </w:rPr>
              <w:t xml:space="preserve">           52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BA383C" w:rsidRPr="00BA383C" w:rsidRDefault="00BA383C" w:rsidP="00BA383C">
            <w:pPr>
              <w:spacing w:before="0" w:line="240" w:lineRule="auto"/>
              <w:ind w:firstLine="0"/>
              <w:jc w:val="right"/>
              <w:rPr>
                <w:rFonts w:asciiTheme="minorHAnsi" w:hAnsiTheme="minorHAnsi" w:cs="Arial"/>
                <w:color w:val="000000"/>
                <w:sz w:val="18"/>
                <w:szCs w:val="18"/>
              </w:rPr>
            </w:pPr>
            <w:r w:rsidRPr="00BA383C">
              <w:rPr>
                <w:rFonts w:asciiTheme="minorHAnsi" w:hAnsiTheme="minorHAnsi" w:cs="Arial"/>
                <w:color w:val="000000"/>
                <w:sz w:val="18"/>
                <w:szCs w:val="18"/>
              </w:rPr>
              <w:t xml:space="preserve">           51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BA383C" w:rsidRPr="00BA383C" w:rsidRDefault="00BA383C" w:rsidP="00BA383C">
            <w:pPr>
              <w:spacing w:before="0" w:line="240" w:lineRule="auto"/>
              <w:ind w:firstLine="0"/>
              <w:jc w:val="right"/>
              <w:rPr>
                <w:rFonts w:asciiTheme="minorHAnsi" w:hAnsiTheme="minorHAnsi" w:cs="Arial"/>
                <w:color w:val="000000"/>
                <w:sz w:val="18"/>
                <w:szCs w:val="18"/>
              </w:rPr>
            </w:pPr>
            <w:r w:rsidRPr="00BA383C">
              <w:rPr>
                <w:rFonts w:asciiTheme="minorHAnsi" w:hAnsiTheme="minorHAnsi" w:cs="Arial"/>
                <w:color w:val="000000"/>
                <w:sz w:val="18"/>
                <w:szCs w:val="18"/>
              </w:rPr>
              <w:t xml:space="preserve">          61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BA383C" w:rsidRPr="00BA383C" w:rsidRDefault="00BA383C" w:rsidP="00BA383C">
            <w:pPr>
              <w:spacing w:before="0" w:line="240" w:lineRule="auto"/>
              <w:ind w:firstLine="0"/>
              <w:jc w:val="right"/>
              <w:rPr>
                <w:rFonts w:asciiTheme="minorHAnsi" w:hAnsiTheme="minorHAnsi" w:cs="Arial"/>
                <w:color w:val="000000"/>
                <w:sz w:val="18"/>
                <w:szCs w:val="18"/>
              </w:rPr>
            </w:pPr>
            <w:r w:rsidRPr="00BA383C">
              <w:rPr>
                <w:rFonts w:asciiTheme="minorHAnsi" w:hAnsiTheme="minorHAnsi" w:cs="Arial"/>
                <w:color w:val="000000"/>
                <w:sz w:val="18"/>
                <w:szCs w:val="18"/>
              </w:rPr>
              <w:t xml:space="preserve">           55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BA383C" w:rsidRPr="00BA383C" w:rsidRDefault="00BA383C" w:rsidP="00BA383C">
            <w:pPr>
              <w:spacing w:before="0" w:line="240" w:lineRule="auto"/>
              <w:ind w:firstLine="0"/>
              <w:jc w:val="right"/>
              <w:rPr>
                <w:rFonts w:asciiTheme="minorHAnsi" w:hAnsiTheme="minorHAnsi" w:cs="Arial"/>
                <w:color w:val="000000"/>
                <w:sz w:val="18"/>
                <w:szCs w:val="18"/>
              </w:rPr>
            </w:pPr>
            <w:r w:rsidRPr="00BA383C">
              <w:rPr>
                <w:rFonts w:asciiTheme="minorHAnsi" w:hAnsiTheme="minorHAnsi" w:cs="Arial"/>
                <w:color w:val="000000"/>
                <w:sz w:val="18"/>
                <w:szCs w:val="18"/>
              </w:rPr>
              <w:t xml:space="preserve">          52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BA383C" w:rsidRPr="00BA383C" w:rsidRDefault="00BA383C" w:rsidP="00BA383C">
            <w:pPr>
              <w:spacing w:before="0" w:line="240" w:lineRule="auto"/>
              <w:ind w:firstLine="0"/>
              <w:jc w:val="right"/>
              <w:rPr>
                <w:rFonts w:asciiTheme="minorHAnsi" w:hAnsiTheme="minorHAnsi" w:cs="Arial"/>
                <w:color w:val="000000"/>
                <w:sz w:val="18"/>
                <w:szCs w:val="18"/>
              </w:rPr>
            </w:pPr>
            <w:r w:rsidRPr="00BA383C">
              <w:rPr>
                <w:rFonts w:asciiTheme="minorHAnsi" w:hAnsiTheme="minorHAnsi" w:cs="Arial"/>
                <w:color w:val="000000"/>
                <w:sz w:val="18"/>
                <w:szCs w:val="18"/>
              </w:rPr>
              <w:t xml:space="preserve">            53    </w:t>
            </w:r>
          </w:p>
        </w:tc>
        <w:tc>
          <w:tcPr>
            <w:tcW w:w="356" w:type="pct"/>
            <w:tcBorders>
              <w:top w:val="single" w:sz="4" w:space="0" w:color="auto"/>
              <w:left w:val="nil"/>
              <w:bottom w:val="single" w:sz="4" w:space="0" w:color="auto"/>
              <w:right w:val="single" w:sz="12" w:space="0" w:color="auto"/>
            </w:tcBorders>
            <w:shd w:val="clear" w:color="auto" w:fill="auto"/>
            <w:noWrap/>
            <w:vAlign w:val="center"/>
            <w:hideMark/>
          </w:tcPr>
          <w:p w:rsidR="00BA383C" w:rsidRPr="00BA383C" w:rsidRDefault="00BA383C" w:rsidP="00BA383C">
            <w:pPr>
              <w:spacing w:before="0" w:line="240" w:lineRule="auto"/>
              <w:ind w:firstLine="0"/>
              <w:jc w:val="right"/>
              <w:rPr>
                <w:rFonts w:asciiTheme="minorHAnsi" w:hAnsiTheme="minorHAnsi" w:cs="Arial"/>
                <w:color w:val="000000"/>
                <w:sz w:val="18"/>
                <w:szCs w:val="18"/>
              </w:rPr>
            </w:pPr>
            <w:r w:rsidRPr="00BA383C">
              <w:rPr>
                <w:rFonts w:asciiTheme="minorHAnsi" w:hAnsiTheme="minorHAnsi" w:cs="Arial"/>
                <w:color w:val="000000"/>
                <w:sz w:val="18"/>
                <w:szCs w:val="18"/>
              </w:rPr>
              <w:t xml:space="preserve">           51    </w:t>
            </w:r>
          </w:p>
        </w:tc>
        <w:tc>
          <w:tcPr>
            <w:tcW w:w="356" w:type="pct"/>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BA383C" w:rsidRPr="00BA383C" w:rsidRDefault="00BA383C" w:rsidP="00BA383C">
            <w:pPr>
              <w:spacing w:before="0" w:line="240" w:lineRule="auto"/>
              <w:ind w:firstLine="0"/>
              <w:jc w:val="right"/>
              <w:rPr>
                <w:rFonts w:asciiTheme="minorHAnsi" w:hAnsiTheme="minorHAnsi" w:cs="Arial"/>
                <w:color w:val="000000"/>
                <w:sz w:val="18"/>
                <w:szCs w:val="18"/>
              </w:rPr>
            </w:pPr>
            <w:r w:rsidRPr="00BA383C">
              <w:rPr>
                <w:rFonts w:asciiTheme="minorHAnsi" w:hAnsiTheme="minorHAnsi" w:cs="Arial"/>
                <w:color w:val="000000"/>
                <w:sz w:val="18"/>
                <w:szCs w:val="18"/>
              </w:rPr>
              <w:t>94,6</w:t>
            </w:r>
          </w:p>
        </w:tc>
      </w:tr>
      <w:tr w:rsidR="00BA383C" w:rsidRPr="00BA383C" w:rsidTr="00BA383C">
        <w:trPr>
          <w:trHeight w:val="300"/>
        </w:trPr>
        <w:tc>
          <w:tcPr>
            <w:tcW w:w="699" w:type="pct"/>
            <w:vMerge/>
            <w:tcBorders>
              <w:top w:val="single" w:sz="4" w:space="0" w:color="auto"/>
              <w:left w:val="single" w:sz="12" w:space="0" w:color="auto"/>
              <w:bottom w:val="single" w:sz="4" w:space="0" w:color="auto"/>
              <w:right w:val="single" w:sz="4" w:space="0" w:color="auto"/>
            </w:tcBorders>
            <w:vAlign w:val="center"/>
            <w:hideMark/>
          </w:tcPr>
          <w:p w:rsidR="00BA383C" w:rsidRPr="00BA383C" w:rsidRDefault="00BA383C" w:rsidP="00BA383C">
            <w:pPr>
              <w:spacing w:before="0" w:line="240" w:lineRule="auto"/>
              <w:ind w:firstLine="0"/>
              <w:jc w:val="left"/>
              <w:rPr>
                <w:rFonts w:asciiTheme="minorHAnsi" w:hAnsiTheme="minorHAnsi"/>
                <w:color w:val="000000"/>
                <w:sz w:val="18"/>
                <w:szCs w:val="18"/>
              </w:rPr>
            </w:pPr>
          </w:p>
        </w:tc>
        <w:tc>
          <w:tcPr>
            <w:tcW w:w="704" w:type="pct"/>
            <w:tcBorders>
              <w:top w:val="single" w:sz="4" w:space="0" w:color="auto"/>
              <w:left w:val="nil"/>
              <w:bottom w:val="single" w:sz="4" w:space="0" w:color="auto"/>
              <w:right w:val="single" w:sz="4" w:space="0" w:color="auto"/>
            </w:tcBorders>
            <w:shd w:val="clear" w:color="auto" w:fill="auto"/>
            <w:noWrap/>
            <w:vAlign w:val="center"/>
            <w:hideMark/>
          </w:tcPr>
          <w:p w:rsidR="00BA383C" w:rsidRPr="00BA383C" w:rsidRDefault="00BA383C" w:rsidP="00BA383C">
            <w:pPr>
              <w:spacing w:before="0" w:line="240" w:lineRule="auto"/>
              <w:ind w:firstLine="0"/>
              <w:jc w:val="left"/>
              <w:rPr>
                <w:rFonts w:asciiTheme="minorHAnsi" w:hAnsiTheme="minorHAnsi"/>
                <w:color w:val="000000"/>
                <w:sz w:val="18"/>
                <w:szCs w:val="18"/>
              </w:rPr>
            </w:pPr>
            <w:r w:rsidRPr="00BA383C">
              <w:rPr>
                <w:rFonts w:asciiTheme="minorHAnsi" w:hAnsiTheme="minorHAnsi"/>
                <w:color w:val="000000"/>
                <w:sz w:val="18"/>
                <w:szCs w:val="18"/>
              </w:rPr>
              <w:t>střední podniky</w:t>
            </w:r>
          </w:p>
        </w:tc>
        <w:tc>
          <w:tcPr>
            <w:tcW w:w="390" w:type="pct"/>
            <w:tcBorders>
              <w:top w:val="single" w:sz="4" w:space="0" w:color="auto"/>
              <w:left w:val="nil"/>
              <w:bottom w:val="single" w:sz="4" w:space="0" w:color="auto"/>
              <w:right w:val="single" w:sz="4" w:space="0" w:color="auto"/>
            </w:tcBorders>
            <w:shd w:val="clear" w:color="auto" w:fill="auto"/>
            <w:noWrap/>
            <w:vAlign w:val="center"/>
            <w:hideMark/>
          </w:tcPr>
          <w:p w:rsidR="00BA383C" w:rsidRPr="00BA383C" w:rsidRDefault="00BA383C" w:rsidP="00BA383C">
            <w:pPr>
              <w:spacing w:before="0" w:line="240" w:lineRule="auto"/>
              <w:ind w:firstLine="0"/>
              <w:jc w:val="center"/>
              <w:rPr>
                <w:rFonts w:asciiTheme="minorHAnsi" w:hAnsiTheme="minorHAnsi"/>
                <w:color w:val="000000"/>
                <w:sz w:val="18"/>
                <w:szCs w:val="18"/>
              </w:rPr>
            </w:pPr>
            <w:r w:rsidRPr="00BA383C">
              <w:rPr>
                <w:rFonts w:asciiTheme="minorHAnsi" w:hAnsiTheme="minorHAnsi"/>
                <w:color w:val="000000"/>
                <w:sz w:val="18"/>
                <w:szCs w:val="18"/>
              </w:rPr>
              <w:t>mil. Kč</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BA383C" w:rsidRPr="00BA383C" w:rsidRDefault="00BA383C" w:rsidP="00BA383C">
            <w:pPr>
              <w:spacing w:before="0" w:line="240" w:lineRule="auto"/>
              <w:ind w:firstLine="0"/>
              <w:jc w:val="right"/>
              <w:rPr>
                <w:rFonts w:asciiTheme="minorHAnsi" w:hAnsiTheme="minorHAnsi" w:cs="Arial"/>
                <w:color w:val="000000"/>
                <w:sz w:val="18"/>
                <w:szCs w:val="18"/>
              </w:rPr>
            </w:pPr>
            <w:r w:rsidRPr="00BA383C">
              <w:rPr>
                <w:rFonts w:asciiTheme="minorHAnsi" w:hAnsiTheme="minorHAnsi" w:cs="Arial"/>
                <w:color w:val="000000"/>
                <w:sz w:val="18"/>
                <w:szCs w:val="18"/>
              </w:rPr>
              <w:t xml:space="preserve">          120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BA383C" w:rsidRPr="00BA383C" w:rsidRDefault="00BA383C" w:rsidP="00BA383C">
            <w:pPr>
              <w:spacing w:before="0" w:line="240" w:lineRule="auto"/>
              <w:ind w:firstLine="0"/>
              <w:jc w:val="right"/>
              <w:rPr>
                <w:rFonts w:asciiTheme="minorHAnsi" w:hAnsiTheme="minorHAnsi" w:cs="Arial"/>
                <w:color w:val="000000"/>
                <w:sz w:val="18"/>
                <w:szCs w:val="18"/>
              </w:rPr>
            </w:pPr>
            <w:r w:rsidRPr="00BA383C">
              <w:rPr>
                <w:rFonts w:asciiTheme="minorHAnsi" w:hAnsiTheme="minorHAnsi" w:cs="Arial"/>
                <w:color w:val="000000"/>
                <w:sz w:val="18"/>
                <w:szCs w:val="18"/>
              </w:rPr>
              <w:t xml:space="preserve">         130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BA383C" w:rsidRPr="00BA383C" w:rsidRDefault="00BA383C" w:rsidP="00BA383C">
            <w:pPr>
              <w:spacing w:before="0" w:line="240" w:lineRule="auto"/>
              <w:ind w:firstLine="0"/>
              <w:jc w:val="right"/>
              <w:rPr>
                <w:rFonts w:asciiTheme="minorHAnsi" w:hAnsiTheme="minorHAnsi" w:cs="Arial"/>
                <w:color w:val="000000"/>
                <w:sz w:val="18"/>
                <w:szCs w:val="18"/>
              </w:rPr>
            </w:pPr>
            <w:r w:rsidRPr="00BA383C">
              <w:rPr>
                <w:rFonts w:asciiTheme="minorHAnsi" w:hAnsiTheme="minorHAnsi" w:cs="Arial"/>
                <w:color w:val="000000"/>
                <w:sz w:val="18"/>
                <w:szCs w:val="18"/>
              </w:rPr>
              <w:t xml:space="preserve">         130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BA383C" w:rsidRPr="00BA383C" w:rsidRDefault="00BA383C" w:rsidP="00BA383C">
            <w:pPr>
              <w:spacing w:before="0" w:line="240" w:lineRule="auto"/>
              <w:ind w:firstLine="0"/>
              <w:jc w:val="right"/>
              <w:rPr>
                <w:rFonts w:asciiTheme="minorHAnsi" w:hAnsiTheme="minorHAnsi" w:cs="Arial"/>
                <w:color w:val="000000"/>
                <w:sz w:val="18"/>
                <w:szCs w:val="18"/>
              </w:rPr>
            </w:pPr>
            <w:r w:rsidRPr="00BA383C">
              <w:rPr>
                <w:rFonts w:asciiTheme="minorHAnsi" w:hAnsiTheme="minorHAnsi" w:cs="Arial"/>
                <w:color w:val="000000"/>
                <w:sz w:val="18"/>
                <w:szCs w:val="18"/>
              </w:rPr>
              <w:t xml:space="preserve">         139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BA383C" w:rsidRPr="00BA383C" w:rsidRDefault="00BA383C" w:rsidP="00BA383C">
            <w:pPr>
              <w:spacing w:before="0" w:line="240" w:lineRule="auto"/>
              <w:ind w:firstLine="0"/>
              <w:jc w:val="right"/>
              <w:rPr>
                <w:rFonts w:asciiTheme="minorHAnsi" w:hAnsiTheme="minorHAnsi" w:cs="Arial"/>
                <w:color w:val="000000"/>
                <w:sz w:val="18"/>
                <w:szCs w:val="18"/>
              </w:rPr>
            </w:pPr>
            <w:r w:rsidRPr="00BA383C">
              <w:rPr>
                <w:rFonts w:asciiTheme="minorHAnsi" w:hAnsiTheme="minorHAnsi" w:cs="Arial"/>
                <w:color w:val="000000"/>
                <w:sz w:val="18"/>
                <w:szCs w:val="18"/>
              </w:rPr>
              <w:t xml:space="preserve">         141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BA383C" w:rsidRPr="00BA383C" w:rsidRDefault="00BA383C" w:rsidP="00BA383C">
            <w:pPr>
              <w:spacing w:before="0" w:line="240" w:lineRule="auto"/>
              <w:ind w:firstLine="0"/>
              <w:jc w:val="right"/>
              <w:rPr>
                <w:rFonts w:asciiTheme="minorHAnsi" w:hAnsiTheme="minorHAnsi" w:cs="Arial"/>
                <w:color w:val="000000"/>
                <w:sz w:val="18"/>
                <w:szCs w:val="18"/>
              </w:rPr>
            </w:pPr>
            <w:r w:rsidRPr="00BA383C">
              <w:rPr>
                <w:rFonts w:asciiTheme="minorHAnsi" w:hAnsiTheme="minorHAnsi" w:cs="Arial"/>
                <w:color w:val="000000"/>
                <w:sz w:val="18"/>
                <w:szCs w:val="18"/>
              </w:rPr>
              <w:t xml:space="preserve">        136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BA383C" w:rsidRPr="00BA383C" w:rsidRDefault="00BA383C" w:rsidP="00BA383C">
            <w:pPr>
              <w:spacing w:before="0" w:line="240" w:lineRule="auto"/>
              <w:ind w:firstLine="0"/>
              <w:jc w:val="right"/>
              <w:rPr>
                <w:rFonts w:asciiTheme="minorHAnsi" w:hAnsiTheme="minorHAnsi" w:cs="Arial"/>
                <w:color w:val="000000"/>
                <w:sz w:val="18"/>
                <w:szCs w:val="18"/>
              </w:rPr>
            </w:pPr>
            <w:r w:rsidRPr="00BA383C">
              <w:rPr>
                <w:rFonts w:asciiTheme="minorHAnsi" w:hAnsiTheme="minorHAnsi" w:cs="Arial"/>
                <w:color w:val="000000"/>
                <w:sz w:val="18"/>
                <w:szCs w:val="18"/>
              </w:rPr>
              <w:t xml:space="preserve">          123    </w:t>
            </w:r>
          </w:p>
        </w:tc>
        <w:tc>
          <w:tcPr>
            <w:tcW w:w="356" w:type="pct"/>
            <w:tcBorders>
              <w:top w:val="single" w:sz="4" w:space="0" w:color="auto"/>
              <w:left w:val="nil"/>
              <w:bottom w:val="single" w:sz="4" w:space="0" w:color="auto"/>
              <w:right w:val="single" w:sz="12" w:space="0" w:color="auto"/>
            </w:tcBorders>
            <w:shd w:val="clear" w:color="auto" w:fill="auto"/>
            <w:noWrap/>
            <w:vAlign w:val="center"/>
            <w:hideMark/>
          </w:tcPr>
          <w:p w:rsidR="00BA383C" w:rsidRPr="00BA383C" w:rsidRDefault="00BA383C" w:rsidP="00BA383C">
            <w:pPr>
              <w:spacing w:before="0" w:line="240" w:lineRule="auto"/>
              <w:ind w:firstLine="0"/>
              <w:jc w:val="right"/>
              <w:rPr>
                <w:rFonts w:asciiTheme="minorHAnsi" w:hAnsiTheme="minorHAnsi" w:cs="Arial"/>
                <w:color w:val="000000"/>
                <w:sz w:val="18"/>
                <w:szCs w:val="18"/>
              </w:rPr>
            </w:pPr>
            <w:r w:rsidRPr="00BA383C">
              <w:rPr>
                <w:rFonts w:asciiTheme="minorHAnsi" w:hAnsiTheme="minorHAnsi" w:cs="Arial"/>
                <w:color w:val="000000"/>
                <w:sz w:val="18"/>
                <w:szCs w:val="18"/>
              </w:rPr>
              <w:t xml:space="preserve">         130    </w:t>
            </w:r>
          </w:p>
        </w:tc>
        <w:tc>
          <w:tcPr>
            <w:tcW w:w="356" w:type="pct"/>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BA383C" w:rsidRPr="00BA383C" w:rsidRDefault="00BA383C" w:rsidP="00BA383C">
            <w:pPr>
              <w:spacing w:before="0" w:line="240" w:lineRule="auto"/>
              <w:ind w:firstLine="0"/>
              <w:jc w:val="right"/>
              <w:rPr>
                <w:rFonts w:asciiTheme="minorHAnsi" w:hAnsiTheme="minorHAnsi" w:cs="Arial"/>
                <w:color w:val="000000"/>
                <w:sz w:val="18"/>
                <w:szCs w:val="18"/>
              </w:rPr>
            </w:pPr>
            <w:r w:rsidRPr="00BA383C">
              <w:rPr>
                <w:rFonts w:asciiTheme="minorHAnsi" w:hAnsiTheme="minorHAnsi" w:cs="Arial"/>
                <w:color w:val="000000"/>
                <w:sz w:val="18"/>
                <w:szCs w:val="18"/>
              </w:rPr>
              <w:t>109,1</w:t>
            </w:r>
          </w:p>
        </w:tc>
      </w:tr>
      <w:tr w:rsidR="00BA383C" w:rsidRPr="00BA383C" w:rsidTr="00BA383C">
        <w:trPr>
          <w:trHeight w:val="300"/>
        </w:trPr>
        <w:tc>
          <w:tcPr>
            <w:tcW w:w="699" w:type="pct"/>
            <w:vMerge/>
            <w:tcBorders>
              <w:top w:val="single" w:sz="4" w:space="0" w:color="auto"/>
              <w:left w:val="single" w:sz="12" w:space="0" w:color="auto"/>
              <w:bottom w:val="single" w:sz="12" w:space="0" w:color="auto"/>
              <w:right w:val="single" w:sz="4" w:space="0" w:color="auto"/>
            </w:tcBorders>
            <w:vAlign w:val="center"/>
            <w:hideMark/>
          </w:tcPr>
          <w:p w:rsidR="00BA383C" w:rsidRPr="00BA383C" w:rsidRDefault="00BA383C" w:rsidP="00BA383C">
            <w:pPr>
              <w:spacing w:before="0" w:line="240" w:lineRule="auto"/>
              <w:ind w:firstLine="0"/>
              <w:jc w:val="left"/>
              <w:rPr>
                <w:rFonts w:asciiTheme="minorHAnsi" w:hAnsiTheme="minorHAnsi"/>
                <w:color w:val="000000"/>
                <w:sz w:val="18"/>
                <w:szCs w:val="18"/>
              </w:rPr>
            </w:pPr>
          </w:p>
        </w:tc>
        <w:tc>
          <w:tcPr>
            <w:tcW w:w="704" w:type="pct"/>
            <w:tcBorders>
              <w:top w:val="single" w:sz="4" w:space="0" w:color="auto"/>
              <w:left w:val="nil"/>
              <w:bottom w:val="single" w:sz="12" w:space="0" w:color="auto"/>
              <w:right w:val="single" w:sz="4" w:space="0" w:color="auto"/>
            </w:tcBorders>
            <w:shd w:val="clear" w:color="auto" w:fill="auto"/>
            <w:noWrap/>
            <w:vAlign w:val="center"/>
            <w:hideMark/>
          </w:tcPr>
          <w:p w:rsidR="00BA383C" w:rsidRPr="00BA383C" w:rsidRDefault="00BA383C" w:rsidP="00BA383C">
            <w:pPr>
              <w:spacing w:before="0" w:line="240" w:lineRule="auto"/>
              <w:ind w:firstLine="0"/>
              <w:jc w:val="left"/>
              <w:rPr>
                <w:rFonts w:asciiTheme="minorHAnsi" w:hAnsiTheme="minorHAnsi"/>
                <w:color w:val="000000"/>
                <w:sz w:val="18"/>
                <w:szCs w:val="18"/>
              </w:rPr>
            </w:pPr>
            <w:r w:rsidRPr="00BA383C">
              <w:rPr>
                <w:rFonts w:asciiTheme="minorHAnsi" w:hAnsiTheme="minorHAnsi"/>
                <w:color w:val="000000"/>
                <w:sz w:val="18"/>
                <w:szCs w:val="18"/>
              </w:rPr>
              <w:t>MSP</w:t>
            </w:r>
          </w:p>
        </w:tc>
        <w:tc>
          <w:tcPr>
            <w:tcW w:w="390" w:type="pct"/>
            <w:tcBorders>
              <w:top w:val="single" w:sz="4" w:space="0" w:color="auto"/>
              <w:left w:val="nil"/>
              <w:bottom w:val="single" w:sz="12" w:space="0" w:color="auto"/>
              <w:right w:val="single" w:sz="4" w:space="0" w:color="auto"/>
            </w:tcBorders>
            <w:shd w:val="clear" w:color="auto" w:fill="auto"/>
            <w:noWrap/>
            <w:vAlign w:val="center"/>
            <w:hideMark/>
          </w:tcPr>
          <w:p w:rsidR="00BA383C" w:rsidRPr="00BA383C" w:rsidRDefault="00BA383C" w:rsidP="00BA383C">
            <w:pPr>
              <w:spacing w:before="0" w:line="240" w:lineRule="auto"/>
              <w:ind w:firstLine="0"/>
              <w:jc w:val="center"/>
              <w:rPr>
                <w:rFonts w:asciiTheme="minorHAnsi" w:hAnsiTheme="minorHAnsi"/>
                <w:color w:val="000000"/>
                <w:sz w:val="18"/>
                <w:szCs w:val="18"/>
              </w:rPr>
            </w:pPr>
            <w:r w:rsidRPr="00BA383C">
              <w:rPr>
                <w:rFonts w:asciiTheme="minorHAnsi" w:hAnsiTheme="minorHAnsi"/>
                <w:color w:val="000000"/>
                <w:sz w:val="18"/>
                <w:szCs w:val="18"/>
              </w:rPr>
              <w:t>mil. Kč</w:t>
            </w:r>
          </w:p>
        </w:tc>
        <w:tc>
          <w:tcPr>
            <w:tcW w:w="356" w:type="pct"/>
            <w:tcBorders>
              <w:top w:val="single" w:sz="4" w:space="0" w:color="auto"/>
              <w:left w:val="nil"/>
              <w:bottom w:val="single" w:sz="12" w:space="0" w:color="auto"/>
              <w:right w:val="single" w:sz="4" w:space="0" w:color="auto"/>
            </w:tcBorders>
            <w:shd w:val="clear" w:color="auto" w:fill="auto"/>
            <w:noWrap/>
            <w:vAlign w:val="center"/>
            <w:hideMark/>
          </w:tcPr>
          <w:p w:rsidR="00BA383C" w:rsidRPr="00BA383C" w:rsidRDefault="00BA383C" w:rsidP="00BA383C">
            <w:pPr>
              <w:spacing w:before="0" w:line="240" w:lineRule="auto"/>
              <w:ind w:firstLine="0"/>
              <w:jc w:val="right"/>
              <w:rPr>
                <w:rFonts w:asciiTheme="minorHAnsi" w:hAnsiTheme="minorHAnsi" w:cs="Arial"/>
                <w:color w:val="000000"/>
                <w:sz w:val="18"/>
                <w:szCs w:val="18"/>
              </w:rPr>
            </w:pPr>
            <w:r w:rsidRPr="00BA383C">
              <w:rPr>
                <w:rFonts w:asciiTheme="minorHAnsi" w:hAnsiTheme="minorHAnsi" w:cs="Arial"/>
                <w:color w:val="000000"/>
                <w:sz w:val="18"/>
                <w:szCs w:val="18"/>
              </w:rPr>
              <w:t xml:space="preserve">          173    </w:t>
            </w:r>
          </w:p>
        </w:tc>
        <w:tc>
          <w:tcPr>
            <w:tcW w:w="356" w:type="pct"/>
            <w:tcBorders>
              <w:top w:val="single" w:sz="4" w:space="0" w:color="auto"/>
              <w:left w:val="nil"/>
              <w:bottom w:val="single" w:sz="12" w:space="0" w:color="auto"/>
              <w:right w:val="single" w:sz="4" w:space="0" w:color="auto"/>
            </w:tcBorders>
            <w:shd w:val="clear" w:color="auto" w:fill="auto"/>
            <w:noWrap/>
            <w:vAlign w:val="center"/>
            <w:hideMark/>
          </w:tcPr>
          <w:p w:rsidR="00BA383C" w:rsidRPr="00BA383C" w:rsidRDefault="00BA383C" w:rsidP="00BA383C">
            <w:pPr>
              <w:spacing w:before="0" w:line="240" w:lineRule="auto"/>
              <w:ind w:firstLine="0"/>
              <w:jc w:val="right"/>
              <w:rPr>
                <w:rFonts w:asciiTheme="minorHAnsi" w:hAnsiTheme="minorHAnsi" w:cs="Arial"/>
                <w:color w:val="000000"/>
                <w:sz w:val="18"/>
                <w:szCs w:val="18"/>
              </w:rPr>
            </w:pPr>
            <w:r w:rsidRPr="00BA383C">
              <w:rPr>
                <w:rFonts w:asciiTheme="minorHAnsi" w:hAnsiTheme="minorHAnsi" w:cs="Arial"/>
                <w:color w:val="000000"/>
                <w:sz w:val="18"/>
                <w:szCs w:val="18"/>
              </w:rPr>
              <w:t xml:space="preserve">         182    </w:t>
            </w:r>
          </w:p>
        </w:tc>
        <w:tc>
          <w:tcPr>
            <w:tcW w:w="356" w:type="pct"/>
            <w:tcBorders>
              <w:top w:val="single" w:sz="4" w:space="0" w:color="auto"/>
              <w:left w:val="nil"/>
              <w:bottom w:val="single" w:sz="12" w:space="0" w:color="auto"/>
              <w:right w:val="single" w:sz="4" w:space="0" w:color="auto"/>
            </w:tcBorders>
            <w:shd w:val="clear" w:color="auto" w:fill="auto"/>
            <w:noWrap/>
            <w:vAlign w:val="center"/>
            <w:hideMark/>
          </w:tcPr>
          <w:p w:rsidR="00BA383C" w:rsidRPr="00BA383C" w:rsidRDefault="00BA383C" w:rsidP="00BA383C">
            <w:pPr>
              <w:spacing w:before="0" w:line="240" w:lineRule="auto"/>
              <w:ind w:firstLine="0"/>
              <w:jc w:val="right"/>
              <w:rPr>
                <w:rFonts w:asciiTheme="minorHAnsi" w:hAnsiTheme="minorHAnsi" w:cs="Arial"/>
                <w:color w:val="000000"/>
                <w:sz w:val="18"/>
                <w:szCs w:val="18"/>
              </w:rPr>
            </w:pPr>
            <w:r w:rsidRPr="00BA383C">
              <w:rPr>
                <w:rFonts w:asciiTheme="minorHAnsi" w:hAnsiTheme="minorHAnsi" w:cs="Arial"/>
                <w:color w:val="000000"/>
                <w:sz w:val="18"/>
                <w:szCs w:val="18"/>
              </w:rPr>
              <w:t xml:space="preserve">         181    </w:t>
            </w:r>
          </w:p>
        </w:tc>
        <w:tc>
          <w:tcPr>
            <w:tcW w:w="356" w:type="pct"/>
            <w:tcBorders>
              <w:top w:val="single" w:sz="4" w:space="0" w:color="auto"/>
              <w:left w:val="nil"/>
              <w:bottom w:val="single" w:sz="12" w:space="0" w:color="auto"/>
              <w:right w:val="single" w:sz="4" w:space="0" w:color="auto"/>
            </w:tcBorders>
            <w:shd w:val="clear" w:color="auto" w:fill="auto"/>
            <w:noWrap/>
            <w:vAlign w:val="center"/>
            <w:hideMark/>
          </w:tcPr>
          <w:p w:rsidR="00BA383C" w:rsidRPr="00BA383C" w:rsidRDefault="00BA383C" w:rsidP="00BA383C">
            <w:pPr>
              <w:spacing w:before="0" w:line="240" w:lineRule="auto"/>
              <w:ind w:firstLine="0"/>
              <w:jc w:val="right"/>
              <w:rPr>
                <w:rFonts w:asciiTheme="minorHAnsi" w:hAnsiTheme="minorHAnsi" w:cs="Arial"/>
                <w:color w:val="000000"/>
                <w:sz w:val="18"/>
                <w:szCs w:val="18"/>
              </w:rPr>
            </w:pPr>
            <w:r w:rsidRPr="00BA383C">
              <w:rPr>
                <w:rFonts w:asciiTheme="minorHAnsi" w:hAnsiTheme="minorHAnsi" w:cs="Arial"/>
                <w:color w:val="000000"/>
                <w:sz w:val="18"/>
                <w:szCs w:val="18"/>
              </w:rPr>
              <w:t xml:space="preserve">         200    </w:t>
            </w:r>
          </w:p>
        </w:tc>
        <w:tc>
          <w:tcPr>
            <w:tcW w:w="356" w:type="pct"/>
            <w:tcBorders>
              <w:top w:val="single" w:sz="4" w:space="0" w:color="auto"/>
              <w:left w:val="nil"/>
              <w:bottom w:val="single" w:sz="12" w:space="0" w:color="auto"/>
              <w:right w:val="single" w:sz="4" w:space="0" w:color="auto"/>
            </w:tcBorders>
            <w:shd w:val="clear" w:color="auto" w:fill="auto"/>
            <w:noWrap/>
            <w:vAlign w:val="center"/>
            <w:hideMark/>
          </w:tcPr>
          <w:p w:rsidR="00BA383C" w:rsidRPr="00BA383C" w:rsidRDefault="00BA383C" w:rsidP="00BA383C">
            <w:pPr>
              <w:spacing w:before="0" w:line="240" w:lineRule="auto"/>
              <w:ind w:firstLine="0"/>
              <w:jc w:val="right"/>
              <w:rPr>
                <w:rFonts w:asciiTheme="minorHAnsi" w:hAnsiTheme="minorHAnsi" w:cs="Arial"/>
                <w:color w:val="000000"/>
                <w:sz w:val="18"/>
                <w:szCs w:val="18"/>
              </w:rPr>
            </w:pPr>
            <w:r w:rsidRPr="00BA383C">
              <w:rPr>
                <w:rFonts w:asciiTheme="minorHAnsi" w:hAnsiTheme="minorHAnsi" w:cs="Arial"/>
                <w:color w:val="000000"/>
                <w:sz w:val="18"/>
                <w:szCs w:val="18"/>
              </w:rPr>
              <w:t xml:space="preserve">         197    </w:t>
            </w:r>
          </w:p>
        </w:tc>
        <w:tc>
          <w:tcPr>
            <w:tcW w:w="356" w:type="pct"/>
            <w:tcBorders>
              <w:top w:val="single" w:sz="4" w:space="0" w:color="auto"/>
              <w:left w:val="nil"/>
              <w:bottom w:val="single" w:sz="12" w:space="0" w:color="auto"/>
              <w:right w:val="single" w:sz="4" w:space="0" w:color="auto"/>
            </w:tcBorders>
            <w:shd w:val="clear" w:color="auto" w:fill="auto"/>
            <w:noWrap/>
            <w:vAlign w:val="center"/>
            <w:hideMark/>
          </w:tcPr>
          <w:p w:rsidR="00BA383C" w:rsidRPr="00BA383C" w:rsidRDefault="00BA383C" w:rsidP="00BA383C">
            <w:pPr>
              <w:spacing w:before="0" w:line="240" w:lineRule="auto"/>
              <w:ind w:firstLine="0"/>
              <w:jc w:val="right"/>
              <w:rPr>
                <w:rFonts w:asciiTheme="minorHAnsi" w:hAnsiTheme="minorHAnsi" w:cs="Arial"/>
                <w:color w:val="000000"/>
                <w:sz w:val="18"/>
                <w:szCs w:val="18"/>
              </w:rPr>
            </w:pPr>
            <w:r w:rsidRPr="00BA383C">
              <w:rPr>
                <w:rFonts w:asciiTheme="minorHAnsi" w:hAnsiTheme="minorHAnsi" w:cs="Arial"/>
                <w:color w:val="000000"/>
                <w:sz w:val="18"/>
                <w:szCs w:val="18"/>
              </w:rPr>
              <w:t xml:space="preserve">        188    </w:t>
            </w:r>
          </w:p>
        </w:tc>
        <w:tc>
          <w:tcPr>
            <w:tcW w:w="356" w:type="pct"/>
            <w:tcBorders>
              <w:top w:val="single" w:sz="4" w:space="0" w:color="auto"/>
              <w:left w:val="nil"/>
              <w:bottom w:val="single" w:sz="12" w:space="0" w:color="auto"/>
              <w:right w:val="single" w:sz="4" w:space="0" w:color="auto"/>
            </w:tcBorders>
            <w:shd w:val="clear" w:color="auto" w:fill="auto"/>
            <w:noWrap/>
            <w:vAlign w:val="center"/>
            <w:hideMark/>
          </w:tcPr>
          <w:p w:rsidR="00BA383C" w:rsidRPr="00BA383C" w:rsidRDefault="00BA383C" w:rsidP="00BA383C">
            <w:pPr>
              <w:spacing w:before="0" w:line="240" w:lineRule="auto"/>
              <w:ind w:firstLine="0"/>
              <w:jc w:val="right"/>
              <w:rPr>
                <w:rFonts w:asciiTheme="minorHAnsi" w:hAnsiTheme="minorHAnsi" w:cs="Arial"/>
                <w:color w:val="000000"/>
                <w:sz w:val="18"/>
                <w:szCs w:val="18"/>
              </w:rPr>
            </w:pPr>
            <w:r w:rsidRPr="00BA383C">
              <w:rPr>
                <w:rFonts w:asciiTheme="minorHAnsi" w:hAnsiTheme="minorHAnsi" w:cs="Arial"/>
                <w:color w:val="000000"/>
                <w:sz w:val="18"/>
                <w:szCs w:val="18"/>
              </w:rPr>
              <w:t xml:space="preserve">          177    </w:t>
            </w:r>
          </w:p>
        </w:tc>
        <w:tc>
          <w:tcPr>
            <w:tcW w:w="356" w:type="pct"/>
            <w:tcBorders>
              <w:top w:val="single" w:sz="4" w:space="0" w:color="auto"/>
              <w:left w:val="nil"/>
              <w:bottom w:val="single" w:sz="12" w:space="0" w:color="auto"/>
              <w:right w:val="single" w:sz="12" w:space="0" w:color="auto"/>
            </w:tcBorders>
            <w:shd w:val="clear" w:color="auto" w:fill="auto"/>
            <w:noWrap/>
            <w:vAlign w:val="center"/>
            <w:hideMark/>
          </w:tcPr>
          <w:p w:rsidR="00BA383C" w:rsidRPr="00BA383C" w:rsidRDefault="00BA383C" w:rsidP="00BA383C">
            <w:pPr>
              <w:spacing w:before="0" w:line="240" w:lineRule="auto"/>
              <w:ind w:firstLine="0"/>
              <w:jc w:val="right"/>
              <w:rPr>
                <w:rFonts w:asciiTheme="minorHAnsi" w:hAnsiTheme="minorHAnsi" w:cs="Arial"/>
                <w:color w:val="000000"/>
                <w:sz w:val="18"/>
                <w:szCs w:val="18"/>
              </w:rPr>
            </w:pPr>
            <w:r w:rsidRPr="00BA383C">
              <w:rPr>
                <w:rFonts w:asciiTheme="minorHAnsi" w:hAnsiTheme="minorHAnsi" w:cs="Arial"/>
                <w:color w:val="000000"/>
                <w:sz w:val="18"/>
                <w:szCs w:val="18"/>
              </w:rPr>
              <w:t xml:space="preserve">         181    </w:t>
            </w:r>
          </w:p>
        </w:tc>
        <w:tc>
          <w:tcPr>
            <w:tcW w:w="356" w:type="pct"/>
            <w:tcBorders>
              <w:top w:val="single" w:sz="4" w:space="0" w:color="auto"/>
              <w:left w:val="single" w:sz="12" w:space="0" w:color="auto"/>
              <w:bottom w:val="single" w:sz="12" w:space="0" w:color="auto"/>
              <w:right w:val="single" w:sz="12" w:space="0" w:color="auto"/>
            </w:tcBorders>
            <w:shd w:val="clear" w:color="auto" w:fill="auto"/>
            <w:noWrap/>
            <w:vAlign w:val="center"/>
            <w:hideMark/>
          </w:tcPr>
          <w:p w:rsidR="00BA383C" w:rsidRPr="00BA383C" w:rsidRDefault="00BA383C" w:rsidP="00BA383C">
            <w:pPr>
              <w:spacing w:before="0" w:line="240" w:lineRule="auto"/>
              <w:ind w:firstLine="0"/>
              <w:jc w:val="right"/>
              <w:rPr>
                <w:rFonts w:asciiTheme="minorHAnsi" w:hAnsiTheme="minorHAnsi" w:cs="Arial"/>
                <w:color w:val="000000"/>
                <w:sz w:val="18"/>
                <w:szCs w:val="18"/>
              </w:rPr>
            </w:pPr>
            <w:r w:rsidRPr="00BA383C">
              <w:rPr>
                <w:rFonts w:asciiTheme="minorHAnsi" w:hAnsiTheme="minorHAnsi" w:cs="Arial"/>
                <w:color w:val="000000"/>
                <w:sz w:val="18"/>
                <w:szCs w:val="18"/>
              </w:rPr>
              <w:t>104,6</w:t>
            </w:r>
          </w:p>
        </w:tc>
      </w:tr>
      <w:tr w:rsidR="00BA383C" w:rsidRPr="00BA383C" w:rsidTr="00BA383C">
        <w:trPr>
          <w:trHeight w:val="300"/>
        </w:trPr>
        <w:tc>
          <w:tcPr>
            <w:tcW w:w="699" w:type="pct"/>
            <w:vMerge w:val="restart"/>
            <w:tcBorders>
              <w:top w:val="single" w:sz="12" w:space="0" w:color="auto"/>
              <w:left w:val="single" w:sz="12" w:space="0" w:color="auto"/>
              <w:bottom w:val="single" w:sz="8" w:space="0" w:color="000000"/>
              <w:right w:val="single" w:sz="4" w:space="0" w:color="auto"/>
            </w:tcBorders>
            <w:shd w:val="clear" w:color="auto" w:fill="auto"/>
            <w:vAlign w:val="center"/>
            <w:hideMark/>
          </w:tcPr>
          <w:p w:rsidR="00BA383C" w:rsidRPr="00BA383C" w:rsidRDefault="00B53CD3" w:rsidP="00BA383C">
            <w:pPr>
              <w:spacing w:before="0" w:line="240" w:lineRule="auto"/>
              <w:ind w:firstLine="0"/>
              <w:jc w:val="left"/>
              <w:rPr>
                <w:rFonts w:asciiTheme="minorHAnsi" w:hAnsiTheme="minorHAnsi"/>
                <w:color w:val="000000"/>
                <w:sz w:val="18"/>
                <w:szCs w:val="18"/>
              </w:rPr>
            </w:pPr>
            <w:r>
              <w:rPr>
                <w:rFonts w:asciiTheme="minorHAnsi" w:hAnsiTheme="minorHAnsi"/>
                <w:color w:val="000000"/>
                <w:sz w:val="18"/>
                <w:szCs w:val="18"/>
              </w:rPr>
              <w:t>P</w:t>
            </w:r>
            <w:r w:rsidR="00BA383C" w:rsidRPr="00BA383C">
              <w:rPr>
                <w:rFonts w:asciiTheme="minorHAnsi" w:hAnsiTheme="minorHAnsi"/>
                <w:color w:val="000000"/>
                <w:sz w:val="18"/>
                <w:szCs w:val="18"/>
              </w:rPr>
              <w:t>odíl na obratu odvětví</w:t>
            </w:r>
          </w:p>
        </w:tc>
        <w:tc>
          <w:tcPr>
            <w:tcW w:w="704" w:type="pct"/>
            <w:tcBorders>
              <w:top w:val="single" w:sz="12" w:space="0" w:color="auto"/>
              <w:left w:val="nil"/>
              <w:bottom w:val="single" w:sz="4" w:space="0" w:color="auto"/>
              <w:right w:val="single" w:sz="4" w:space="0" w:color="auto"/>
            </w:tcBorders>
            <w:shd w:val="clear" w:color="auto" w:fill="auto"/>
            <w:noWrap/>
            <w:vAlign w:val="center"/>
            <w:hideMark/>
          </w:tcPr>
          <w:p w:rsidR="00BA383C" w:rsidRPr="00BA383C" w:rsidRDefault="00BA383C" w:rsidP="00BA383C">
            <w:pPr>
              <w:spacing w:before="0" w:line="240" w:lineRule="auto"/>
              <w:ind w:firstLine="0"/>
              <w:jc w:val="left"/>
              <w:rPr>
                <w:rFonts w:asciiTheme="minorHAnsi" w:hAnsiTheme="minorHAnsi"/>
                <w:color w:val="000000"/>
                <w:sz w:val="18"/>
                <w:szCs w:val="18"/>
              </w:rPr>
            </w:pPr>
            <w:r w:rsidRPr="00BA383C">
              <w:rPr>
                <w:rFonts w:asciiTheme="minorHAnsi" w:hAnsiTheme="minorHAnsi"/>
                <w:color w:val="000000"/>
                <w:sz w:val="18"/>
                <w:szCs w:val="18"/>
              </w:rPr>
              <w:t>malé podniky</w:t>
            </w:r>
          </w:p>
        </w:tc>
        <w:tc>
          <w:tcPr>
            <w:tcW w:w="390" w:type="pct"/>
            <w:tcBorders>
              <w:top w:val="single" w:sz="12" w:space="0" w:color="auto"/>
              <w:left w:val="nil"/>
              <w:bottom w:val="single" w:sz="4" w:space="0" w:color="auto"/>
              <w:right w:val="single" w:sz="4" w:space="0" w:color="auto"/>
            </w:tcBorders>
            <w:shd w:val="clear" w:color="auto" w:fill="auto"/>
            <w:noWrap/>
            <w:vAlign w:val="center"/>
            <w:hideMark/>
          </w:tcPr>
          <w:p w:rsidR="00BA383C" w:rsidRPr="00BA383C" w:rsidRDefault="00BA383C" w:rsidP="00BA383C">
            <w:pPr>
              <w:spacing w:before="0" w:line="240" w:lineRule="auto"/>
              <w:ind w:firstLine="0"/>
              <w:jc w:val="center"/>
              <w:rPr>
                <w:rFonts w:asciiTheme="minorHAnsi" w:hAnsiTheme="minorHAnsi"/>
                <w:color w:val="000000"/>
                <w:sz w:val="18"/>
                <w:szCs w:val="18"/>
              </w:rPr>
            </w:pPr>
            <w:r w:rsidRPr="00BA383C">
              <w:rPr>
                <w:rFonts w:asciiTheme="minorHAnsi" w:hAnsiTheme="minorHAnsi"/>
                <w:color w:val="000000"/>
                <w:sz w:val="18"/>
                <w:szCs w:val="18"/>
              </w:rPr>
              <w:t>%</w:t>
            </w:r>
          </w:p>
        </w:tc>
        <w:tc>
          <w:tcPr>
            <w:tcW w:w="356" w:type="pct"/>
            <w:tcBorders>
              <w:top w:val="single" w:sz="12" w:space="0" w:color="auto"/>
              <w:left w:val="nil"/>
              <w:bottom w:val="single" w:sz="4" w:space="0" w:color="auto"/>
              <w:right w:val="single" w:sz="4" w:space="0" w:color="auto"/>
            </w:tcBorders>
            <w:shd w:val="clear" w:color="auto" w:fill="auto"/>
            <w:noWrap/>
            <w:vAlign w:val="bottom"/>
            <w:hideMark/>
          </w:tcPr>
          <w:p w:rsidR="00BA383C" w:rsidRPr="00BA383C" w:rsidRDefault="00BA383C" w:rsidP="00BA383C">
            <w:pPr>
              <w:spacing w:before="0" w:line="240" w:lineRule="auto"/>
              <w:ind w:firstLine="0"/>
              <w:jc w:val="center"/>
              <w:rPr>
                <w:rFonts w:asciiTheme="minorHAnsi" w:hAnsiTheme="minorHAnsi"/>
                <w:color w:val="000000"/>
                <w:sz w:val="18"/>
                <w:szCs w:val="18"/>
              </w:rPr>
            </w:pPr>
            <w:r w:rsidRPr="00BA383C">
              <w:rPr>
                <w:rFonts w:asciiTheme="minorHAnsi" w:hAnsiTheme="minorHAnsi"/>
                <w:color w:val="000000"/>
                <w:sz w:val="18"/>
                <w:szCs w:val="18"/>
              </w:rPr>
              <w:t>18,1</w:t>
            </w:r>
          </w:p>
        </w:tc>
        <w:tc>
          <w:tcPr>
            <w:tcW w:w="356" w:type="pct"/>
            <w:tcBorders>
              <w:top w:val="single" w:sz="12" w:space="0" w:color="auto"/>
              <w:left w:val="nil"/>
              <w:bottom w:val="single" w:sz="4" w:space="0" w:color="auto"/>
              <w:right w:val="single" w:sz="4" w:space="0" w:color="auto"/>
            </w:tcBorders>
            <w:shd w:val="clear" w:color="auto" w:fill="auto"/>
            <w:noWrap/>
            <w:vAlign w:val="bottom"/>
            <w:hideMark/>
          </w:tcPr>
          <w:p w:rsidR="00BA383C" w:rsidRPr="00BA383C" w:rsidRDefault="00BA383C" w:rsidP="00BA383C">
            <w:pPr>
              <w:spacing w:before="0" w:line="240" w:lineRule="auto"/>
              <w:ind w:firstLine="0"/>
              <w:jc w:val="center"/>
              <w:rPr>
                <w:rFonts w:asciiTheme="minorHAnsi" w:hAnsiTheme="minorHAnsi"/>
                <w:color w:val="000000"/>
                <w:sz w:val="18"/>
                <w:szCs w:val="18"/>
              </w:rPr>
            </w:pPr>
            <w:r w:rsidRPr="00BA383C">
              <w:rPr>
                <w:rFonts w:asciiTheme="minorHAnsi" w:hAnsiTheme="minorHAnsi"/>
                <w:color w:val="000000"/>
                <w:sz w:val="18"/>
                <w:szCs w:val="18"/>
              </w:rPr>
              <w:t>17,0</w:t>
            </w:r>
          </w:p>
        </w:tc>
        <w:tc>
          <w:tcPr>
            <w:tcW w:w="356" w:type="pct"/>
            <w:tcBorders>
              <w:top w:val="single" w:sz="12" w:space="0" w:color="auto"/>
              <w:left w:val="nil"/>
              <w:bottom w:val="single" w:sz="4" w:space="0" w:color="auto"/>
              <w:right w:val="single" w:sz="4" w:space="0" w:color="auto"/>
            </w:tcBorders>
            <w:shd w:val="clear" w:color="auto" w:fill="auto"/>
            <w:noWrap/>
            <w:vAlign w:val="bottom"/>
            <w:hideMark/>
          </w:tcPr>
          <w:p w:rsidR="00BA383C" w:rsidRPr="00BA383C" w:rsidRDefault="00BA383C" w:rsidP="00BA383C">
            <w:pPr>
              <w:spacing w:before="0" w:line="240" w:lineRule="auto"/>
              <w:ind w:firstLine="0"/>
              <w:jc w:val="center"/>
              <w:rPr>
                <w:rFonts w:asciiTheme="minorHAnsi" w:hAnsiTheme="minorHAnsi"/>
                <w:color w:val="000000"/>
                <w:sz w:val="18"/>
                <w:szCs w:val="18"/>
              </w:rPr>
            </w:pPr>
            <w:r w:rsidRPr="00BA383C">
              <w:rPr>
                <w:rFonts w:asciiTheme="minorHAnsi" w:hAnsiTheme="minorHAnsi"/>
                <w:color w:val="000000"/>
                <w:sz w:val="18"/>
                <w:szCs w:val="18"/>
              </w:rPr>
              <w:t>16,0</w:t>
            </w:r>
          </w:p>
        </w:tc>
        <w:tc>
          <w:tcPr>
            <w:tcW w:w="356" w:type="pct"/>
            <w:tcBorders>
              <w:top w:val="single" w:sz="12" w:space="0" w:color="auto"/>
              <w:left w:val="nil"/>
              <w:bottom w:val="single" w:sz="4" w:space="0" w:color="auto"/>
              <w:right w:val="single" w:sz="4" w:space="0" w:color="auto"/>
            </w:tcBorders>
            <w:shd w:val="clear" w:color="auto" w:fill="auto"/>
            <w:noWrap/>
            <w:vAlign w:val="bottom"/>
            <w:hideMark/>
          </w:tcPr>
          <w:p w:rsidR="00BA383C" w:rsidRPr="00BA383C" w:rsidRDefault="00BA383C" w:rsidP="00BA383C">
            <w:pPr>
              <w:spacing w:before="0" w:line="240" w:lineRule="auto"/>
              <w:ind w:firstLine="0"/>
              <w:jc w:val="center"/>
              <w:rPr>
                <w:rFonts w:asciiTheme="minorHAnsi" w:hAnsiTheme="minorHAnsi"/>
                <w:color w:val="000000"/>
                <w:sz w:val="18"/>
                <w:szCs w:val="18"/>
              </w:rPr>
            </w:pPr>
            <w:r w:rsidRPr="00BA383C">
              <w:rPr>
                <w:rFonts w:asciiTheme="minorHAnsi" w:hAnsiTheme="minorHAnsi"/>
                <w:color w:val="000000"/>
                <w:sz w:val="18"/>
                <w:szCs w:val="18"/>
              </w:rPr>
              <w:t>19,3</w:t>
            </w:r>
          </w:p>
        </w:tc>
        <w:tc>
          <w:tcPr>
            <w:tcW w:w="356" w:type="pct"/>
            <w:tcBorders>
              <w:top w:val="single" w:sz="12" w:space="0" w:color="auto"/>
              <w:left w:val="nil"/>
              <w:bottom w:val="single" w:sz="4" w:space="0" w:color="auto"/>
              <w:right w:val="single" w:sz="4" w:space="0" w:color="auto"/>
            </w:tcBorders>
            <w:shd w:val="clear" w:color="auto" w:fill="auto"/>
            <w:noWrap/>
            <w:vAlign w:val="bottom"/>
            <w:hideMark/>
          </w:tcPr>
          <w:p w:rsidR="00BA383C" w:rsidRPr="00BA383C" w:rsidRDefault="00BA383C" w:rsidP="00BA383C">
            <w:pPr>
              <w:spacing w:before="0" w:line="240" w:lineRule="auto"/>
              <w:ind w:firstLine="0"/>
              <w:jc w:val="center"/>
              <w:rPr>
                <w:rFonts w:asciiTheme="minorHAnsi" w:hAnsiTheme="minorHAnsi"/>
                <w:color w:val="000000"/>
                <w:sz w:val="18"/>
                <w:szCs w:val="18"/>
              </w:rPr>
            </w:pPr>
            <w:r w:rsidRPr="00BA383C">
              <w:rPr>
                <w:rFonts w:asciiTheme="minorHAnsi" w:hAnsiTheme="minorHAnsi"/>
                <w:color w:val="000000"/>
                <w:sz w:val="18"/>
                <w:szCs w:val="18"/>
              </w:rPr>
              <w:t>17,5</w:t>
            </w:r>
          </w:p>
        </w:tc>
        <w:tc>
          <w:tcPr>
            <w:tcW w:w="356" w:type="pct"/>
            <w:tcBorders>
              <w:top w:val="single" w:sz="12" w:space="0" w:color="auto"/>
              <w:left w:val="nil"/>
              <w:bottom w:val="single" w:sz="4" w:space="0" w:color="auto"/>
              <w:right w:val="single" w:sz="4" w:space="0" w:color="auto"/>
            </w:tcBorders>
            <w:shd w:val="clear" w:color="auto" w:fill="auto"/>
            <w:noWrap/>
            <w:vAlign w:val="bottom"/>
            <w:hideMark/>
          </w:tcPr>
          <w:p w:rsidR="00BA383C" w:rsidRPr="00BA383C" w:rsidRDefault="00BA383C" w:rsidP="00BA383C">
            <w:pPr>
              <w:spacing w:before="0" w:line="240" w:lineRule="auto"/>
              <w:ind w:firstLine="0"/>
              <w:jc w:val="center"/>
              <w:rPr>
                <w:rFonts w:asciiTheme="minorHAnsi" w:hAnsiTheme="minorHAnsi"/>
                <w:color w:val="000000"/>
                <w:sz w:val="18"/>
                <w:szCs w:val="18"/>
              </w:rPr>
            </w:pPr>
            <w:r w:rsidRPr="00BA383C">
              <w:rPr>
                <w:rFonts w:asciiTheme="minorHAnsi" w:hAnsiTheme="minorHAnsi"/>
                <w:color w:val="000000"/>
                <w:sz w:val="18"/>
                <w:szCs w:val="18"/>
              </w:rPr>
              <w:t>16,5</w:t>
            </w:r>
          </w:p>
        </w:tc>
        <w:tc>
          <w:tcPr>
            <w:tcW w:w="356" w:type="pct"/>
            <w:tcBorders>
              <w:top w:val="single" w:sz="12" w:space="0" w:color="auto"/>
              <w:left w:val="nil"/>
              <w:bottom w:val="single" w:sz="4" w:space="0" w:color="auto"/>
              <w:right w:val="single" w:sz="4" w:space="0" w:color="auto"/>
            </w:tcBorders>
            <w:shd w:val="clear" w:color="auto" w:fill="auto"/>
            <w:noWrap/>
            <w:vAlign w:val="bottom"/>
            <w:hideMark/>
          </w:tcPr>
          <w:p w:rsidR="00BA383C" w:rsidRPr="00BA383C" w:rsidRDefault="00BA383C" w:rsidP="00BA383C">
            <w:pPr>
              <w:spacing w:before="0" w:line="240" w:lineRule="auto"/>
              <w:ind w:firstLine="0"/>
              <w:jc w:val="center"/>
              <w:rPr>
                <w:rFonts w:asciiTheme="minorHAnsi" w:hAnsiTheme="minorHAnsi"/>
                <w:color w:val="000000"/>
                <w:sz w:val="18"/>
                <w:szCs w:val="18"/>
              </w:rPr>
            </w:pPr>
            <w:r w:rsidRPr="00BA383C">
              <w:rPr>
                <w:rFonts w:asciiTheme="minorHAnsi" w:hAnsiTheme="minorHAnsi"/>
                <w:color w:val="000000"/>
                <w:sz w:val="18"/>
                <w:szCs w:val="18"/>
              </w:rPr>
              <w:t>17,6</w:t>
            </w:r>
          </w:p>
        </w:tc>
        <w:tc>
          <w:tcPr>
            <w:tcW w:w="356" w:type="pct"/>
            <w:tcBorders>
              <w:top w:val="single" w:sz="12" w:space="0" w:color="auto"/>
              <w:left w:val="nil"/>
              <w:bottom w:val="single" w:sz="4" w:space="0" w:color="auto"/>
              <w:right w:val="single" w:sz="12" w:space="0" w:color="auto"/>
            </w:tcBorders>
            <w:shd w:val="clear" w:color="auto" w:fill="auto"/>
            <w:noWrap/>
            <w:vAlign w:val="bottom"/>
            <w:hideMark/>
          </w:tcPr>
          <w:p w:rsidR="00BA383C" w:rsidRPr="00BA383C" w:rsidRDefault="00BA383C" w:rsidP="00BA383C">
            <w:pPr>
              <w:spacing w:before="0" w:line="240" w:lineRule="auto"/>
              <w:ind w:firstLine="0"/>
              <w:jc w:val="center"/>
              <w:rPr>
                <w:rFonts w:asciiTheme="minorHAnsi" w:hAnsiTheme="minorHAnsi"/>
                <w:color w:val="000000"/>
                <w:sz w:val="18"/>
                <w:szCs w:val="18"/>
              </w:rPr>
            </w:pPr>
            <w:r w:rsidRPr="00BA383C">
              <w:rPr>
                <w:rFonts w:asciiTheme="minorHAnsi" w:hAnsiTheme="minorHAnsi"/>
                <w:color w:val="000000"/>
                <w:sz w:val="18"/>
                <w:szCs w:val="18"/>
              </w:rPr>
              <w:t>16,1</w:t>
            </w:r>
          </w:p>
        </w:tc>
        <w:tc>
          <w:tcPr>
            <w:tcW w:w="356" w:type="pct"/>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BA383C" w:rsidRPr="00BA383C" w:rsidRDefault="00BA383C" w:rsidP="00BA383C">
            <w:pPr>
              <w:spacing w:before="0" w:line="240" w:lineRule="auto"/>
              <w:ind w:firstLine="0"/>
              <w:jc w:val="center"/>
              <w:rPr>
                <w:rFonts w:asciiTheme="minorHAnsi" w:hAnsiTheme="minorHAnsi" w:cs="Arial"/>
                <w:color w:val="000000"/>
                <w:sz w:val="18"/>
                <w:szCs w:val="18"/>
              </w:rPr>
            </w:pPr>
            <w:r w:rsidRPr="00BA383C">
              <w:rPr>
                <w:rFonts w:asciiTheme="minorHAnsi" w:hAnsiTheme="minorHAnsi" w:cs="Arial"/>
                <w:color w:val="000000"/>
                <w:sz w:val="18"/>
                <w:szCs w:val="18"/>
              </w:rPr>
              <w:t>88,8</w:t>
            </w:r>
          </w:p>
        </w:tc>
      </w:tr>
      <w:tr w:rsidR="00BA383C" w:rsidRPr="00BA383C" w:rsidTr="00BA383C">
        <w:trPr>
          <w:trHeight w:val="300"/>
        </w:trPr>
        <w:tc>
          <w:tcPr>
            <w:tcW w:w="699" w:type="pct"/>
            <w:vMerge/>
            <w:tcBorders>
              <w:top w:val="nil"/>
              <w:left w:val="single" w:sz="12" w:space="0" w:color="auto"/>
              <w:bottom w:val="single" w:sz="8" w:space="0" w:color="000000"/>
              <w:right w:val="single" w:sz="4" w:space="0" w:color="auto"/>
            </w:tcBorders>
            <w:vAlign w:val="center"/>
            <w:hideMark/>
          </w:tcPr>
          <w:p w:rsidR="00BA383C" w:rsidRPr="00BA383C" w:rsidRDefault="00BA383C" w:rsidP="00BA383C">
            <w:pPr>
              <w:spacing w:before="0" w:line="240" w:lineRule="auto"/>
              <w:ind w:firstLine="0"/>
              <w:jc w:val="left"/>
              <w:rPr>
                <w:rFonts w:asciiTheme="minorHAnsi" w:hAnsiTheme="minorHAnsi"/>
                <w:color w:val="000000"/>
                <w:sz w:val="18"/>
                <w:szCs w:val="18"/>
              </w:rPr>
            </w:pPr>
          </w:p>
        </w:tc>
        <w:tc>
          <w:tcPr>
            <w:tcW w:w="704" w:type="pct"/>
            <w:tcBorders>
              <w:top w:val="nil"/>
              <w:left w:val="nil"/>
              <w:bottom w:val="single" w:sz="4" w:space="0" w:color="auto"/>
              <w:right w:val="single" w:sz="4" w:space="0" w:color="auto"/>
            </w:tcBorders>
            <w:shd w:val="clear" w:color="auto" w:fill="auto"/>
            <w:noWrap/>
            <w:vAlign w:val="center"/>
            <w:hideMark/>
          </w:tcPr>
          <w:p w:rsidR="00BA383C" w:rsidRPr="00BA383C" w:rsidRDefault="00BA383C" w:rsidP="00BA383C">
            <w:pPr>
              <w:spacing w:before="0" w:line="240" w:lineRule="auto"/>
              <w:ind w:firstLine="0"/>
              <w:jc w:val="left"/>
              <w:rPr>
                <w:rFonts w:asciiTheme="minorHAnsi" w:hAnsiTheme="minorHAnsi"/>
                <w:color w:val="000000"/>
                <w:sz w:val="18"/>
                <w:szCs w:val="18"/>
              </w:rPr>
            </w:pPr>
            <w:r w:rsidRPr="00BA383C">
              <w:rPr>
                <w:rFonts w:asciiTheme="minorHAnsi" w:hAnsiTheme="minorHAnsi"/>
                <w:color w:val="000000"/>
                <w:sz w:val="18"/>
                <w:szCs w:val="18"/>
              </w:rPr>
              <w:t>střední podniky</w:t>
            </w:r>
          </w:p>
        </w:tc>
        <w:tc>
          <w:tcPr>
            <w:tcW w:w="390" w:type="pct"/>
            <w:tcBorders>
              <w:top w:val="nil"/>
              <w:left w:val="nil"/>
              <w:bottom w:val="single" w:sz="4" w:space="0" w:color="auto"/>
              <w:right w:val="single" w:sz="4" w:space="0" w:color="auto"/>
            </w:tcBorders>
            <w:shd w:val="clear" w:color="auto" w:fill="auto"/>
            <w:noWrap/>
            <w:vAlign w:val="center"/>
            <w:hideMark/>
          </w:tcPr>
          <w:p w:rsidR="00BA383C" w:rsidRPr="00BA383C" w:rsidRDefault="00BA383C" w:rsidP="00BA383C">
            <w:pPr>
              <w:spacing w:before="0" w:line="240" w:lineRule="auto"/>
              <w:ind w:firstLine="0"/>
              <w:jc w:val="center"/>
              <w:rPr>
                <w:rFonts w:asciiTheme="minorHAnsi" w:hAnsiTheme="minorHAnsi"/>
                <w:color w:val="000000"/>
                <w:sz w:val="18"/>
                <w:szCs w:val="18"/>
              </w:rPr>
            </w:pPr>
            <w:r w:rsidRPr="00BA383C">
              <w:rPr>
                <w:rFonts w:asciiTheme="minorHAnsi" w:hAnsiTheme="minorHAnsi"/>
                <w:color w:val="000000"/>
                <w:sz w:val="18"/>
                <w:szCs w:val="18"/>
              </w:rPr>
              <w:t>%</w:t>
            </w:r>
          </w:p>
        </w:tc>
        <w:tc>
          <w:tcPr>
            <w:tcW w:w="356" w:type="pct"/>
            <w:tcBorders>
              <w:top w:val="nil"/>
              <w:left w:val="nil"/>
              <w:bottom w:val="single" w:sz="4" w:space="0" w:color="auto"/>
              <w:right w:val="single" w:sz="4" w:space="0" w:color="auto"/>
            </w:tcBorders>
            <w:shd w:val="clear" w:color="auto" w:fill="auto"/>
            <w:noWrap/>
            <w:vAlign w:val="bottom"/>
            <w:hideMark/>
          </w:tcPr>
          <w:p w:rsidR="00BA383C" w:rsidRPr="00BA383C" w:rsidRDefault="00BA383C" w:rsidP="00BA383C">
            <w:pPr>
              <w:spacing w:before="0" w:line="240" w:lineRule="auto"/>
              <w:ind w:firstLine="0"/>
              <w:jc w:val="center"/>
              <w:rPr>
                <w:rFonts w:asciiTheme="minorHAnsi" w:hAnsiTheme="minorHAnsi"/>
                <w:color w:val="000000"/>
                <w:sz w:val="18"/>
                <w:szCs w:val="18"/>
              </w:rPr>
            </w:pPr>
            <w:r w:rsidRPr="00BA383C">
              <w:rPr>
                <w:rFonts w:asciiTheme="minorHAnsi" w:hAnsiTheme="minorHAnsi"/>
                <w:color w:val="000000"/>
                <w:sz w:val="18"/>
                <w:szCs w:val="18"/>
              </w:rPr>
              <w:t>40,3</w:t>
            </w:r>
          </w:p>
        </w:tc>
        <w:tc>
          <w:tcPr>
            <w:tcW w:w="356" w:type="pct"/>
            <w:tcBorders>
              <w:top w:val="nil"/>
              <w:left w:val="nil"/>
              <w:bottom w:val="single" w:sz="4" w:space="0" w:color="auto"/>
              <w:right w:val="single" w:sz="4" w:space="0" w:color="auto"/>
            </w:tcBorders>
            <w:shd w:val="clear" w:color="auto" w:fill="auto"/>
            <w:noWrap/>
            <w:vAlign w:val="bottom"/>
            <w:hideMark/>
          </w:tcPr>
          <w:p w:rsidR="00BA383C" w:rsidRPr="00BA383C" w:rsidRDefault="00BA383C" w:rsidP="00BA383C">
            <w:pPr>
              <w:spacing w:before="0" w:line="240" w:lineRule="auto"/>
              <w:ind w:firstLine="0"/>
              <w:jc w:val="center"/>
              <w:rPr>
                <w:rFonts w:asciiTheme="minorHAnsi" w:hAnsiTheme="minorHAnsi"/>
                <w:color w:val="000000"/>
                <w:sz w:val="18"/>
                <w:szCs w:val="18"/>
              </w:rPr>
            </w:pPr>
            <w:r w:rsidRPr="00BA383C">
              <w:rPr>
                <w:rFonts w:asciiTheme="minorHAnsi" w:hAnsiTheme="minorHAnsi"/>
                <w:color w:val="000000"/>
                <w:sz w:val="18"/>
                <w:szCs w:val="18"/>
              </w:rPr>
              <w:t>42,4</w:t>
            </w:r>
          </w:p>
        </w:tc>
        <w:tc>
          <w:tcPr>
            <w:tcW w:w="356" w:type="pct"/>
            <w:tcBorders>
              <w:top w:val="nil"/>
              <w:left w:val="nil"/>
              <w:bottom w:val="single" w:sz="4" w:space="0" w:color="auto"/>
              <w:right w:val="single" w:sz="4" w:space="0" w:color="auto"/>
            </w:tcBorders>
            <w:shd w:val="clear" w:color="auto" w:fill="auto"/>
            <w:noWrap/>
            <w:vAlign w:val="bottom"/>
            <w:hideMark/>
          </w:tcPr>
          <w:p w:rsidR="00BA383C" w:rsidRPr="00BA383C" w:rsidRDefault="00BA383C" w:rsidP="00BA383C">
            <w:pPr>
              <w:spacing w:before="0" w:line="240" w:lineRule="auto"/>
              <w:ind w:firstLine="0"/>
              <w:jc w:val="center"/>
              <w:rPr>
                <w:rFonts w:asciiTheme="minorHAnsi" w:hAnsiTheme="minorHAnsi"/>
                <w:color w:val="000000"/>
                <w:sz w:val="18"/>
                <w:szCs w:val="18"/>
              </w:rPr>
            </w:pPr>
            <w:r w:rsidRPr="00BA383C">
              <w:rPr>
                <w:rFonts w:asciiTheme="minorHAnsi" w:hAnsiTheme="minorHAnsi"/>
                <w:color w:val="000000"/>
                <w:sz w:val="18"/>
                <w:szCs w:val="18"/>
              </w:rPr>
              <w:t>40,8</w:t>
            </w:r>
          </w:p>
        </w:tc>
        <w:tc>
          <w:tcPr>
            <w:tcW w:w="356" w:type="pct"/>
            <w:tcBorders>
              <w:top w:val="nil"/>
              <w:left w:val="nil"/>
              <w:bottom w:val="single" w:sz="4" w:space="0" w:color="auto"/>
              <w:right w:val="single" w:sz="4" w:space="0" w:color="auto"/>
            </w:tcBorders>
            <w:shd w:val="clear" w:color="auto" w:fill="auto"/>
            <w:noWrap/>
            <w:vAlign w:val="bottom"/>
            <w:hideMark/>
          </w:tcPr>
          <w:p w:rsidR="00BA383C" w:rsidRPr="00BA383C" w:rsidRDefault="00BA383C" w:rsidP="00BA383C">
            <w:pPr>
              <w:spacing w:before="0" w:line="240" w:lineRule="auto"/>
              <w:ind w:firstLine="0"/>
              <w:jc w:val="center"/>
              <w:rPr>
                <w:rFonts w:asciiTheme="minorHAnsi" w:hAnsiTheme="minorHAnsi"/>
                <w:color w:val="000000"/>
                <w:sz w:val="18"/>
                <w:szCs w:val="18"/>
              </w:rPr>
            </w:pPr>
            <w:r w:rsidRPr="00BA383C">
              <w:rPr>
                <w:rFonts w:asciiTheme="minorHAnsi" w:hAnsiTheme="minorHAnsi"/>
                <w:color w:val="000000"/>
                <w:sz w:val="18"/>
                <w:szCs w:val="18"/>
              </w:rPr>
              <w:t>43,8</w:t>
            </w:r>
          </w:p>
        </w:tc>
        <w:tc>
          <w:tcPr>
            <w:tcW w:w="356" w:type="pct"/>
            <w:tcBorders>
              <w:top w:val="nil"/>
              <w:left w:val="nil"/>
              <w:bottom w:val="single" w:sz="4" w:space="0" w:color="auto"/>
              <w:right w:val="single" w:sz="4" w:space="0" w:color="auto"/>
            </w:tcBorders>
            <w:shd w:val="clear" w:color="auto" w:fill="auto"/>
            <w:noWrap/>
            <w:vAlign w:val="bottom"/>
            <w:hideMark/>
          </w:tcPr>
          <w:p w:rsidR="00BA383C" w:rsidRPr="00BA383C" w:rsidRDefault="00BA383C" w:rsidP="00BA383C">
            <w:pPr>
              <w:spacing w:before="0" w:line="240" w:lineRule="auto"/>
              <w:ind w:firstLine="0"/>
              <w:jc w:val="center"/>
              <w:rPr>
                <w:rFonts w:asciiTheme="minorHAnsi" w:hAnsiTheme="minorHAnsi"/>
                <w:color w:val="000000"/>
                <w:sz w:val="18"/>
                <w:szCs w:val="18"/>
              </w:rPr>
            </w:pPr>
            <w:r w:rsidRPr="00BA383C">
              <w:rPr>
                <w:rFonts w:asciiTheme="minorHAnsi" w:hAnsiTheme="minorHAnsi"/>
                <w:color w:val="000000"/>
                <w:sz w:val="18"/>
                <w:szCs w:val="18"/>
              </w:rPr>
              <w:t>44,6</w:t>
            </w:r>
          </w:p>
        </w:tc>
        <w:tc>
          <w:tcPr>
            <w:tcW w:w="356" w:type="pct"/>
            <w:tcBorders>
              <w:top w:val="nil"/>
              <w:left w:val="nil"/>
              <w:bottom w:val="single" w:sz="4" w:space="0" w:color="auto"/>
              <w:right w:val="single" w:sz="4" w:space="0" w:color="auto"/>
            </w:tcBorders>
            <w:shd w:val="clear" w:color="auto" w:fill="auto"/>
            <w:noWrap/>
            <w:vAlign w:val="bottom"/>
            <w:hideMark/>
          </w:tcPr>
          <w:p w:rsidR="00BA383C" w:rsidRPr="00BA383C" w:rsidRDefault="00BA383C" w:rsidP="00BA383C">
            <w:pPr>
              <w:spacing w:before="0" w:line="240" w:lineRule="auto"/>
              <w:ind w:firstLine="0"/>
              <w:jc w:val="center"/>
              <w:rPr>
                <w:rFonts w:asciiTheme="minorHAnsi" w:hAnsiTheme="minorHAnsi"/>
                <w:color w:val="000000"/>
                <w:sz w:val="18"/>
                <w:szCs w:val="18"/>
              </w:rPr>
            </w:pPr>
            <w:r w:rsidRPr="00BA383C">
              <w:rPr>
                <w:rFonts w:asciiTheme="minorHAnsi" w:hAnsiTheme="minorHAnsi"/>
                <w:color w:val="000000"/>
                <w:sz w:val="18"/>
                <w:szCs w:val="18"/>
              </w:rPr>
              <w:t>43,1</w:t>
            </w:r>
          </w:p>
        </w:tc>
        <w:tc>
          <w:tcPr>
            <w:tcW w:w="356" w:type="pct"/>
            <w:tcBorders>
              <w:top w:val="nil"/>
              <w:left w:val="nil"/>
              <w:bottom w:val="single" w:sz="4" w:space="0" w:color="auto"/>
              <w:right w:val="single" w:sz="4" w:space="0" w:color="auto"/>
            </w:tcBorders>
            <w:shd w:val="clear" w:color="auto" w:fill="auto"/>
            <w:noWrap/>
            <w:vAlign w:val="bottom"/>
            <w:hideMark/>
          </w:tcPr>
          <w:p w:rsidR="00BA383C" w:rsidRPr="00BA383C" w:rsidRDefault="00BA383C" w:rsidP="00BA383C">
            <w:pPr>
              <w:spacing w:before="0" w:line="240" w:lineRule="auto"/>
              <w:ind w:firstLine="0"/>
              <w:jc w:val="center"/>
              <w:rPr>
                <w:rFonts w:asciiTheme="minorHAnsi" w:hAnsiTheme="minorHAnsi"/>
                <w:color w:val="000000"/>
                <w:sz w:val="18"/>
                <w:szCs w:val="18"/>
              </w:rPr>
            </w:pPr>
            <w:r w:rsidRPr="00BA383C">
              <w:rPr>
                <w:rFonts w:asciiTheme="minorHAnsi" w:hAnsiTheme="minorHAnsi"/>
                <w:color w:val="000000"/>
                <w:sz w:val="18"/>
                <w:szCs w:val="18"/>
              </w:rPr>
              <w:t>40,8</w:t>
            </w:r>
          </w:p>
        </w:tc>
        <w:tc>
          <w:tcPr>
            <w:tcW w:w="356" w:type="pct"/>
            <w:tcBorders>
              <w:top w:val="nil"/>
              <w:left w:val="nil"/>
              <w:bottom w:val="single" w:sz="4" w:space="0" w:color="auto"/>
              <w:right w:val="single" w:sz="12" w:space="0" w:color="auto"/>
            </w:tcBorders>
            <w:shd w:val="clear" w:color="auto" w:fill="auto"/>
            <w:noWrap/>
            <w:vAlign w:val="bottom"/>
            <w:hideMark/>
          </w:tcPr>
          <w:p w:rsidR="00BA383C" w:rsidRPr="00BA383C" w:rsidRDefault="00BA383C" w:rsidP="00BA383C">
            <w:pPr>
              <w:spacing w:before="0" w:line="240" w:lineRule="auto"/>
              <w:ind w:firstLine="0"/>
              <w:jc w:val="center"/>
              <w:rPr>
                <w:rFonts w:asciiTheme="minorHAnsi" w:hAnsiTheme="minorHAnsi"/>
                <w:color w:val="000000"/>
                <w:sz w:val="18"/>
                <w:szCs w:val="18"/>
              </w:rPr>
            </w:pPr>
            <w:r w:rsidRPr="00BA383C">
              <w:rPr>
                <w:rFonts w:asciiTheme="minorHAnsi" w:hAnsiTheme="minorHAnsi"/>
                <w:color w:val="000000"/>
                <w:sz w:val="18"/>
                <w:szCs w:val="18"/>
              </w:rPr>
              <w:t>41,3</w:t>
            </w:r>
          </w:p>
        </w:tc>
        <w:tc>
          <w:tcPr>
            <w:tcW w:w="356" w:type="pct"/>
            <w:tcBorders>
              <w:top w:val="nil"/>
              <w:left w:val="single" w:sz="12" w:space="0" w:color="auto"/>
              <w:bottom w:val="single" w:sz="4" w:space="0" w:color="auto"/>
              <w:right w:val="single" w:sz="12" w:space="0" w:color="auto"/>
            </w:tcBorders>
            <w:shd w:val="clear" w:color="auto" w:fill="auto"/>
            <w:noWrap/>
            <w:vAlign w:val="bottom"/>
            <w:hideMark/>
          </w:tcPr>
          <w:p w:rsidR="00BA383C" w:rsidRPr="00BA383C" w:rsidRDefault="00BA383C" w:rsidP="00BA383C">
            <w:pPr>
              <w:spacing w:before="0" w:line="240" w:lineRule="auto"/>
              <w:ind w:firstLine="0"/>
              <w:jc w:val="center"/>
              <w:rPr>
                <w:rFonts w:asciiTheme="minorHAnsi" w:hAnsiTheme="minorHAnsi" w:cs="Arial"/>
                <w:color w:val="000000"/>
                <w:sz w:val="18"/>
                <w:szCs w:val="18"/>
              </w:rPr>
            </w:pPr>
            <w:r w:rsidRPr="00BA383C">
              <w:rPr>
                <w:rFonts w:asciiTheme="minorHAnsi" w:hAnsiTheme="minorHAnsi" w:cs="Arial"/>
                <w:color w:val="000000"/>
                <w:sz w:val="18"/>
                <w:szCs w:val="18"/>
              </w:rPr>
              <w:t>102,4</w:t>
            </w:r>
          </w:p>
        </w:tc>
      </w:tr>
      <w:tr w:rsidR="00BA383C" w:rsidRPr="00BA383C" w:rsidTr="00BA383C">
        <w:trPr>
          <w:trHeight w:val="300"/>
        </w:trPr>
        <w:tc>
          <w:tcPr>
            <w:tcW w:w="699" w:type="pct"/>
            <w:vMerge/>
            <w:tcBorders>
              <w:top w:val="nil"/>
              <w:left w:val="single" w:sz="12" w:space="0" w:color="auto"/>
              <w:bottom w:val="single" w:sz="12" w:space="0" w:color="auto"/>
              <w:right w:val="single" w:sz="4" w:space="0" w:color="auto"/>
            </w:tcBorders>
            <w:vAlign w:val="center"/>
            <w:hideMark/>
          </w:tcPr>
          <w:p w:rsidR="00BA383C" w:rsidRPr="00BA383C" w:rsidRDefault="00BA383C" w:rsidP="00BA383C">
            <w:pPr>
              <w:spacing w:before="0" w:line="240" w:lineRule="auto"/>
              <w:ind w:firstLine="0"/>
              <w:jc w:val="left"/>
              <w:rPr>
                <w:rFonts w:asciiTheme="minorHAnsi" w:hAnsiTheme="minorHAnsi"/>
                <w:color w:val="000000"/>
                <w:sz w:val="18"/>
                <w:szCs w:val="18"/>
              </w:rPr>
            </w:pPr>
          </w:p>
        </w:tc>
        <w:tc>
          <w:tcPr>
            <w:tcW w:w="704" w:type="pct"/>
            <w:tcBorders>
              <w:top w:val="nil"/>
              <w:left w:val="nil"/>
              <w:bottom w:val="single" w:sz="12" w:space="0" w:color="auto"/>
              <w:right w:val="single" w:sz="4" w:space="0" w:color="auto"/>
            </w:tcBorders>
            <w:shd w:val="clear" w:color="auto" w:fill="auto"/>
            <w:noWrap/>
            <w:vAlign w:val="center"/>
            <w:hideMark/>
          </w:tcPr>
          <w:p w:rsidR="00BA383C" w:rsidRPr="00BA383C" w:rsidRDefault="00BA383C" w:rsidP="00BA383C">
            <w:pPr>
              <w:spacing w:before="0" w:line="240" w:lineRule="auto"/>
              <w:ind w:firstLine="0"/>
              <w:jc w:val="left"/>
              <w:rPr>
                <w:rFonts w:asciiTheme="minorHAnsi" w:hAnsiTheme="minorHAnsi"/>
                <w:color w:val="000000"/>
                <w:sz w:val="18"/>
                <w:szCs w:val="18"/>
              </w:rPr>
            </w:pPr>
            <w:r w:rsidRPr="00BA383C">
              <w:rPr>
                <w:rFonts w:asciiTheme="minorHAnsi" w:hAnsiTheme="minorHAnsi"/>
                <w:color w:val="000000"/>
                <w:sz w:val="18"/>
                <w:szCs w:val="18"/>
              </w:rPr>
              <w:t>MSP</w:t>
            </w:r>
          </w:p>
        </w:tc>
        <w:tc>
          <w:tcPr>
            <w:tcW w:w="390" w:type="pct"/>
            <w:tcBorders>
              <w:top w:val="nil"/>
              <w:left w:val="nil"/>
              <w:bottom w:val="single" w:sz="12" w:space="0" w:color="auto"/>
              <w:right w:val="single" w:sz="4" w:space="0" w:color="auto"/>
            </w:tcBorders>
            <w:shd w:val="clear" w:color="auto" w:fill="auto"/>
            <w:noWrap/>
            <w:vAlign w:val="center"/>
            <w:hideMark/>
          </w:tcPr>
          <w:p w:rsidR="00BA383C" w:rsidRPr="00BA383C" w:rsidRDefault="00BA383C" w:rsidP="00BA383C">
            <w:pPr>
              <w:spacing w:before="0" w:line="240" w:lineRule="auto"/>
              <w:ind w:firstLine="0"/>
              <w:jc w:val="center"/>
              <w:rPr>
                <w:rFonts w:asciiTheme="minorHAnsi" w:hAnsiTheme="minorHAnsi"/>
                <w:color w:val="000000"/>
                <w:sz w:val="18"/>
                <w:szCs w:val="18"/>
              </w:rPr>
            </w:pPr>
            <w:r w:rsidRPr="00BA383C">
              <w:rPr>
                <w:rFonts w:asciiTheme="minorHAnsi" w:hAnsiTheme="minorHAnsi"/>
                <w:color w:val="000000"/>
                <w:sz w:val="18"/>
                <w:szCs w:val="18"/>
              </w:rPr>
              <w:t>%</w:t>
            </w:r>
          </w:p>
        </w:tc>
        <w:tc>
          <w:tcPr>
            <w:tcW w:w="356" w:type="pct"/>
            <w:tcBorders>
              <w:top w:val="nil"/>
              <w:left w:val="nil"/>
              <w:bottom w:val="single" w:sz="12" w:space="0" w:color="auto"/>
              <w:right w:val="single" w:sz="4" w:space="0" w:color="auto"/>
            </w:tcBorders>
            <w:shd w:val="clear" w:color="auto" w:fill="auto"/>
            <w:noWrap/>
            <w:vAlign w:val="bottom"/>
            <w:hideMark/>
          </w:tcPr>
          <w:p w:rsidR="00BA383C" w:rsidRPr="00BA383C" w:rsidRDefault="00BA383C" w:rsidP="00BA383C">
            <w:pPr>
              <w:spacing w:before="0" w:line="240" w:lineRule="auto"/>
              <w:ind w:firstLine="0"/>
              <w:jc w:val="center"/>
              <w:rPr>
                <w:rFonts w:asciiTheme="minorHAnsi" w:hAnsiTheme="minorHAnsi"/>
                <w:color w:val="000000"/>
                <w:sz w:val="18"/>
                <w:szCs w:val="18"/>
              </w:rPr>
            </w:pPr>
            <w:r w:rsidRPr="00BA383C">
              <w:rPr>
                <w:rFonts w:asciiTheme="minorHAnsi" w:hAnsiTheme="minorHAnsi"/>
                <w:color w:val="000000"/>
                <w:sz w:val="18"/>
                <w:szCs w:val="18"/>
              </w:rPr>
              <w:t>58,4</w:t>
            </w:r>
          </w:p>
        </w:tc>
        <w:tc>
          <w:tcPr>
            <w:tcW w:w="356" w:type="pct"/>
            <w:tcBorders>
              <w:top w:val="nil"/>
              <w:left w:val="nil"/>
              <w:bottom w:val="single" w:sz="12" w:space="0" w:color="auto"/>
              <w:right w:val="single" w:sz="4" w:space="0" w:color="auto"/>
            </w:tcBorders>
            <w:shd w:val="clear" w:color="auto" w:fill="auto"/>
            <w:noWrap/>
            <w:vAlign w:val="bottom"/>
            <w:hideMark/>
          </w:tcPr>
          <w:p w:rsidR="00BA383C" w:rsidRPr="00BA383C" w:rsidRDefault="00BA383C" w:rsidP="00BA383C">
            <w:pPr>
              <w:spacing w:before="0" w:line="240" w:lineRule="auto"/>
              <w:ind w:firstLine="0"/>
              <w:jc w:val="center"/>
              <w:rPr>
                <w:rFonts w:asciiTheme="minorHAnsi" w:hAnsiTheme="minorHAnsi"/>
                <w:color w:val="000000"/>
                <w:sz w:val="18"/>
                <w:szCs w:val="18"/>
              </w:rPr>
            </w:pPr>
            <w:r w:rsidRPr="00BA383C">
              <w:rPr>
                <w:rFonts w:asciiTheme="minorHAnsi" w:hAnsiTheme="minorHAnsi"/>
                <w:color w:val="000000"/>
                <w:sz w:val="18"/>
                <w:szCs w:val="18"/>
              </w:rPr>
              <w:t>59,4</w:t>
            </w:r>
          </w:p>
        </w:tc>
        <w:tc>
          <w:tcPr>
            <w:tcW w:w="356" w:type="pct"/>
            <w:tcBorders>
              <w:top w:val="nil"/>
              <w:left w:val="nil"/>
              <w:bottom w:val="single" w:sz="12" w:space="0" w:color="auto"/>
              <w:right w:val="single" w:sz="4" w:space="0" w:color="auto"/>
            </w:tcBorders>
            <w:shd w:val="clear" w:color="auto" w:fill="auto"/>
            <w:noWrap/>
            <w:vAlign w:val="bottom"/>
            <w:hideMark/>
          </w:tcPr>
          <w:p w:rsidR="00BA383C" w:rsidRPr="00BA383C" w:rsidRDefault="00BA383C" w:rsidP="00BA383C">
            <w:pPr>
              <w:spacing w:before="0" w:line="240" w:lineRule="auto"/>
              <w:ind w:firstLine="0"/>
              <w:jc w:val="center"/>
              <w:rPr>
                <w:rFonts w:asciiTheme="minorHAnsi" w:hAnsiTheme="minorHAnsi"/>
                <w:color w:val="000000"/>
                <w:sz w:val="18"/>
                <w:szCs w:val="18"/>
              </w:rPr>
            </w:pPr>
            <w:r w:rsidRPr="00BA383C">
              <w:rPr>
                <w:rFonts w:asciiTheme="minorHAnsi" w:hAnsiTheme="minorHAnsi"/>
                <w:color w:val="000000"/>
                <w:sz w:val="18"/>
                <w:szCs w:val="18"/>
              </w:rPr>
              <w:t>56,9</w:t>
            </w:r>
          </w:p>
        </w:tc>
        <w:tc>
          <w:tcPr>
            <w:tcW w:w="356" w:type="pct"/>
            <w:tcBorders>
              <w:top w:val="nil"/>
              <w:left w:val="nil"/>
              <w:bottom w:val="single" w:sz="12" w:space="0" w:color="auto"/>
              <w:right w:val="single" w:sz="4" w:space="0" w:color="auto"/>
            </w:tcBorders>
            <w:shd w:val="clear" w:color="auto" w:fill="auto"/>
            <w:noWrap/>
            <w:vAlign w:val="bottom"/>
            <w:hideMark/>
          </w:tcPr>
          <w:p w:rsidR="00BA383C" w:rsidRPr="00BA383C" w:rsidRDefault="00BA383C" w:rsidP="00BA383C">
            <w:pPr>
              <w:spacing w:before="0" w:line="240" w:lineRule="auto"/>
              <w:ind w:firstLine="0"/>
              <w:jc w:val="center"/>
              <w:rPr>
                <w:rFonts w:asciiTheme="minorHAnsi" w:hAnsiTheme="minorHAnsi"/>
                <w:color w:val="000000"/>
                <w:sz w:val="18"/>
                <w:szCs w:val="18"/>
              </w:rPr>
            </w:pPr>
            <w:r w:rsidRPr="00BA383C">
              <w:rPr>
                <w:rFonts w:asciiTheme="minorHAnsi" w:hAnsiTheme="minorHAnsi"/>
                <w:color w:val="000000"/>
                <w:sz w:val="18"/>
                <w:szCs w:val="18"/>
              </w:rPr>
              <w:t>63,1</w:t>
            </w:r>
          </w:p>
        </w:tc>
        <w:tc>
          <w:tcPr>
            <w:tcW w:w="356" w:type="pct"/>
            <w:tcBorders>
              <w:top w:val="nil"/>
              <w:left w:val="nil"/>
              <w:bottom w:val="single" w:sz="12" w:space="0" w:color="auto"/>
              <w:right w:val="single" w:sz="4" w:space="0" w:color="auto"/>
            </w:tcBorders>
            <w:shd w:val="clear" w:color="auto" w:fill="auto"/>
            <w:noWrap/>
            <w:vAlign w:val="bottom"/>
            <w:hideMark/>
          </w:tcPr>
          <w:p w:rsidR="00BA383C" w:rsidRPr="00BA383C" w:rsidRDefault="00BA383C" w:rsidP="00BA383C">
            <w:pPr>
              <w:spacing w:before="0" w:line="240" w:lineRule="auto"/>
              <w:ind w:firstLine="0"/>
              <w:jc w:val="center"/>
              <w:rPr>
                <w:rFonts w:asciiTheme="minorHAnsi" w:hAnsiTheme="minorHAnsi"/>
                <w:color w:val="000000"/>
                <w:sz w:val="18"/>
                <w:szCs w:val="18"/>
              </w:rPr>
            </w:pPr>
            <w:r w:rsidRPr="00BA383C">
              <w:rPr>
                <w:rFonts w:asciiTheme="minorHAnsi" w:hAnsiTheme="minorHAnsi"/>
                <w:color w:val="000000"/>
                <w:sz w:val="18"/>
                <w:szCs w:val="18"/>
              </w:rPr>
              <w:t>62,1</w:t>
            </w:r>
          </w:p>
        </w:tc>
        <w:tc>
          <w:tcPr>
            <w:tcW w:w="356" w:type="pct"/>
            <w:tcBorders>
              <w:top w:val="nil"/>
              <w:left w:val="nil"/>
              <w:bottom w:val="single" w:sz="12" w:space="0" w:color="auto"/>
              <w:right w:val="single" w:sz="4" w:space="0" w:color="auto"/>
            </w:tcBorders>
            <w:shd w:val="clear" w:color="auto" w:fill="auto"/>
            <w:noWrap/>
            <w:vAlign w:val="bottom"/>
            <w:hideMark/>
          </w:tcPr>
          <w:p w:rsidR="00BA383C" w:rsidRPr="00BA383C" w:rsidRDefault="00BA383C" w:rsidP="00BA383C">
            <w:pPr>
              <w:spacing w:before="0" w:line="240" w:lineRule="auto"/>
              <w:ind w:firstLine="0"/>
              <w:jc w:val="center"/>
              <w:rPr>
                <w:rFonts w:asciiTheme="minorHAnsi" w:hAnsiTheme="minorHAnsi"/>
                <w:color w:val="000000"/>
                <w:sz w:val="18"/>
                <w:szCs w:val="18"/>
              </w:rPr>
            </w:pPr>
            <w:r w:rsidRPr="00BA383C">
              <w:rPr>
                <w:rFonts w:asciiTheme="minorHAnsi" w:hAnsiTheme="minorHAnsi"/>
                <w:color w:val="000000"/>
                <w:sz w:val="18"/>
                <w:szCs w:val="18"/>
              </w:rPr>
              <w:t>59,7</w:t>
            </w:r>
          </w:p>
        </w:tc>
        <w:tc>
          <w:tcPr>
            <w:tcW w:w="356" w:type="pct"/>
            <w:tcBorders>
              <w:top w:val="nil"/>
              <w:left w:val="nil"/>
              <w:bottom w:val="single" w:sz="12" w:space="0" w:color="auto"/>
              <w:right w:val="single" w:sz="4" w:space="0" w:color="auto"/>
            </w:tcBorders>
            <w:shd w:val="clear" w:color="auto" w:fill="auto"/>
            <w:noWrap/>
            <w:vAlign w:val="bottom"/>
            <w:hideMark/>
          </w:tcPr>
          <w:p w:rsidR="00BA383C" w:rsidRPr="00BA383C" w:rsidRDefault="00BA383C" w:rsidP="00BA383C">
            <w:pPr>
              <w:spacing w:before="0" w:line="240" w:lineRule="auto"/>
              <w:ind w:firstLine="0"/>
              <w:jc w:val="center"/>
              <w:rPr>
                <w:rFonts w:asciiTheme="minorHAnsi" w:hAnsiTheme="minorHAnsi"/>
                <w:color w:val="000000"/>
                <w:sz w:val="18"/>
                <w:szCs w:val="18"/>
              </w:rPr>
            </w:pPr>
            <w:r w:rsidRPr="00BA383C">
              <w:rPr>
                <w:rFonts w:asciiTheme="minorHAnsi" w:hAnsiTheme="minorHAnsi"/>
                <w:color w:val="000000"/>
                <w:sz w:val="18"/>
                <w:szCs w:val="18"/>
              </w:rPr>
              <w:t>58,4</w:t>
            </w:r>
          </w:p>
        </w:tc>
        <w:tc>
          <w:tcPr>
            <w:tcW w:w="356" w:type="pct"/>
            <w:tcBorders>
              <w:top w:val="nil"/>
              <w:left w:val="nil"/>
              <w:bottom w:val="single" w:sz="12" w:space="0" w:color="auto"/>
              <w:right w:val="single" w:sz="12" w:space="0" w:color="auto"/>
            </w:tcBorders>
            <w:shd w:val="clear" w:color="auto" w:fill="auto"/>
            <w:noWrap/>
            <w:vAlign w:val="bottom"/>
            <w:hideMark/>
          </w:tcPr>
          <w:p w:rsidR="00BA383C" w:rsidRPr="00BA383C" w:rsidRDefault="00BA383C" w:rsidP="00BA383C">
            <w:pPr>
              <w:spacing w:before="0" w:line="240" w:lineRule="auto"/>
              <w:ind w:firstLine="0"/>
              <w:jc w:val="center"/>
              <w:rPr>
                <w:rFonts w:asciiTheme="minorHAnsi" w:hAnsiTheme="minorHAnsi"/>
                <w:color w:val="000000"/>
                <w:sz w:val="18"/>
                <w:szCs w:val="18"/>
              </w:rPr>
            </w:pPr>
            <w:r w:rsidRPr="00BA383C">
              <w:rPr>
                <w:rFonts w:asciiTheme="minorHAnsi" w:hAnsiTheme="minorHAnsi"/>
                <w:color w:val="000000"/>
                <w:sz w:val="18"/>
                <w:szCs w:val="18"/>
              </w:rPr>
              <w:t>57,4</w:t>
            </w:r>
          </w:p>
        </w:tc>
        <w:tc>
          <w:tcPr>
            <w:tcW w:w="356" w:type="pct"/>
            <w:tcBorders>
              <w:top w:val="nil"/>
              <w:left w:val="single" w:sz="12" w:space="0" w:color="auto"/>
              <w:bottom w:val="single" w:sz="12" w:space="0" w:color="auto"/>
              <w:right w:val="single" w:sz="12" w:space="0" w:color="auto"/>
            </w:tcBorders>
            <w:shd w:val="clear" w:color="auto" w:fill="auto"/>
            <w:noWrap/>
            <w:vAlign w:val="bottom"/>
            <w:hideMark/>
          </w:tcPr>
          <w:p w:rsidR="00BA383C" w:rsidRPr="00BA383C" w:rsidRDefault="00BA383C" w:rsidP="00BA383C">
            <w:pPr>
              <w:spacing w:before="0" w:line="240" w:lineRule="auto"/>
              <w:ind w:firstLine="0"/>
              <w:jc w:val="center"/>
              <w:rPr>
                <w:rFonts w:asciiTheme="minorHAnsi" w:hAnsiTheme="minorHAnsi" w:cs="Arial"/>
                <w:color w:val="000000"/>
                <w:sz w:val="18"/>
                <w:szCs w:val="18"/>
              </w:rPr>
            </w:pPr>
            <w:r w:rsidRPr="00BA383C">
              <w:rPr>
                <w:rFonts w:asciiTheme="minorHAnsi" w:hAnsiTheme="minorHAnsi" w:cs="Arial"/>
                <w:color w:val="000000"/>
                <w:sz w:val="18"/>
                <w:szCs w:val="18"/>
              </w:rPr>
              <w:t>98,2</w:t>
            </w:r>
          </w:p>
        </w:tc>
      </w:tr>
    </w:tbl>
    <w:p w:rsidR="00BA383C" w:rsidRDefault="00BA383C" w:rsidP="00BA383C">
      <w:pPr>
        <w:spacing w:before="0" w:line="240" w:lineRule="atLeast"/>
        <w:ind w:firstLine="0"/>
        <w:rPr>
          <w:rFonts w:ascii="Calibri" w:eastAsia="Calibri" w:hAnsi="Calibri"/>
          <w:sz w:val="18"/>
          <w:szCs w:val="18"/>
          <w:lang w:eastAsia="en-US"/>
        </w:rPr>
      </w:pPr>
      <w:r w:rsidRPr="00BA383C">
        <w:rPr>
          <w:rFonts w:ascii="Calibri" w:eastAsia="Calibri" w:hAnsi="Calibri"/>
          <w:sz w:val="18"/>
          <w:szCs w:val="18"/>
          <w:lang w:eastAsia="en-US"/>
        </w:rPr>
        <w:t>Pramen: MPO</w:t>
      </w:r>
    </w:p>
    <w:p w:rsidR="007725F8" w:rsidRPr="00BA383C" w:rsidRDefault="008E70E3" w:rsidP="008E70E3">
      <w:pPr>
        <w:spacing w:before="120" w:line="240" w:lineRule="atLeast"/>
        <w:ind w:firstLine="0"/>
        <w:rPr>
          <w:rFonts w:ascii="Calibri" w:eastAsia="Calibri" w:hAnsi="Calibri"/>
          <w:sz w:val="18"/>
          <w:szCs w:val="18"/>
          <w:lang w:eastAsia="en-US"/>
        </w:rPr>
      </w:pPr>
      <w:r>
        <w:rPr>
          <w:rFonts w:ascii="Calibri" w:eastAsia="Calibri" w:hAnsi="Calibri"/>
          <w:sz w:val="22"/>
          <w:szCs w:val="22"/>
          <w:lang w:eastAsia="en-US"/>
        </w:rPr>
        <w:t>P</w:t>
      </w:r>
      <w:r w:rsidR="007725F8" w:rsidRPr="007725F8">
        <w:rPr>
          <w:rFonts w:ascii="Calibri" w:eastAsia="Calibri" w:hAnsi="Calibri"/>
          <w:sz w:val="22"/>
          <w:szCs w:val="22"/>
          <w:lang w:eastAsia="en-US"/>
        </w:rPr>
        <w:t>rodej nezpracovaných produktů přímo ze zemědělského podniku, zmíněná databáze nepodchycuje.</w:t>
      </w:r>
    </w:p>
    <w:p w:rsidR="00FE5776" w:rsidRDefault="00B55D88" w:rsidP="00036D58">
      <w:pPr>
        <w:pStyle w:val="Odstavecseseznamem"/>
        <w:numPr>
          <w:ilvl w:val="0"/>
          <w:numId w:val="15"/>
        </w:numPr>
        <w:ind w:left="0" w:firstLine="0"/>
        <w:rPr>
          <w:rFonts w:ascii="Calibri" w:eastAsia="Calibri" w:hAnsi="Calibri"/>
          <w:sz w:val="22"/>
          <w:szCs w:val="22"/>
          <w:lang w:eastAsia="en-US"/>
        </w:rPr>
      </w:pPr>
      <w:r>
        <w:rPr>
          <w:rFonts w:ascii="Calibri" w:eastAsia="Calibri" w:hAnsi="Calibri"/>
          <w:sz w:val="22"/>
          <w:szCs w:val="22"/>
          <w:lang w:eastAsia="en-US"/>
        </w:rPr>
        <w:t>V</w:t>
      </w:r>
      <w:r w:rsidR="00EE0671">
        <w:rPr>
          <w:rFonts w:ascii="Calibri" w:eastAsia="Calibri" w:hAnsi="Calibri"/>
          <w:sz w:val="22"/>
          <w:szCs w:val="22"/>
          <w:lang w:eastAsia="en-US"/>
        </w:rPr>
        <w:t>ýzkum ÚZEI a TC</w:t>
      </w:r>
      <w:r w:rsidR="007F5071">
        <w:rPr>
          <w:rFonts w:ascii="Calibri" w:eastAsia="Calibri" w:hAnsi="Calibri"/>
          <w:sz w:val="22"/>
          <w:szCs w:val="22"/>
          <w:lang w:eastAsia="en-US"/>
        </w:rPr>
        <w:t> AV ČR</w:t>
      </w:r>
      <w:r w:rsidR="000B28B3" w:rsidRPr="00AC6057">
        <w:rPr>
          <w:rFonts w:ascii="Calibri" w:eastAsia="Calibri" w:hAnsi="Calibri"/>
          <w:i/>
          <w:sz w:val="22"/>
          <w:vertAlign w:val="superscript"/>
        </w:rPr>
        <w:footnoteReference w:id="6"/>
      </w:r>
      <w:r>
        <w:rPr>
          <w:rFonts w:ascii="Calibri" w:eastAsia="Calibri" w:hAnsi="Calibri"/>
          <w:sz w:val="22"/>
          <w:szCs w:val="22"/>
          <w:lang w:eastAsia="en-US"/>
        </w:rPr>
        <w:t xml:space="preserve"> </w:t>
      </w:r>
      <w:r w:rsidR="001B72DA">
        <w:rPr>
          <w:rFonts w:ascii="Calibri" w:eastAsia="Calibri" w:hAnsi="Calibri"/>
          <w:sz w:val="22"/>
          <w:szCs w:val="22"/>
          <w:lang w:eastAsia="en-US"/>
        </w:rPr>
        <w:t xml:space="preserve">(Bošková, Ratinger, 2018) </w:t>
      </w:r>
      <w:r>
        <w:rPr>
          <w:rFonts w:ascii="Calibri" w:eastAsia="Calibri" w:hAnsi="Calibri"/>
          <w:sz w:val="22"/>
          <w:szCs w:val="22"/>
          <w:lang w:eastAsia="en-US"/>
        </w:rPr>
        <w:t xml:space="preserve">byl zaměřen na držitele </w:t>
      </w:r>
      <w:r w:rsidRPr="006F3562">
        <w:rPr>
          <w:rFonts w:ascii="Calibri" w:eastAsia="Calibri" w:hAnsi="Calibri"/>
          <w:sz w:val="22"/>
          <w:szCs w:val="22"/>
          <w:lang w:eastAsia="en-US"/>
        </w:rPr>
        <w:t xml:space="preserve">Regionální značky udělované Asociací regionálních značek (ARZ) s dotazy </w:t>
      </w:r>
      <w:r>
        <w:rPr>
          <w:rFonts w:ascii="Calibri" w:eastAsia="Calibri" w:hAnsi="Calibri"/>
          <w:sz w:val="22"/>
          <w:szCs w:val="22"/>
          <w:lang w:eastAsia="en-US"/>
        </w:rPr>
        <w:t xml:space="preserve">mimo jiné </w:t>
      </w:r>
      <w:r w:rsidRPr="006F3562">
        <w:rPr>
          <w:rFonts w:ascii="Calibri" w:eastAsia="Calibri" w:hAnsi="Calibri"/>
          <w:sz w:val="22"/>
          <w:szCs w:val="22"/>
          <w:lang w:eastAsia="en-US"/>
        </w:rPr>
        <w:t>směrovanými na spolupráci při prodeji regionálních výrobků</w:t>
      </w:r>
      <w:r>
        <w:rPr>
          <w:rFonts w:ascii="Calibri" w:eastAsia="Calibri" w:hAnsi="Calibri"/>
          <w:sz w:val="22"/>
          <w:szCs w:val="22"/>
          <w:lang w:eastAsia="en-US"/>
        </w:rPr>
        <w:t>.</w:t>
      </w:r>
      <w:r w:rsidR="001478FC" w:rsidRPr="006F3562">
        <w:rPr>
          <w:rFonts w:ascii="Calibri" w:eastAsia="Calibri" w:hAnsi="Calibri"/>
          <w:sz w:val="22"/>
          <w:szCs w:val="22"/>
          <w:lang w:eastAsia="en-US"/>
        </w:rPr>
        <w:t xml:space="preserve"> </w:t>
      </w:r>
      <w:r w:rsidR="00CC4A16">
        <w:rPr>
          <w:rFonts w:ascii="Calibri" w:eastAsia="Calibri" w:hAnsi="Calibri"/>
          <w:sz w:val="22"/>
          <w:szCs w:val="22"/>
          <w:lang w:eastAsia="en-US"/>
        </w:rPr>
        <w:t xml:space="preserve">Osloveno bylo všech 430 držitelů značky pro potraviny. </w:t>
      </w:r>
      <w:r w:rsidR="001478FC" w:rsidRPr="006F3562">
        <w:rPr>
          <w:rFonts w:ascii="Calibri" w:eastAsia="Calibri" w:hAnsi="Calibri"/>
          <w:sz w:val="22"/>
          <w:szCs w:val="22"/>
          <w:lang w:eastAsia="en-US"/>
        </w:rPr>
        <w:t>Z</w:t>
      </w:r>
      <w:r w:rsidR="00CC4A16">
        <w:rPr>
          <w:rFonts w:ascii="Calibri" w:eastAsia="Calibri" w:hAnsi="Calibri"/>
          <w:sz w:val="22"/>
          <w:szCs w:val="22"/>
          <w:lang w:eastAsia="en-US"/>
        </w:rPr>
        <w:t xml:space="preserve"> více než třetiny </w:t>
      </w:r>
      <w:r w:rsidR="005233B8">
        <w:rPr>
          <w:rFonts w:ascii="Calibri" w:eastAsia="Calibri" w:hAnsi="Calibri"/>
          <w:sz w:val="22"/>
          <w:szCs w:val="22"/>
          <w:lang w:eastAsia="en-US"/>
        </w:rPr>
        <w:t xml:space="preserve">(160) </w:t>
      </w:r>
      <w:r w:rsidR="001478FC" w:rsidRPr="006F3562">
        <w:rPr>
          <w:rFonts w:ascii="Calibri" w:eastAsia="Calibri" w:hAnsi="Calibri"/>
          <w:sz w:val="22"/>
          <w:szCs w:val="22"/>
          <w:lang w:eastAsia="en-US"/>
        </w:rPr>
        <w:t>navrácených odpovědí je zřejmé, že</w:t>
      </w:r>
      <w:r w:rsidR="00EE0671">
        <w:rPr>
          <w:rFonts w:ascii="Calibri" w:eastAsia="Calibri" w:hAnsi="Calibri"/>
          <w:sz w:val="22"/>
          <w:szCs w:val="22"/>
          <w:lang w:eastAsia="en-US"/>
        </w:rPr>
        <w:t xml:space="preserve"> </w:t>
      </w:r>
      <w:r w:rsidR="001478FC">
        <w:rPr>
          <w:rFonts w:ascii="Calibri" w:eastAsia="Calibri" w:hAnsi="Calibri"/>
          <w:sz w:val="22"/>
          <w:szCs w:val="22"/>
          <w:lang w:eastAsia="en-US"/>
        </w:rPr>
        <w:t>všichni respondenti se vejdou do kategorie malých a středních podniků</w:t>
      </w:r>
      <w:r w:rsidR="00CC4A16">
        <w:rPr>
          <w:rFonts w:ascii="Calibri" w:eastAsia="Calibri" w:hAnsi="Calibri"/>
          <w:sz w:val="22"/>
          <w:szCs w:val="22"/>
          <w:lang w:eastAsia="en-US"/>
        </w:rPr>
        <w:t xml:space="preserve"> </w:t>
      </w:r>
      <w:r w:rsidR="000E1A0A">
        <w:rPr>
          <w:rFonts w:ascii="Calibri" w:eastAsia="Calibri" w:hAnsi="Calibri"/>
          <w:sz w:val="22"/>
          <w:szCs w:val="22"/>
          <w:lang w:eastAsia="en-US"/>
        </w:rPr>
        <w:t xml:space="preserve">a 83 % dokonce do kategorie mikropodniků </w:t>
      </w:r>
      <w:r w:rsidR="001478FC">
        <w:rPr>
          <w:rFonts w:ascii="Calibri" w:eastAsia="Calibri" w:hAnsi="Calibri"/>
          <w:sz w:val="22"/>
          <w:szCs w:val="22"/>
          <w:lang w:eastAsia="en-US"/>
        </w:rPr>
        <w:t>(</w:t>
      </w:r>
      <w:r w:rsidR="00CC4A16">
        <w:rPr>
          <w:rFonts w:ascii="Calibri" w:eastAsia="Calibri" w:hAnsi="Calibri"/>
          <w:sz w:val="22"/>
          <w:szCs w:val="22"/>
          <w:lang w:eastAsia="en-US"/>
        </w:rPr>
        <w:t>u</w:t>
      </w:r>
      <w:r w:rsidR="001478FC" w:rsidRPr="006F3562">
        <w:rPr>
          <w:rFonts w:ascii="Calibri" w:eastAsia="Calibri" w:hAnsi="Calibri"/>
          <w:sz w:val="22"/>
          <w:szCs w:val="22"/>
          <w:lang w:eastAsia="en-US"/>
        </w:rPr>
        <w:t xml:space="preserve"> 42</w:t>
      </w:r>
      <w:r w:rsidR="001478FC">
        <w:rPr>
          <w:rFonts w:ascii="Calibri" w:eastAsia="Calibri" w:hAnsi="Calibri"/>
          <w:sz w:val="22"/>
          <w:szCs w:val="22"/>
          <w:lang w:eastAsia="en-US"/>
        </w:rPr>
        <w:t> </w:t>
      </w:r>
      <w:r w:rsidR="001478FC" w:rsidRPr="006F3562">
        <w:rPr>
          <w:rFonts w:ascii="Calibri" w:eastAsia="Calibri" w:hAnsi="Calibri"/>
          <w:sz w:val="22"/>
          <w:szCs w:val="22"/>
          <w:lang w:eastAsia="en-US"/>
        </w:rPr>
        <w:t xml:space="preserve">% respondentů </w:t>
      </w:r>
      <w:r w:rsidR="001478FC">
        <w:rPr>
          <w:rFonts w:ascii="Calibri" w:eastAsia="Calibri" w:hAnsi="Calibri"/>
          <w:sz w:val="22"/>
          <w:szCs w:val="22"/>
          <w:lang w:eastAsia="en-US"/>
        </w:rPr>
        <w:t xml:space="preserve">se na výrobě </w:t>
      </w:r>
      <w:r w:rsidR="001478FC" w:rsidRPr="006F3562">
        <w:rPr>
          <w:rFonts w:ascii="Calibri" w:eastAsia="Calibri" w:hAnsi="Calibri"/>
          <w:sz w:val="22"/>
          <w:szCs w:val="22"/>
          <w:lang w:eastAsia="en-US"/>
        </w:rPr>
        <w:t xml:space="preserve">podílí </w:t>
      </w:r>
      <w:r w:rsidR="005233B8">
        <w:rPr>
          <w:rFonts w:ascii="Calibri" w:eastAsia="Calibri" w:hAnsi="Calibri"/>
          <w:sz w:val="22"/>
          <w:szCs w:val="22"/>
          <w:lang w:eastAsia="en-US"/>
        </w:rPr>
        <w:t xml:space="preserve">jen </w:t>
      </w:r>
      <w:r w:rsidR="001478FC" w:rsidRPr="006F3562">
        <w:rPr>
          <w:rFonts w:ascii="Calibri" w:eastAsia="Calibri" w:hAnsi="Calibri"/>
          <w:sz w:val="22"/>
          <w:szCs w:val="22"/>
          <w:lang w:eastAsia="en-US"/>
        </w:rPr>
        <w:t>jedna až dvě osoby a</w:t>
      </w:r>
      <w:r w:rsidR="000E1A0A">
        <w:rPr>
          <w:rFonts w:ascii="Calibri" w:eastAsia="Calibri" w:hAnsi="Calibri"/>
          <w:sz w:val="22"/>
          <w:szCs w:val="22"/>
          <w:lang w:eastAsia="en-US"/>
        </w:rPr>
        <w:t> </w:t>
      </w:r>
      <w:r w:rsidR="001478FC" w:rsidRPr="006F3562">
        <w:rPr>
          <w:rFonts w:ascii="Calibri" w:eastAsia="Calibri" w:hAnsi="Calibri"/>
          <w:sz w:val="22"/>
          <w:szCs w:val="22"/>
          <w:lang w:eastAsia="en-US"/>
        </w:rPr>
        <w:t>u dalších 41 % respondentů maximálně deset osob</w:t>
      </w:r>
      <w:r w:rsidR="00CC4A16">
        <w:rPr>
          <w:rFonts w:ascii="Calibri" w:eastAsia="Calibri" w:hAnsi="Calibri"/>
          <w:sz w:val="22"/>
          <w:szCs w:val="22"/>
          <w:lang w:eastAsia="en-US"/>
        </w:rPr>
        <w:t>)</w:t>
      </w:r>
      <w:r w:rsidR="001478FC" w:rsidRPr="006F3562">
        <w:rPr>
          <w:rFonts w:ascii="Calibri" w:eastAsia="Calibri" w:hAnsi="Calibri"/>
          <w:sz w:val="22"/>
          <w:szCs w:val="22"/>
          <w:lang w:eastAsia="en-US"/>
        </w:rPr>
        <w:t>.</w:t>
      </w:r>
      <w:r w:rsidR="001478FC">
        <w:rPr>
          <w:rFonts w:ascii="Calibri" w:eastAsia="Calibri" w:hAnsi="Calibri"/>
          <w:sz w:val="22"/>
          <w:szCs w:val="22"/>
          <w:lang w:eastAsia="en-US"/>
        </w:rPr>
        <w:t xml:space="preserve"> </w:t>
      </w:r>
      <w:r w:rsidR="001478FC" w:rsidRPr="007725F8">
        <w:rPr>
          <w:rFonts w:ascii="Calibri" w:eastAsia="Calibri" w:hAnsi="Calibri"/>
          <w:b/>
          <w:sz w:val="22"/>
          <w:szCs w:val="22"/>
          <w:lang w:eastAsia="en-US"/>
        </w:rPr>
        <w:t xml:space="preserve">Prodej formou </w:t>
      </w:r>
      <w:r w:rsidR="007F6946" w:rsidRPr="007725F8">
        <w:rPr>
          <w:rFonts w:ascii="Calibri" w:eastAsia="Calibri" w:hAnsi="Calibri"/>
          <w:b/>
          <w:sz w:val="22"/>
          <w:szCs w:val="22"/>
          <w:lang w:eastAsia="en-US"/>
        </w:rPr>
        <w:t xml:space="preserve">KDŘ </w:t>
      </w:r>
      <w:r w:rsidR="001478FC" w:rsidRPr="007725F8">
        <w:rPr>
          <w:rFonts w:ascii="Calibri" w:eastAsia="Calibri" w:hAnsi="Calibri"/>
          <w:b/>
          <w:sz w:val="22"/>
          <w:szCs w:val="22"/>
          <w:lang w:eastAsia="en-US"/>
        </w:rPr>
        <w:t xml:space="preserve">je u držitelů značky </w:t>
      </w:r>
      <w:r w:rsidR="007725F8">
        <w:rPr>
          <w:rFonts w:ascii="Calibri" w:eastAsia="Calibri" w:hAnsi="Calibri"/>
          <w:b/>
          <w:sz w:val="22"/>
          <w:szCs w:val="22"/>
          <w:lang w:eastAsia="en-US"/>
        </w:rPr>
        <w:t>ARZ (většinou m</w:t>
      </w:r>
      <w:r w:rsidR="00185151">
        <w:rPr>
          <w:rFonts w:ascii="Calibri" w:eastAsia="Calibri" w:hAnsi="Calibri"/>
          <w:b/>
          <w:sz w:val="22"/>
          <w:szCs w:val="22"/>
          <w:lang w:eastAsia="en-US"/>
        </w:rPr>
        <w:t>ikro</w:t>
      </w:r>
      <w:r w:rsidR="007725F8">
        <w:rPr>
          <w:rFonts w:ascii="Calibri" w:eastAsia="Calibri" w:hAnsi="Calibri"/>
          <w:b/>
          <w:sz w:val="22"/>
          <w:szCs w:val="22"/>
          <w:lang w:eastAsia="en-US"/>
        </w:rPr>
        <w:t xml:space="preserve">podniky) </w:t>
      </w:r>
      <w:r w:rsidR="001478FC" w:rsidRPr="007725F8">
        <w:rPr>
          <w:rFonts w:ascii="Calibri" w:eastAsia="Calibri" w:hAnsi="Calibri"/>
          <w:b/>
          <w:sz w:val="22"/>
          <w:szCs w:val="22"/>
          <w:lang w:eastAsia="en-US"/>
        </w:rPr>
        <w:t>velmi obvyklý</w:t>
      </w:r>
      <w:r w:rsidR="001478FC">
        <w:rPr>
          <w:rFonts w:ascii="Calibri" w:eastAsia="Calibri" w:hAnsi="Calibri"/>
          <w:sz w:val="22"/>
          <w:szCs w:val="22"/>
          <w:lang w:eastAsia="en-US"/>
        </w:rPr>
        <w:t>; 86 % respondentů prodává ve vlastní provozo</w:t>
      </w:r>
      <w:r w:rsidR="005233B8">
        <w:rPr>
          <w:rFonts w:ascii="Calibri" w:eastAsia="Calibri" w:hAnsi="Calibri"/>
          <w:sz w:val="22"/>
          <w:szCs w:val="22"/>
          <w:lang w:eastAsia="en-US"/>
        </w:rPr>
        <w:t>v</w:t>
      </w:r>
      <w:r w:rsidR="001478FC">
        <w:rPr>
          <w:rFonts w:ascii="Calibri" w:eastAsia="Calibri" w:hAnsi="Calibri"/>
          <w:sz w:val="22"/>
          <w:szCs w:val="22"/>
          <w:lang w:eastAsia="en-US"/>
        </w:rPr>
        <w:t>ně, 40 % ve specializované cizí prodejně</w:t>
      </w:r>
      <w:r w:rsidR="00FE5776">
        <w:rPr>
          <w:rFonts w:ascii="Calibri" w:eastAsia="Calibri" w:hAnsi="Calibri"/>
          <w:sz w:val="22"/>
          <w:szCs w:val="22"/>
          <w:lang w:eastAsia="en-US"/>
        </w:rPr>
        <w:t>,</w:t>
      </w:r>
      <w:r w:rsidR="001478FC">
        <w:rPr>
          <w:rFonts w:ascii="Calibri" w:eastAsia="Calibri" w:hAnsi="Calibri"/>
          <w:sz w:val="22"/>
          <w:szCs w:val="22"/>
          <w:lang w:eastAsia="en-US"/>
        </w:rPr>
        <w:t xml:space="preserve"> 49 % na farmářských trzích a 26 % přes internet s vlastním závozem</w:t>
      </w:r>
      <w:r w:rsidR="005233B8">
        <w:rPr>
          <w:rFonts w:ascii="Calibri" w:eastAsia="Calibri" w:hAnsi="Calibri"/>
          <w:sz w:val="22"/>
          <w:szCs w:val="22"/>
          <w:lang w:eastAsia="en-US"/>
        </w:rPr>
        <w:t xml:space="preserve">. Do řetězců dodává jen </w:t>
      </w:r>
      <w:r w:rsidR="008E2F57">
        <w:rPr>
          <w:rFonts w:ascii="Calibri" w:eastAsia="Calibri" w:hAnsi="Calibri"/>
          <w:sz w:val="22"/>
          <w:szCs w:val="22"/>
          <w:lang w:eastAsia="en-US"/>
        </w:rPr>
        <w:t>10,6 % respondentů</w:t>
      </w:r>
      <w:r w:rsidR="00FE5776" w:rsidRPr="00185151">
        <w:rPr>
          <w:rFonts w:ascii="Calibri" w:eastAsia="Calibri" w:hAnsi="Calibri"/>
          <w:i/>
          <w:sz w:val="22"/>
          <w:vertAlign w:val="superscript"/>
        </w:rPr>
        <w:footnoteReference w:id="7"/>
      </w:r>
      <w:r w:rsidR="001478FC">
        <w:rPr>
          <w:rFonts w:ascii="Calibri" w:eastAsia="Calibri" w:hAnsi="Calibri"/>
          <w:sz w:val="22"/>
          <w:szCs w:val="22"/>
          <w:lang w:eastAsia="en-US"/>
        </w:rPr>
        <w:t>.</w:t>
      </w:r>
      <w:r w:rsidR="00FE5776">
        <w:rPr>
          <w:rFonts w:ascii="Calibri" w:eastAsia="Calibri" w:hAnsi="Calibri"/>
          <w:sz w:val="22"/>
          <w:szCs w:val="22"/>
          <w:lang w:eastAsia="en-US"/>
        </w:rPr>
        <w:t xml:space="preserve"> </w:t>
      </w:r>
    </w:p>
    <w:p w:rsidR="00185151" w:rsidRDefault="00185151" w:rsidP="007725F8">
      <w:pPr>
        <w:pStyle w:val="Odstavecseseznamem"/>
        <w:ind w:left="0" w:firstLine="0"/>
        <w:rPr>
          <w:rFonts w:ascii="Calibri" w:eastAsia="Calibri" w:hAnsi="Calibri"/>
          <w:sz w:val="22"/>
          <w:szCs w:val="22"/>
          <w:lang w:eastAsia="en-US"/>
        </w:rPr>
      </w:pPr>
    </w:p>
    <w:p w:rsidR="001E1BC5" w:rsidRDefault="001E1BC5" w:rsidP="007725F8">
      <w:pPr>
        <w:pStyle w:val="Odstavecseseznamem"/>
        <w:ind w:left="0" w:firstLine="0"/>
        <w:rPr>
          <w:rFonts w:ascii="Calibri" w:eastAsia="Calibri" w:hAnsi="Calibri"/>
          <w:sz w:val="22"/>
          <w:szCs w:val="22"/>
          <w:lang w:eastAsia="en-US"/>
        </w:rPr>
      </w:pPr>
    </w:p>
    <w:p w:rsidR="001E1BC5" w:rsidRDefault="001E1BC5" w:rsidP="007725F8">
      <w:pPr>
        <w:pStyle w:val="Odstavecseseznamem"/>
        <w:ind w:left="0" w:firstLine="0"/>
        <w:rPr>
          <w:rFonts w:ascii="Calibri" w:eastAsia="Calibri" w:hAnsi="Calibri"/>
          <w:sz w:val="22"/>
          <w:szCs w:val="22"/>
          <w:lang w:eastAsia="en-US"/>
        </w:rPr>
      </w:pPr>
    </w:p>
    <w:p w:rsidR="007F5071" w:rsidRPr="00785131" w:rsidRDefault="007F5071" w:rsidP="007725F8">
      <w:pPr>
        <w:pStyle w:val="Odstavecseseznamem"/>
        <w:ind w:left="0" w:firstLine="0"/>
        <w:rPr>
          <w:rFonts w:ascii="Calibri" w:eastAsia="Calibri" w:hAnsi="Calibri"/>
          <w:b/>
          <w:sz w:val="22"/>
          <w:szCs w:val="22"/>
          <w:lang w:eastAsia="en-US"/>
        </w:rPr>
      </w:pPr>
      <w:r w:rsidRPr="00785131">
        <w:rPr>
          <w:rFonts w:ascii="Calibri" w:eastAsia="Calibri" w:hAnsi="Calibri"/>
          <w:b/>
          <w:sz w:val="22"/>
          <w:szCs w:val="22"/>
          <w:lang w:eastAsia="en-US"/>
        </w:rPr>
        <w:t>Formáty prodeje výrobců s regionální značkou ARZ (n = 160)</w:t>
      </w:r>
    </w:p>
    <w:p w:rsidR="007F5071" w:rsidRDefault="007F5071" w:rsidP="007F5071">
      <w:pPr>
        <w:spacing w:after="60"/>
        <w:ind w:firstLine="0"/>
        <w:rPr>
          <w:rFonts w:ascii="Calibri" w:eastAsia="Calibri" w:hAnsi="Calibri"/>
          <w:sz w:val="22"/>
          <w:szCs w:val="22"/>
          <w:lang w:eastAsia="en-US"/>
        </w:rPr>
      </w:pPr>
      <w:r>
        <w:rPr>
          <w:noProof/>
        </w:rPr>
        <w:drawing>
          <wp:inline distT="0" distB="0" distL="0" distR="0">
            <wp:extent cx="5788325" cy="2743200"/>
            <wp:effectExtent l="0" t="0" r="3175" b="0"/>
            <wp:docPr id="16" name="Graf 16">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51358147-92BA-474D-992F-6A5045ECDF8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F5071" w:rsidRPr="007F5071" w:rsidRDefault="007F5071" w:rsidP="007F5071">
      <w:pPr>
        <w:spacing w:after="60" w:line="240" w:lineRule="atLeast"/>
        <w:ind w:firstLine="0"/>
        <w:rPr>
          <w:rFonts w:ascii="Calibri" w:eastAsia="Calibri" w:hAnsi="Calibri"/>
          <w:sz w:val="18"/>
          <w:szCs w:val="18"/>
          <w:lang w:eastAsia="en-US"/>
        </w:rPr>
      </w:pPr>
      <w:r w:rsidRPr="007F5071">
        <w:rPr>
          <w:rFonts w:ascii="Calibri" w:eastAsia="Calibri" w:hAnsi="Calibri"/>
          <w:sz w:val="18"/>
          <w:szCs w:val="18"/>
          <w:lang w:eastAsia="en-US"/>
        </w:rPr>
        <w:t>Pramen: Výzkum ÚZEI</w:t>
      </w:r>
      <w:r>
        <w:rPr>
          <w:rFonts w:ascii="Calibri" w:eastAsia="Calibri" w:hAnsi="Calibri"/>
          <w:sz w:val="18"/>
          <w:szCs w:val="18"/>
          <w:lang w:eastAsia="en-US"/>
        </w:rPr>
        <w:t xml:space="preserve"> a Technologického centra AV ČR</w:t>
      </w:r>
    </w:p>
    <w:p w:rsidR="00FE5776" w:rsidRPr="008E70E3" w:rsidRDefault="00FE5776" w:rsidP="00036D58">
      <w:pPr>
        <w:pStyle w:val="Odstavecseseznamem"/>
        <w:numPr>
          <w:ilvl w:val="0"/>
          <w:numId w:val="15"/>
        </w:numPr>
        <w:ind w:left="0" w:firstLine="0"/>
        <w:rPr>
          <w:rFonts w:ascii="Calibri" w:eastAsia="Calibri" w:hAnsi="Calibri"/>
          <w:sz w:val="22"/>
          <w:szCs w:val="22"/>
          <w:lang w:eastAsia="en-US"/>
        </w:rPr>
      </w:pPr>
      <w:r w:rsidRPr="008E70E3">
        <w:rPr>
          <w:rFonts w:ascii="Calibri" w:eastAsia="Calibri" w:hAnsi="Calibri"/>
          <w:b/>
          <w:caps/>
          <w:sz w:val="22"/>
          <w:szCs w:val="22"/>
          <w:lang w:eastAsia="en-US"/>
        </w:rPr>
        <w:t>Spolupráce</w:t>
      </w:r>
      <w:r w:rsidRPr="008E70E3">
        <w:rPr>
          <w:rFonts w:ascii="Calibri" w:eastAsia="Calibri" w:hAnsi="Calibri"/>
          <w:b/>
          <w:sz w:val="22"/>
          <w:szCs w:val="22"/>
          <w:lang w:eastAsia="en-US"/>
        </w:rPr>
        <w:t xml:space="preserve"> při prodeji formou KDŘ</w:t>
      </w:r>
      <w:r>
        <w:rPr>
          <w:rFonts w:ascii="Calibri" w:eastAsia="Calibri" w:hAnsi="Calibri"/>
          <w:sz w:val="22"/>
          <w:szCs w:val="22"/>
          <w:lang w:eastAsia="en-US"/>
        </w:rPr>
        <w:t xml:space="preserve"> </w:t>
      </w:r>
      <w:r w:rsidRPr="006F3562">
        <w:rPr>
          <w:rFonts w:ascii="Calibri" w:eastAsia="Calibri" w:hAnsi="Calibri"/>
          <w:sz w:val="22"/>
          <w:szCs w:val="22"/>
          <w:lang w:eastAsia="en-US"/>
        </w:rPr>
        <w:t xml:space="preserve">je podle </w:t>
      </w:r>
      <w:r>
        <w:rPr>
          <w:rFonts w:ascii="Calibri" w:eastAsia="Calibri" w:hAnsi="Calibri"/>
          <w:sz w:val="22"/>
          <w:szCs w:val="22"/>
          <w:lang w:eastAsia="en-US"/>
        </w:rPr>
        <w:t xml:space="preserve">citovaného </w:t>
      </w:r>
      <w:r w:rsidRPr="006F3562">
        <w:rPr>
          <w:rFonts w:ascii="Calibri" w:eastAsia="Calibri" w:hAnsi="Calibri"/>
          <w:sz w:val="22"/>
          <w:szCs w:val="22"/>
          <w:lang w:eastAsia="en-US"/>
        </w:rPr>
        <w:t>výzkumu</w:t>
      </w:r>
      <w:r>
        <w:rPr>
          <w:rFonts w:ascii="Calibri" w:eastAsia="Calibri" w:hAnsi="Calibri"/>
          <w:sz w:val="22"/>
          <w:szCs w:val="22"/>
          <w:lang w:eastAsia="en-US"/>
        </w:rPr>
        <w:t xml:space="preserve"> ÚZEI a TC</w:t>
      </w:r>
      <w:r w:rsidRPr="006F3562">
        <w:rPr>
          <w:rFonts w:ascii="Calibri" w:eastAsia="Calibri" w:hAnsi="Calibri"/>
          <w:sz w:val="22"/>
          <w:szCs w:val="22"/>
          <w:lang w:eastAsia="en-US"/>
        </w:rPr>
        <w:t xml:space="preserve"> omezená, ale existuje. V uvedeném souboru </w:t>
      </w:r>
      <w:r w:rsidR="00D14361">
        <w:rPr>
          <w:rFonts w:ascii="Calibri" w:eastAsia="Calibri" w:hAnsi="Calibri"/>
          <w:sz w:val="22"/>
          <w:szCs w:val="22"/>
          <w:lang w:eastAsia="en-US"/>
        </w:rPr>
        <w:t xml:space="preserve">využívá </w:t>
      </w:r>
      <w:r w:rsidRPr="006F3562">
        <w:rPr>
          <w:rFonts w:ascii="Calibri" w:eastAsia="Calibri" w:hAnsi="Calibri"/>
          <w:sz w:val="22"/>
          <w:szCs w:val="22"/>
          <w:lang w:eastAsia="en-US"/>
        </w:rPr>
        <w:t>celkem 36 % respondentů prodejnu jiného regionálního výrobce, 10 %</w:t>
      </w:r>
      <w:r w:rsidR="00D14361">
        <w:rPr>
          <w:rFonts w:ascii="Calibri" w:eastAsia="Calibri" w:hAnsi="Calibri"/>
          <w:sz w:val="22"/>
          <w:szCs w:val="22"/>
          <w:lang w:eastAsia="en-US"/>
        </w:rPr>
        <w:t> </w:t>
      </w:r>
      <w:r w:rsidRPr="006F3562">
        <w:rPr>
          <w:rFonts w:ascii="Calibri" w:eastAsia="Calibri" w:hAnsi="Calibri"/>
          <w:sz w:val="22"/>
          <w:szCs w:val="22"/>
          <w:lang w:eastAsia="en-US"/>
        </w:rPr>
        <w:t>spolupracuje různými formami (</w:t>
      </w:r>
      <w:r w:rsidRPr="00FE5776">
        <w:rPr>
          <w:rFonts w:ascii="Calibri" w:eastAsia="Calibri" w:hAnsi="Calibri"/>
          <w:sz w:val="22"/>
          <w:szCs w:val="22"/>
          <w:lang w:eastAsia="en-US"/>
        </w:rPr>
        <w:t>nákupem surovin, společnou účastí na akcích, společnými výrobky, marketingem apod.) a necelá 4 % spolupracují</w:t>
      </w:r>
      <w:r w:rsidRPr="008E70E3">
        <w:rPr>
          <w:rFonts w:ascii="Calibri" w:eastAsia="Calibri" w:hAnsi="Calibri"/>
          <w:sz w:val="22"/>
          <w:szCs w:val="22"/>
          <w:lang w:eastAsia="en-US"/>
        </w:rPr>
        <w:t xml:space="preserve"> v dopravě. Téměř dvě třetiny (62 %) respondentů však nespolupracují při výrobě a prodeji svých výrobků s nikým. </w:t>
      </w:r>
    </w:p>
    <w:p w:rsidR="007F6946" w:rsidRPr="00B36B04" w:rsidRDefault="007F6946" w:rsidP="00036D58">
      <w:pPr>
        <w:pStyle w:val="Odstavecseseznamem"/>
        <w:numPr>
          <w:ilvl w:val="0"/>
          <w:numId w:val="15"/>
        </w:numPr>
        <w:ind w:left="0" w:firstLine="0"/>
        <w:rPr>
          <w:rFonts w:ascii="Calibri" w:eastAsia="Calibri" w:hAnsi="Calibri"/>
          <w:sz w:val="22"/>
          <w:szCs w:val="22"/>
          <w:lang w:eastAsia="en-US"/>
        </w:rPr>
      </w:pPr>
      <w:r w:rsidRPr="00B36B04">
        <w:rPr>
          <w:rFonts w:ascii="Calibri" w:eastAsia="Calibri" w:hAnsi="Calibri"/>
          <w:sz w:val="22"/>
          <w:szCs w:val="22"/>
          <w:lang w:eastAsia="en-US"/>
        </w:rPr>
        <w:t>Dílčím poznatkem rovněž je</w:t>
      </w:r>
      <w:r w:rsidRPr="00B36B04">
        <w:rPr>
          <w:rFonts w:ascii="Calibri" w:eastAsia="Calibri" w:hAnsi="Calibri"/>
          <w:b/>
          <w:caps/>
          <w:sz w:val="22"/>
          <w:szCs w:val="22"/>
          <w:lang w:eastAsia="en-US"/>
        </w:rPr>
        <w:t xml:space="preserve"> čerpání podpor z PRV na spolupráci účastníků KDŘ. </w:t>
      </w:r>
      <w:r w:rsidRPr="00B36B04">
        <w:rPr>
          <w:rFonts w:ascii="Calibri" w:eastAsia="Calibri" w:hAnsi="Calibri"/>
          <w:sz w:val="22"/>
          <w:szCs w:val="22"/>
          <w:lang w:eastAsia="en-US"/>
        </w:rPr>
        <w:t>Podle střednědobého hodnocení 2017: Programu rozvoje venkova na období 2014 – 2020</w:t>
      </w:r>
      <w:r w:rsidR="007F5071" w:rsidRPr="00B36B04">
        <w:rPr>
          <w:rFonts w:ascii="Calibri" w:eastAsia="Calibri" w:hAnsi="Calibri"/>
          <w:sz w:val="22"/>
          <w:szCs w:val="22"/>
          <w:lang w:eastAsia="en-US"/>
        </w:rPr>
        <w:t xml:space="preserve"> (MZe, 2017</w:t>
      </w:r>
      <w:r w:rsidR="00A219F4" w:rsidRPr="00B36B04">
        <w:rPr>
          <w:rFonts w:ascii="Calibri" w:eastAsia="Calibri" w:hAnsi="Calibri"/>
          <w:sz w:val="22"/>
          <w:szCs w:val="22"/>
          <w:lang w:eastAsia="en-US"/>
        </w:rPr>
        <w:t>, a</w:t>
      </w:r>
      <w:r w:rsidR="007F5071" w:rsidRPr="00B36B04">
        <w:rPr>
          <w:rFonts w:ascii="Calibri" w:eastAsia="Calibri" w:hAnsi="Calibri"/>
          <w:sz w:val="22"/>
          <w:szCs w:val="22"/>
          <w:lang w:eastAsia="en-US"/>
        </w:rPr>
        <w:t>)</w:t>
      </w:r>
      <w:r w:rsidRPr="00B36B04">
        <w:rPr>
          <w:rFonts w:ascii="Calibri" w:eastAsia="Calibri" w:hAnsi="Calibri"/>
          <w:sz w:val="22"/>
          <w:szCs w:val="22"/>
          <w:lang w:eastAsia="en-US"/>
        </w:rPr>
        <w:t xml:space="preserve"> byl u operace 16.4.1 Horizontální a vertikální spolupráce mezi účastníky krátkých dodavatelských řetězců a místních trhů prozatím dosud předložen pouze 1 projekt. </w:t>
      </w:r>
      <w:r w:rsidR="002939D1">
        <w:rPr>
          <w:rFonts w:ascii="Calibri" w:eastAsia="Calibri" w:hAnsi="Calibri"/>
          <w:sz w:val="22"/>
          <w:szCs w:val="22"/>
          <w:lang w:eastAsia="en-US"/>
        </w:rPr>
        <w:t>Nečerpání podpor však neznamená neexistenci spolupráce.</w:t>
      </w:r>
    </w:p>
    <w:p w:rsidR="00394FD3" w:rsidRPr="00B36B04" w:rsidRDefault="00394FD3" w:rsidP="00036D58">
      <w:pPr>
        <w:pStyle w:val="Odstavecseseznamem"/>
        <w:numPr>
          <w:ilvl w:val="0"/>
          <w:numId w:val="15"/>
        </w:numPr>
        <w:ind w:left="0" w:firstLine="0"/>
        <w:rPr>
          <w:rFonts w:ascii="Calibri" w:eastAsia="Calibri" w:hAnsi="Calibri"/>
          <w:sz w:val="22"/>
          <w:szCs w:val="22"/>
          <w:lang w:eastAsia="en-US"/>
        </w:rPr>
      </w:pPr>
      <w:r w:rsidRPr="00B36B04">
        <w:rPr>
          <w:rFonts w:ascii="Calibri" w:eastAsia="Calibri" w:hAnsi="Calibri"/>
          <w:sz w:val="22"/>
          <w:szCs w:val="22"/>
          <w:lang w:eastAsia="en-US"/>
        </w:rPr>
        <w:t xml:space="preserve">Dílčím poznatkem je </w:t>
      </w:r>
      <w:r w:rsidR="007F6946" w:rsidRPr="00B36B04">
        <w:rPr>
          <w:rFonts w:ascii="Calibri" w:eastAsia="Calibri" w:hAnsi="Calibri"/>
          <w:sz w:val="22"/>
          <w:szCs w:val="22"/>
          <w:lang w:eastAsia="en-US"/>
        </w:rPr>
        <w:t xml:space="preserve">rovněž </w:t>
      </w:r>
      <w:r w:rsidRPr="00B36B04">
        <w:rPr>
          <w:rFonts w:ascii="Calibri" w:eastAsia="Calibri" w:hAnsi="Calibri"/>
          <w:sz w:val="22"/>
          <w:szCs w:val="22"/>
          <w:lang w:eastAsia="en-US"/>
        </w:rPr>
        <w:t xml:space="preserve">rozvoj </w:t>
      </w:r>
      <w:r w:rsidRPr="00B36B04">
        <w:rPr>
          <w:rFonts w:ascii="Calibri" w:eastAsia="Calibri" w:hAnsi="Calibri"/>
          <w:b/>
          <w:caps/>
          <w:sz w:val="22"/>
          <w:szCs w:val="22"/>
          <w:lang w:eastAsia="en-US"/>
        </w:rPr>
        <w:t>počtu schálených farmářských tržišť</w:t>
      </w:r>
      <w:r w:rsidRPr="00B36B04">
        <w:rPr>
          <w:rFonts w:ascii="Calibri" w:eastAsia="Calibri" w:hAnsi="Calibri"/>
          <w:sz w:val="22"/>
          <w:szCs w:val="22"/>
          <w:lang w:eastAsia="en-US"/>
        </w:rPr>
        <w:t xml:space="preserve">. </w:t>
      </w:r>
      <w:r w:rsidR="007F5071" w:rsidRPr="00B36B04">
        <w:rPr>
          <w:rFonts w:ascii="Calibri" w:eastAsia="Calibri" w:hAnsi="Calibri"/>
          <w:sz w:val="22"/>
          <w:szCs w:val="22"/>
          <w:lang w:eastAsia="en-US"/>
        </w:rPr>
        <w:t>Zhruba od roku 2015 se růst počtu tržišť zpomalil</w:t>
      </w:r>
      <w:r w:rsidR="00BF4B86">
        <w:rPr>
          <w:rFonts w:ascii="Calibri" w:eastAsia="Calibri" w:hAnsi="Calibri"/>
          <w:sz w:val="22"/>
          <w:szCs w:val="22"/>
          <w:lang w:eastAsia="en-US"/>
        </w:rPr>
        <w:t xml:space="preserve"> a v roce 2017 výrazně klesl.</w:t>
      </w:r>
    </w:p>
    <w:p w:rsidR="00F75EF0" w:rsidRPr="00F75EF0" w:rsidRDefault="00F75EF0" w:rsidP="00F75EF0">
      <w:pPr>
        <w:spacing w:before="0"/>
        <w:ind w:firstLine="0"/>
        <w:rPr>
          <w:rFonts w:asciiTheme="minorHAnsi" w:eastAsia="Calibri" w:hAnsiTheme="minorHAnsi" w:cstheme="minorHAnsi"/>
          <w:b/>
          <w:sz w:val="22"/>
          <w:szCs w:val="22"/>
          <w:lang w:eastAsia="en-US"/>
        </w:rPr>
      </w:pPr>
      <w:r w:rsidRPr="00F75EF0">
        <w:rPr>
          <w:rFonts w:asciiTheme="minorHAnsi" w:eastAsia="Calibri" w:hAnsiTheme="minorHAnsi" w:cstheme="minorHAnsi"/>
          <w:b/>
          <w:sz w:val="22"/>
          <w:szCs w:val="22"/>
          <w:lang w:eastAsia="en-US"/>
        </w:rPr>
        <w:t>Počet schválených farmářských tržišť</w:t>
      </w:r>
      <w:r w:rsidRPr="00F75EF0">
        <w:rPr>
          <w:rFonts w:asciiTheme="minorHAnsi" w:eastAsia="Calibri" w:hAnsiTheme="minorHAnsi" w:cstheme="minorHAnsi"/>
          <w:b/>
          <w:sz w:val="22"/>
          <w:szCs w:val="22"/>
          <w:vertAlign w:val="superscript"/>
          <w:lang w:eastAsia="en-US"/>
        </w:rPr>
        <w:t>*)</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tblPr>
      <w:tblGrid>
        <w:gridCol w:w="1613"/>
        <w:gridCol w:w="1089"/>
        <w:gridCol w:w="1085"/>
        <w:gridCol w:w="1085"/>
        <w:gridCol w:w="1085"/>
        <w:gridCol w:w="1085"/>
        <w:gridCol w:w="1085"/>
        <w:gridCol w:w="1085"/>
      </w:tblGrid>
      <w:tr w:rsidR="00BF4B86" w:rsidRPr="00F75EF0" w:rsidTr="00BF4B86">
        <w:trPr>
          <w:trHeight w:val="300"/>
        </w:trPr>
        <w:tc>
          <w:tcPr>
            <w:tcW w:w="875" w:type="pct"/>
            <w:shd w:val="clear" w:color="auto" w:fill="auto"/>
            <w:noWrap/>
            <w:vAlign w:val="bottom"/>
            <w:hideMark/>
          </w:tcPr>
          <w:p w:rsidR="00BF4B86" w:rsidRPr="00F75EF0" w:rsidRDefault="00BF4B86" w:rsidP="00F75EF0">
            <w:pPr>
              <w:spacing w:before="0" w:line="240" w:lineRule="auto"/>
              <w:ind w:firstLine="0"/>
              <w:jc w:val="left"/>
              <w:rPr>
                <w:rFonts w:ascii="Calibri" w:hAnsi="Calibri"/>
                <w:b/>
                <w:color w:val="000000"/>
                <w:szCs w:val="22"/>
              </w:rPr>
            </w:pPr>
            <w:r w:rsidRPr="00F75EF0">
              <w:rPr>
                <w:rFonts w:ascii="Calibri" w:hAnsi="Calibri"/>
                <w:b/>
                <w:color w:val="000000"/>
                <w:sz w:val="22"/>
                <w:szCs w:val="22"/>
              </w:rPr>
              <w:t>Rok</w:t>
            </w:r>
          </w:p>
        </w:tc>
        <w:tc>
          <w:tcPr>
            <w:tcW w:w="591" w:type="pct"/>
            <w:shd w:val="clear" w:color="auto" w:fill="auto"/>
            <w:noWrap/>
            <w:vAlign w:val="center"/>
            <w:hideMark/>
          </w:tcPr>
          <w:p w:rsidR="00BF4B86" w:rsidRPr="00F75EF0" w:rsidRDefault="00BF4B86" w:rsidP="00BF4B86">
            <w:pPr>
              <w:spacing w:before="0" w:line="240" w:lineRule="auto"/>
              <w:ind w:firstLine="0"/>
              <w:jc w:val="center"/>
              <w:rPr>
                <w:rFonts w:ascii="Calibri" w:hAnsi="Calibri"/>
                <w:b/>
                <w:color w:val="000000"/>
                <w:szCs w:val="22"/>
              </w:rPr>
            </w:pPr>
            <w:r w:rsidRPr="00F75EF0">
              <w:rPr>
                <w:rFonts w:ascii="Calibri" w:hAnsi="Calibri"/>
                <w:b/>
                <w:color w:val="000000"/>
                <w:sz w:val="22"/>
                <w:szCs w:val="22"/>
              </w:rPr>
              <w:t>2011</w:t>
            </w:r>
          </w:p>
        </w:tc>
        <w:tc>
          <w:tcPr>
            <w:tcW w:w="589" w:type="pct"/>
            <w:shd w:val="clear" w:color="auto" w:fill="auto"/>
            <w:noWrap/>
            <w:vAlign w:val="center"/>
            <w:hideMark/>
          </w:tcPr>
          <w:p w:rsidR="00BF4B86" w:rsidRPr="00F75EF0" w:rsidRDefault="00BF4B86" w:rsidP="00BF4B86">
            <w:pPr>
              <w:spacing w:before="0" w:line="240" w:lineRule="auto"/>
              <w:ind w:firstLine="0"/>
              <w:jc w:val="center"/>
              <w:rPr>
                <w:rFonts w:ascii="Calibri" w:hAnsi="Calibri"/>
                <w:b/>
                <w:color w:val="000000"/>
                <w:szCs w:val="22"/>
              </w:rPr>
            </w:pPr>
            <w:r w:rsidRPr="00F75EF0">
              <w:rPr>
                <w:rFonts w:ascii="Calibri" w:hAnsi="Calibri"/>
                <w:b/>
                <w:color w:val="000000"/>
                <w:sz w:val="22"/>
                <w:szCs w:val="22"/>
              </w:rPr>
              <w:t>2012</w:t>
            </w:r>
          </w:p>
        </w:tc>
        <w:tc>
          <w:tcPr>
            <w:tcW w:w="589" w:type="pct"/>
            <w:shd w:val="clear" w:color="auto" w:fill="auto"/>
            <w:noWrap/>
            <w:vAlign w:val="center"/>
            <w:hideMark/>
          </w:tcPr>
          <w:p w:rsidR="00BF4B86" w:rsidRPr="00F75EF0" w:rsidRDefault="00BF4B86" w:rsidP="00BF4B86">
            <w:pPr>
              <w:spacing w:before="0" w:line="240" w:lineRule="auto"/>
              <w:ind w:firstLine="0"/>
              <w:jc w:val="center"/>
              <w:rPr>
                <w:rFonts w:ascii="Calibri" w:hAnsi="Calibri"/>
                <w:b/>
                <w:color w:val="000000"/>
                <w:szCs w:val="22"/>
              </w:rPr>
            </w:pPr>
            <w:r w:rsidRPr="00F75EF0">
              <w:rPr>
                <w:rFonts w:ascii="Calibri" w:hAnsi="Calibri"/>
                <w:b/>
                <w:color w:val="000000"/>
                <w:sz w:val="22"/>
                <w:szCs w:val="22"/>
              </w:rPr>
              <w:t>2013</w:t>
            </w:r>
          </w:p>
        </w:tc>
        <w:tc>
          <w:tcPr>
            <w:tcW w:w="589" w:type="pct"/>
            <w:shd w:val="clear" w:color="auto" w:fill="auto"/>
            <w:noWrap/>
            <w:vAlign w:val="center"/>
            <w:hideMark/>
          </w:tcPr>
          <w:p w:rsidR="00BF4B86" w:rsidRPr="00F75EF0" w:rsidRDefault="00BF4B86" w:rsidP="00BF4B86">
            <w:pPr>
              <w:spacing w:before="0" w:line="240" w:lineRule="auto"/>
              <w:ind w:firstLine="0"/>
              <w:jc w:val="center"/>
              <w:rPr>
                <w:rFonts w:ascii="Calibri" w:hAnsi="Calibri"/>
                <w:b/>
                <w:color w:val="000000"/>
                <w:szCs w:val="22"/>
              </w:rPr>
            </w:pPr>
            <w:r w:rsidRPr="00F75EF0">
              <w:rPr>
                <w:rFonts w:ascii="Calibri" w:hAnsi="Calibri"/>
                <w:b/>
                <w:color w:val="000000"/>
                <w:sz w:val="22"/>
                <w:szCs w:val="22"/>
              </w:rPr>
              <w:t>2014</w:t>
            </w:r>
          </w:p>
        </w:tc>
        <w:tc>
          <w:tcPr>
            <w:tcW w:w="589" w:type="pct"/>
            <w:shd w:val="clear" w:color="auto" w:fill="auto"/>
            <w:noWrap/>
            <w:vAlign w:val="center"/>
            <w:hideMark/>
          </w:tcPr>
          <w:p w:rsidR="00BF4B86" w:rsidRPr="00F75EF0" w:rsidRDefault="00BF4B86" w:rsidP="00BF4B86">
            <w:pPr>
              <w:spacing w:before="0" w:line="240" w:lineRule="auto"/>
              <w:ind w:firstLine="0"/>
              <w:jc w:val="center"/>
              <w:rPr>
                <w:rFonts w:ascii="Calibri" w:hAnsi="Calibri"/>
                <w:b/>
                <w:color w:val="000000"/>
                <w:szCs w:val="22"/>
              </w:rPr>
            </w:pPr>
            <w:r w:rsidRPr="00F75EF0">
              <w:rPr>
                <w:rFonts w:ascii="Calibri" w:hAnsi="Calibri"/>
                <w:b/>
                <w:color w:val="000000"/>
                <w:sz w:val="22"/>
                <w:szCs w:val="22"/>
              </w:rPr>
              <w:t>2015</w:t>
            </w:r>
          </w:p>
        </w:tc>
        <w:tc>
          <w:tcPr>
            <w:tcW w:w="589" w:type="pct"/>
            <w:shd w:val="clear" w:color="auto" w:fill="auto"/>
            <w:noWrap/>
            <w:vAlign w:val="center"/>
            <w:hideMark/>
          </w:tcPr>
          <w:p w:rsidR="00BF4B86" w:rsidRPr="00F75EF0" w:rsidRDefault="00BF4B86" w:rsidP="00BF4B86">
            <w:pPr>
              <w:spacing w:before="0" w:line="240" w:lineRule="auto"/>
              <w:ind w:firstLine="0"/>
              <w:jc w:val="center"/>
              <w:rPr>
                <w:rFonts w:ascii="Calibri" w:hAnsi="Calibri"/>
                <w:b/>
                <w:color w:val="000000"/>
                <w:szCs w:val="22"/>
              </w:rPr>
            </w:pPr>
            <w:r w:rsidRPr="00F75EF0">
              <w:rPr>
                <w:rFonts w:ascii="Calibri" w:hAnsi="Calibri"/>
                <w:b/>
                <w:color w:val="000000"/>
                <w:sz w:val="22"/>
                <w:szCs w:val="22"/>
              </w:rPr>
              <w:t>2016</w:t>
            </w:r>
          </w:p>
        </w:tc>
        <w:tc>
          <w:tcPr>
            <w:tcW w:w="589" w:type="pct"/>
            <w:vAlign w:val="center"/>
          </w:tcPr>
          <w:p w:rsidR="00BF4B86" w:rsidRPr="00F75EF0" w:rsidRDefault="00BF4B86" w:rsidP="00BF4B86">
            <w:pPr>
              <w:spacing w:before="0" w:line="240" w:lineRule="auto"/>
              <w:ind w:firstLine="0"/>
              <w:jc w:val="center"/>
              <w:rPr>
                <w:rFonts w:ascii="Calibri" w:hAnsi="Calibri"/>
                <w:b/>
                <w:color w:val="000000"/>
                <w:szCs w:val="22"/>
              </w:rPr>
            </w:pPr>
            <w:r>
              <w:rPr>
                <w:rFonts w:ascii="Calibri" w:hAnsi="Calibri"/>
                <w:b/>
                <w:color w:val="000000"/>
                <w:sz w:val="22"/>
                <w:szCs w:val="22"/>
              </w:rPr>
              <w:t>2017</w:t>
            </w:r>
          </w:p>
        </w:tc>
      </w:tr>
      <w:tr w:rsidR="00BF4B86" w:rsidRPr="00F75EF0" w:rsidTr="00BF4B86">
        <w:trPr>
          <w:trHeight w:val="315"/>
        </w:trPr>
        <w:tc>
          <w:tcPr>
            <w:tcW w:w="875" w:type="pct"/>
            <w:shd w:val="clear" w:color="auto" w:fill="auto"/>
            <w:noWrap/>
            <w:vAlign w:val="bottom"/>
            <w:hideMark/>
          </w:tcPr>
          <w:p w:rsidR="00BF4B86" w:rsidRPr="00F75EF0" w:rsidRDefault="00BF4B86" w:rsidP="00F75EF0">
            <w:pPr>
              <w:spacing w:before="0" w:line="240" w:lineRule="auto"/>
              <w:ind w:firstLine="0"/>
              <w:jc w:val="left"/>
              <w:rPr>
                <w:rFonts w:ascii="Calibri" w:hAnsi="Calibri"/>
                <w:color w:val="000000"/>
                <w:szCs w:val="22"/>
              </w:rPr>
            </w:pPr>
            <w:r w:rsidRPr="00F75EF0">
              <w:rPr>
                <w:rFonts w:ascii="Calibri" w:hAnsi="Calibri"/>
                <w:color w:val="000000"/>
                <w:sz w:val="22"/>
                <w:szCs w:val="22"/>
              </w:rPr>
              <w:t>Počet</w:t>
            </w:r>
          </w:p>
        </w:tc>
        <w:tc>
          <w:tcPr>
            <w:tcW w:w="591" w:type="pct"/>
            <w:shd w:val="clear" w:color="auto" w:fill="auto"/>
            <w:noWrap/>
            <w:vAlign w:val="bottom"/>
            <w:hideMark/>
          </w:tcPr>
          <w:p w:rsidR="00BF4B86" w:rsidRPr="00F75EF0" w:rsidRDefault="00BF4B86" w:rsidP="00C7300A">
            <w:pPr>
              <w:spacing w:before="0" w:line="240" w:lineRule="auto"/>
              <w:ind w:firstLine="0"/>
              <w:jc w:val="center"/>
              <w:rPr>
                <w:rFonts w:ascii="Calibri" w:hAnsi="Calibri"/>
                <w:color w:val="000000"/>
                <w:szCs w:val="22"/>
              </w:rPr>
            </w:pPr>
            <w:r w:rsidRPr="00F75EF0">
              <w:rPr>
                <w:rFonts w:ascii="Calibri" w:hAnsi="Calibri"/>
                <w:color w:val="000000"/>
                <w:sz w:val="22"/>
                <w:szCs w:val="22"/>
              </w:rPr>
              <w:t>232</w:t>
            </w:r>
          </w:p>
        </w:tc>
        <w:tc>
          <w:tcPr>
            <w:tcW w:w="589" w:type="pct"/>
            <w:shd w:val="clear" w:color="auto" w:fill="auto"/>
            <w:noWrap/>
            <w:vAlign w:val="bottom"/>
            <w:hideMark/>
          </w:tcPr>
          <w:p w:rsidR="00BF4B86" w:rsidRPr="00F75EF0" w:rsidRDefault="00BF4B86" w:rsidP="00C7300A">
            <w:pPr>
              <w:spacing w:before="0" w:line="240" w:lineRule="auto"/>
              <w:ind w:firstLine="0"/>
              <w:jc w:val="center"/>
              <w:rPr>
                <w:rFonts w:ascii="Calibri" w:hAnsi="Calibri"/>
                <w:color w:val="000000"/>
                <w:szCs w:val="22"/>
              </w:rPr>
            </w:pPr>
            <w:r>
              <w:rPr>
                <w:rFonts w:ascii="Calibri" w:hAnsi="Calibri"/>
                <w:color w:val="000000"/>
                <w:sz w:val="22"/>
                <w:szCs w:val="22"/>
              </w:rPr>
              <w:t>302</w:t>
            </w:r>
          </w:p>
        </w:tc>
        <w:tc>
          <w:tcPr>
            <w:tcW w:w="589" w:type="pct"/>
            <w:shd w:val="clear" w:color="auto" w:fill="auto"/>
            <w:noWrap/>
            <w:vAlign w:val="bottom"/>
            <w:hideMark/>
          </w:tcPr>
          <w:p w:rsidR="00BF4B86" w:rsidRPr="00F75EF0" w:rsidRDefault="00BF4B86" w:rsidP="00C7300A">
            <w:pPr>
              <w:spacing w:before="0" w:line="240" w:lineRule="auto"/>
              <w:ind w:firstLine="0"/>
              <w:jc w:val="center"/>
              <w:rPr>
                <w:rFonts w:ascii="Calibri" w:hAnsi="Calibri"/>
                <w:color w:val="000000"/>
                <w:szCs w:val="22"/>
              </w:rPr>
            </w:pPr>
            <w:r>
              <w:rPr>
                <w:rFonts w:ascii="Calibri" w:hAnsi="Calibri"/>
                <w:color w:val="000000"/>
                <w:sz w:val="22"/>
                <w:szCs w:val="22"/>
              </w:rPr>
              <w:t>254</w:t>
            </w:r>
          </w:p>
        </w:tc>
        <w:tc>
          <w:tcPr>
            <w:tcW w:w="589" w:type="pct"/>
            <w:shd w:val="clear" w:color="auto" w:fill="auto"/>
            <w:noWrap/>
            <w:vAlign w:val="bottom"/>
            <w:hideMark/>
          </w:tcPr>
          <w:p w:rsidR="00BF4B86" w:rsidRPr="00F75EF0" w:rsidRDefault="00BF4B86" w:rsidP="00C7300A">
            <w:pPr>
              <w:spacing w:before="0" w:line="240" w:lineRule="auto"/>
              <w:ind w:firstLine="0"/>
              <w:jc w:val="center"/>
              <w:rPr>
                <w:rFonts w:ascii="Calibri" w:hAnsi="Calibri"/>
                <w:color w:val="000000"/>
                <w:szCs w:val="22"/>
              </w:rPr>
            </w:pPr>
            <w:r>
              <w:rPr>
                <w:rFonts w:ascii="Calibri" w:hAnsi="Calibri"/>
                <w:color w:val="000000"/>
                <w:sz w:val="22"/>
                <w:szCs w:val="22"/>
              </w:rPr>
              <w:t>285</w:t>
            </w:r>
          </w:p>
        </w:tc>
        <w:tc>
          <w:tcPr>
            <w:tcW w:w="589" w:type="pct"/>
            <w:shd w:val="clear" w:color="auto" w:fill="auto"/>
            <w:noWrap/>
            <w:vAlign w:val="bottom"/>
            <w:hideMark/>
          </w:tcPr>
          <w:p w:rsidR="00BF4B86" w:rsidRPr="00F75EF0" w:rsidRDefault="00BF4B86" w:rsidP="00C7300A">
            <w:pPr>
              <w:spacing w:before="0" w:line="240" w:lineRule="auto"/>
              <w:ind w:firstLine="0"/>
              <w:jc w:val="center"/>
              <w:rPr>
                <w:rFonts w:ascii="Calibri" w:hAnsi="Calibri"/>
                <w:color w:val="000000"/>
                <w:szCs w:val="22"/>
              </w:rPr>
            </w:pPr>
            <w:r w:rsidRPr="00F75EF0">
              <w:rPr>
                <w:rFonts w:ascii="Calibri" w:hAnsi="Calibri"/>
                <w:color w:val="000000"/>
                <w:sz w:val="22"/>
                <w:szCs w:val="22"/>
              </w:rPr>
              <w:t>292</w:t>
            </w:r>
          </w:p>
        </w:tc>
        <w:tc>
          <w:tcPr>
            <w:tcW w:w="589" w:type="pct"/>
            <w:shd w:val="clear" w:color="auto" w:fill="auto"/>
            <w:noWrap/>
            <w:vAlign w:val="bottom"/>
            <w:hideMark/>
          </w:tcPr>
          <w:p w:rsidR="00BF4B86" w:rsidRPr="00F75EF0" w:rsidRDefault="00BF4B86" w:rsidP="00C7300A">
            <w:pPr>
              <w:spacing w:before="0" w:line="240" w:lineRule="auto"/>
              <w:ind w:firstLine="0"/>
              <w:jc w:val="center"/>
              <w:rPr>
                <w:rFonts w:ascii="Calibri" w:hAnsi="Calibri"/>
                <w:color w:val="000000"/>
                <w:szCs w:val="22"/>
              </w:rPr>
            </w:pPr>
            <w:r>
              <w:rPr>
                <w:rFonts w:ascii="Calibri" w:hAnsi="Calibri"/>
                <w:color w:val="000000"/>
                <w:sz w:val="22"/>
                <w:szCs w:val="22"/>
              </w:rPr>
              <w:t>300</w:t>
            </w:r>
          </w:p>
        </w:tc>
        <w:tc>
          <w:tcPr>
            <w:tcW w:w="589" w:type="pct"/>
          </w:tcPr>
          <w:p w:rsidR="00BF4B86" w:rsidRDefault="00BF4B86" w:rsidP="00C7300A">
            <w:pPr>
              <w:spacing w:before="0" w:line="240" w:lineRule="auto"/>
              <w:ind w:firstLine="0"/>
              <w:jc w:val="center"/>
              <w:rPr>
                <w:rFonts w:ascii="Calibri" w:hAnsi="Calibri"/>
                <w:color w:val="000000"/>
                <w:szCs w:val="22"/>
              </w:rPr>
            </w:pPr>
            <w:r>
              <w:rPr>
                <w:rFonts w:ascii="Calibri" w:hAnsi="Calibri"/>
                <w:color w:val="000000"/>
                <w:sz w:val="22"/>
                <w:szCs w:val="22"/>
              </w:rPr>
              <w:t>217</w:t>
            </w:r>
          </w:p>
        </w:tc>
      </w:tr>
    </w:tbl>
    <w:p w:rsidR="00F75EF0" w:rsidRPr="00BF4B86" w:rsidRDefault="00F75EF0" w:rsidP="00F75EF0">
      <w:pPr>
        <w:spacing w:before="0" w:line="240" w:lineRule="atLeast"/>
        <w:ind w:firstLine="0"/>
        <w:rPr>
          <w:rFonts w:asciiTheme="minorHAnsi" w:hAnsiTheme="minorHAnsi"/>
          <w:sz w:val="18"/>
          <w:szCs w:val="18"/>
        </w:rPr>
      </w:pPr>
      <w:r w:rsidRPr="00BF4B86">
        <w:rPr>
          <w:rFonts w:asciiTheme="minorHAnsi" w:eastAsia="Calibri" w:hAnsiTheme="minorHAnsi" w:cstheme="minorHAnsi"/>
          <w:sz w:val="18"/>
          <w:szCs w:val="18"/>
          <w:lang w:eastAsia="en-US"/>
        </w:rPr>
        <w:t xml:space="preserve">Pozn.: </w:t>
      </w:r>
      <w:r w:rsidRPr="00BF4B86">
        <w:rPr>
          <w:rFonts w:asciiTheme="minorHAnsi" w:hAnsiTheme="minorHAnsi"/>
          <w:sz w:val="18"/>
          <w:szCs w:val="18"/>
        </w:rPr>
        <w:t>Údaj o počtu tržišť, kde vykonávala dozor SVS ČR</w:t>
      </w:r>
      <w:r w:rsidR="00BF4B86" w:rsidRPr="00BF4B86">
        <w:rPr>
          <w:rFonts w:asciiTheme="minorHAnsi" w:hAnsiTheme="minorHAnsi"/>
          <w:sz w:val="18"/>
          <w:szCs w:val="18"/>
        </w:rPr>
        <w:t xml:space="preserve"> s výjimkou roku 2017 kdy zdrojem je SZPI. Údaje o počtu tržišť od SZPI jsou velmi podobné.</w:t>
      </w:r>
    </w:p>
    <w:p w:rsidR="00F75EF0" w:rsidRPr="00BF4B86" w:rsidRDefault="00F75EF0" w:rsidP="00F75EF0">
      <w:pPr>
        <w:spacing w:before="0" w:line="240" w:lineRule="atLeast"/>
        <w:ind w:firstLine="0"/>
        <w:rPr>
          <w:rFonts w:asciiTheme="minorHAnsi" w:eastAsia="Calibri" w:hAnsiTheme="minorHAnsi" w:cstheme="minorHAnsi"/>
          <w:sz w:val="18"/>
          <w:szCs w:val="18"/>
          <w:lang w:eastAsia="en-US"/>
        </w:rPr>
      </w:pPr>
      <w:r w:rsidRPr="00BF4B86">
        <w:rPr>
          <w:rFonts w:asciiTheme="minorHAnsi" w:hAnsiTheme="minorHAnsi"/>
          <w:sz w:val="18"/>
          <w:szCs w:val="18"/>
        </w:rPr>
        <w:t>Pramen: Státní veterinární správa</w:t>
      </w:r>
    </w:p>
    <w:p w:rsidR="00376853" w:rsidRDefault="005F1A34" w:rsidP="00036D58">
      <w:pPr>
        <w:pStyle w:val="Odstavecseseznamem"/>
        <w:numPr>
          <w:ilvl w:val="0"/>
          <w:numId w:val="15"/>
        </w:numPr>
        <w:spacing w:before="120" w:after="240"/>
        <w:ind w:left="0" w:firstLine="0"/>
        <w:contextualSpacing w:val="0"/>
        <w:rPr>
          <w:rFonts w:ascii="Calibri" w:eastAsia="Calibri" w:hAnsi="Calibri"/>
          <w:sz w:val="22"/>
          <w:szCs w:val="22"/>
          <w:lang w:eastAsia="en-US"/>
        </w:rPr>
      </w:pPr>
      <w:r>
        <w:rPr>
          <w:rFonts w:ascii="Calibri" w:eastAsia="Calibri" w:hAnsi="Calibri"/>
          <w:sz w:val="22"/>
          <w:szCs w:val="22"/>
          <w:lang w:eastAsia="en-US"/>
        </w:rPr>
        <w:t xml:space="preserve">Dalším dílčím poznatkem je </w:t>
      </w:r>
      <w:r w:rsidR="009537AB" w:rsidRPr="00703155">
        <w:rPr>
          <w:rFonts w:ascii="Calibri" w:eastAsia="Calibri" w:hAnsi="Calibri"/>
          <w:b/>
          <w:caps/>
          <w:sz w:val="22"/>
          <w:szCs w:val="22"/>
          <w:lang w:eastAsia="en-US"/>
        </w:rPr>
        <w:t>přímý prodej ze zemědělského podniku</w:t>
      </w:r>
      <w:r w:rsidRPr="00B36B04">
        <w:rPr>
          <w:rFonts w:ascii="Calibri" w:eastAsia="Calibri" w:hAnsi="Calibri"/>
          <w:sz w:val="22"/>
          <w:szCs w:val="22"/>
          <w:lang w:eastAsia="en-US"/>
        </w:rPr>
        <w:t xml:space="preserve">. </w:t>
      </w:r>
      <w:r w:rsidRPr="005F1A34">
        <w:rPr>
          <w:rFonts w:ascii="Calibri" w:eastAsia="Calibri" w:hAnsi="Calibri"/>
          <w:sz w:val="22"/>
          <w:szCs w:val="22"/>
          <w:lang w:eastAsia="en-US"/>
        </w:rPr>
        <w:t>V odvětví mléka</w:t>
      </w:r>
      <w:r w:rsidR="009537AB" w:rsidRPr="00CF69A5">
        <w:rPr>
          <w:rFonts w:ascii="Calibri" w:eastAsia="Calibri" w:hAnsi="Calibri"/>
          <w:sz w:val="22"/>
          <w:szCs w:val="22"/>
          <w:lang w:eastAsia="en-US"/>
        </w:rPr>
        <w:t xml:space="preserve"> </w:t>
      </w:r>
      <w:r>
        <w:rPr>
          <w:rFonts w:ascii="Calibri" w:eastAsia="Calibri" w:hAnsi="Calibri"/>
          <w:sz w:val="22"/>
          <w:szCs w:val="22"/>
          <w:lang w:eastAsia="en-US"/>
        </w:rPr>
        <w:t xml:space="preserve">jsou podíly velmi nízké. </w:t>
      </w:r>
      <w:r w:rsidR="00376853">
        <w:rPr>
          <w:rFonts w:ascii="Calibri" w:eastAsia="Calibri" w:hAnsi="Calibri"/>
          <w:sz w:val="22"/>
          <w:szCs w:val="22"/>
          <w:lang w:eastAsia="en-US"/>
        </w:rPr>
        <w:t xml:space="preserve">V roce 2014 činil podíl přímého prodeje ze zemědělského podniku na množství mléka dodaného ke zpracování </w:t>
      </w:r>
      <w:r w:rsidR="00376853" w:rsidRPr="00CF69A5">
        <w:rPr>
          <w:rFonts w:ascii="Calibri" w:eastAsia="Calibri" w:hAnsi="Calibri"/>
          <w:sz w:val="22"/>
          <w:szCs w:val="22"/>
          <w:lang w:eastAsia="en-US"/>
        </w:rPr>
        <w:t>jen 0,41 % a do roku 2017</w:t>
      </w:r>
      <w:r w:rsidR="00376853">
        <w:rPr>
          <w:rFonts w:ascii="Calibri" w:eastAsia="Calibri" w:hAnsi="Calibri"/>
          <w:sz w:val="22"/>
          <w:szCs w:val="22"/>
          <w:lang w:eastAsia="en-US"/>
        </w:rPr>
        <w:t xml:space="preserve"> se zvýšil jen </w:t>
      </w:r>
      <w:r w:rsidR="00376853" w:rsidRPr="00CF69A5">
        <w:rPr>
          <w:rFonts w:ascii="Calibri" w:eastAsia="Calibri" w:hAnsi="Calibri"/>
          <w:sz w:val="22"/>
          <w:szCs w:val="22"/>
          <w:lang w:eastAsia="en-US"/>
        </w:rPr>
        <w:t>na 0,52 %.  Dle databáze SVS ČR je</w:t>
      </w:r>
      <w:r w:rsidR="00376853" w:rsidRPr="00B36B04">
        <w:rPr>
          <w:rFonts w:ascii="Calibri" w:eastAsia="Calibri" w:hAnsi="Calibri"/>
          <w:sz w:val="22"/>
          <w:szCs w:val="22"/>
          <w:lang w:eastAsia="en-US"/>
        </w:rPr>
        <w:t xml:space="preserve"> </w:t>
      </w:r>
      <w:r w:rsidR="00376853" w:rsidRPr="00CF69A5">
        <w:rPr>
          <w:rFonts w:ascii="Calibri" w:eastAsia="Calibri" w:hAnsi="Calibri"/>
          <w:sz w:val="22"/>
          <w:szCs w:val="22"/>
          <w:lang w:eastAsia="en-US"/>
        </w:rPr>
        <w:t>k 16.</w:t>
      </w:r>
      <w:r w:rsidR="00376853">
        <w:rPr>
          <w:rFonts w:ascii="Calibri" w:eastAsia="Calibri" w:hAnsi="Calibri"/>
          <w:sz w:val="22"/>
          <w:szCs w:val="22"/>
          <w:lang w:eastAsia="en-US"/>
        </w:rPr>
        <w:t> </w:t>
      </w:r>
      <w:r w:rsidR="00376853" w:rsidRPr="00CF69A5">
        <w:rPr>
          <w:rFonts w:ascii="Calibri" w:eastAsia="Calibri" w:hAnsi="Calibri"/>
          <w:sz w:val="22"/>
          <w:szCs w:val="22"/>
          <w:lang w:eastAsia="en-US"/>
        </w:rPr>
        <w:t xml:space="preserve">7. 2018 registrováno 197 </w:t>
      </w:r>
      <w:r w:rsidR="00376853">
        <w:rPr>
          <w:rFonts w:ascii="Calibri" w:eastAsia="Calibri" w:hAnsi="Calibri"/>
          <w:sz w:val="22"/>
          <w:szCs w:val="22"/>
          <w:lang w:eastAsia="en-US"/>
        </w:rPr>
        <w:t>v</w:t>
      </w:r>
      <w:r w:rsidR="00376853" w:rsidRPr="00CF69A5">
        <w:rPr>
          <w:rFonts w:ascii="Calibri" w:eastAsia="Calibri" w:hAnsi="Calibri"/>
          <w:sz w:val="22"/>
          <w:szCs w:val="22"/>
          <w:lang w:eastAsia="en-US"/>
        </w:rPr>
        <w:t xml:space="preserve">ýrob pro přímý prodej mléčných výrobků, k tomuto datu byla SVS schválena registrace pro 178 mléčných automatů a 6 automatů na mléčné výrobky. </w:t>
      </w:r>
      <w:r w:rsidR="00376853" w:rsidRPr="00376853">
        <w:rPr>
          <w:rFonts w:ascii="Calibri" w:eastAsia="Calibri" w:hAnsi="Calibri"/>
          <w:sz w:val="22"/>
          <w:szCs w:val="22"/>
          <w:lang w:eastAsia="en-US"/>
        </w:rPr>
        <w:t>Schválení a</w:t>
      </w:r>
      <w:r w:rsidR="00D14361">
        <w:rPr>
          <w:rFonts w:ascii="Calibri" w:eastAsia="Calibri" w:hAnsi="Calibri"/>
          <w:sz w:val="22"/>
          <w:szCs w:val="22"/>
          <w:lang w:eastAsia="en-US"/>
        </w:rPr>
        <w:t> </w:t>
      </w:r>
      <w:r w:rsidR="00376853" w:rsidRPr="00376853">
        <w:rPr>
          <w:rFonts w:ascii="Calibri" w:eastAsia="Calibri" w:hAnsi="Calibri"/>
          <w:sz w:val="22"/>
          <w:szCs w:val="22"/>
          <w:lang w:eastAsia="en-US"/>
        </w:rPr>
        <w:t>registraci pro přímý prodej mléka ze dvora má od SVS celkem 576 subjektů. To je ve vztahu k celkově evidovanému počtu 48 tis. zemědělských subjektů v roce 2017 (strukturální zemědělská statistika ČSÚ) zanedbatelný podíl.</w:t>
      </w:r>
      <w:r w:rsidR="00376853" w:rsidRPr="00CF69A5">
        <w:rPr>
          <w:rFonts w:ascii="Calibri" w:eastAsia="Calibri" w:hAnsi="Calibri"/>
          <w:sz w:val="22"/>
          <w:szCs w:val="22"/>
          <w:lang w:eastAsia="en-US"/>
        </w:rPr>
        <w:t> </w:t>
      </w:r>
    </w:p>
    <w:p w:rsidR="002B44EF" w:rsidRPr="00B047ED" w:rsidRDefault="002B44EF" w:rsidP="00036D58">
      <w:pPr>
        <w:pStyle w:val="Odstavecseseznamem"/>
        <w:numPr>
          <w:ilvl w:val="0"/>
          <w:numId w:val="10"/>
        </w:numPr>
        <w:tabs>
          <w:tab w:val="left" w:pos="284"/>
        </w:tabs>
        <w:spacing w:after="120"/>
        <w:ind w:left="284" w:hanging="284"/>
        <w:rPr>
          <w:rFonts w:ascii="Calibri" w:eastAsia="Calibri" w:hAnsi="Calibri"/>
          <w:b/>
          <w:sz w:val="22"/>
          <w:szCs w:val="22"/>
          <w:lang w:eastAsia="en-US"/>
        </w:rPr>
      </w:pPr>
      <w:r w:rsidRPr="00B047ED">
        <w:rPr>
          <w:rFonts w:ascii="Calibri" w:eastAsia="Calibri" w:hAnsi="Calibri"/>
          <w:b/>
          <w:sz w:val="22"/>
          <w:szCs w:val="22"/>
          <w:lang w:eastAsia="en-US"/>
        </w:rPr>
        <w:t>Organizace prvovýrobců a odbytová sdružení, kter</w:t>
      </w:r>
      <w:r>
        <w:rPr>
          <w:rFonts w:ascii="Calibri" w:eastAsia="Calibri" w:hAnsi="Calibri"/>
          <w:b/>
          <w:sz w:val="22"/>
          <w:szCs w:val="22"/>
          <w:lang w:eastAsia="en-US"/>
        </w:rPr>
        <w:t>é</w:t>
      </w:r>
      <w:r w:rsidRPr="00B047ED">
        <w:rPr>
          <w:rFonts w:ascii="Calibri" w:eastAsia="Calibri" w:hAnsi="Calibri"/>
          <w:b/>
          <w:sz w:val="22"/>
          <w:szCs w:val="22"/>
          <w:lang w:eastAsia="en-US"/>
        </w:rPr>
        <w:t xml:space="preserve"> by </w:t>
      </w:r>
      <w:r>
        <w:rPr>
          <w:rFonts w:ascii="Calibri" w:eastAsia="Calibri" w:hAnsi="Calibri"/>
          <w:b/>
          <w:sz w:val="22"/>
          <w:szCs w:val="22"/>
          <w:lang w:eastAsia="en-US"/>
        </w:rPr>
        <w:t>zvyšovaly</w:t>
      </w:r>
      <w:r w:rsidRPr="00B047ED">
        <w:rPr>
          <w:rFonts w:ascii="Calibri" w:eastAsia="Calibri" w:hAnsi="Calibri"/>
          <w:b/>
          <w:sz w:val="22"/>
          <w:szCs w:val="22"/>
          <w:lang w:eastAsia="en-US"/>
        </w:rPr>
        <w:t xml:space="preserve"> tržní sílu zemědělců vůči zpracovatelskému sektoru, jsou ve většině odvětví formální nebo nefungují vůbec. </w:t>
      </w:r>
    </w:p>
    <w:p w:rsidR="002B44EF" w:rsidRDefault="002B44EF" w:rsidP="002B44EF">
      <w:pPr>
        <w:spacing w:after="120"/>
        <w:ind w:firstLine="0"/>
        <w:rPr>
          <w:rFonts w:ascii="Calibri" w:eastAsia="Calibri" w:hAnsi="Calibri"/>
          <w:sz w:val="22"/>
          <w:szCs w:val="22"/>
          <w:lang w:eastAsia="en-US"/>
        </w:rPr>
      </w:pPr>
      <w:r w:rsidRPr="00BD4DF8">
        <w:rPr>
          <w:rFonts w:ascii="Calibri" w:eastAsia="Calibri" w:hAnsi="Calibri"/>
          <w:b/>
          <w:sz w:val="22"/>
          <w:szCs w:val="22"/>
          <w:lang w:eastAsia="en-US"/>
        </w:rPr>
        <w:t>Organizace prvovýrobců a odbytová sdružení</w:t>
      </w:r>
      <w:r w:rsidRPr="00D14361">
        <w:rPr>
          <w:rFonts w:ascii="Calibri" w:eastAsia="Calibri" w:hAnsi="Calibri"/>
          <w:sz w:val="22"/>
          <w:szCs w:val="22"/>
          <w:lang w:eastAsia="en-US"/>
        </w:rPr>
        <w:t>, kter</w:t>
      </w:r>
      <w:r>
        <w:rPr>
          <w:rFonts w:ascii="Calibri" w:eastAsia="Calibri" w:hAnsi="Calibri"/>
          <w:sz w:val="22"/>
          <w:szCs w:val="22"/>
          <w:lang w:eastAsia="en-US"/>
        </w:rPr>
        <w:t>é</w:t>
      </w:r>
      <w:r w:rsidRPr="00D14361">
        <w:rPr>
          <w:rFonts w:ascii="Calibri" w:eastAsia="Calibri" w:hAnsi="Calibri"/>
          <w:sz w:val="22"/>
          <w:szCs w:val="22"/>
          <w:lang w:eastAsia="en-US"/>
        </w:rPr>
        <w:t xml:space="preserve"> by </w:t>
      </w:r>
      <w:r>
        <w:rPr>
          <w:rFonts w:ascii="Calibri" w:eastAsia="Calibri" w:hAnsi="Calibri"/>
          <w:sz w:val="22"/>
          <w:szCs w:val="22"/>
          <w:lang w:eastAsia="en-US"/>
        </w:rPr>
        <w:t>zvyšov</w:t>
      </w:r>
      <w:r w:rsidRPr="00D14361">
        <w:rPr>
          <w:rFonts w:ascii="Calibri" w:eastAsia="Calibri" w:hAnsi="Calibri"/>
          <w:sz w:val="22"/>
          <w:szCs w:val="22"/>
          <w:lang w:eastAsia="en-US"/>
        </w:rPr>
        <w:t>al</w:t>
      </w:r>
      <w:r>
        <w:rPr>
          <w:rFonts w:ascii="Calibri" w:eastAsia="Calibri" w:hAnsi="Calibri"/>
          <w:sz w:val="22"/>
          <w:szCs w:val="22"/>
          <w:lang w:eastAsia="en-US"/>
        </w:rPr>
        <w:t>y</w:t>
      </w:r>
      <w:r w:rsidRPr="00D14361">
        <w:rPr>
          <w:rFonts w:ascii="Calibri" w:eastAsia="Calibri" w:hAnsi="Calibri"/>
          <w:sz w:val="22"/>
          <w:szCs w:val="22"/>
          <w:lang w:eastAsia="en-US"/>
        </w:rPr>
        <w:t xml:space="preserve"> tržní sílu zemědělc</w:t>
      </w:r>
      <w:r>
        <w:rPr>
          <w:rFonts w:ascii="Calibri" w:eastAsia="Calibri" w:hAnsi="Calibri"/>
          <w:sz w:val="22"/>
          <w:szCs w:val="22"/>
          <w:lang w:eastAsia="en-US"/>
        </w:rPr>
        <w:t xml:space="preserve">ů vůči zpracovatelskému sektoru, </w:t>
      </w:r>
      <w:r w:rsidRPr="00914506">
        <w:rPr>
          <w:rFonts w:ascii="Calibri" w:eastAsia="Calibri" w:hAnsi="Calibri"/>
          <w:sz w:val="22"/>
          <w:szCs w:val="22"/>
          <w:lang w:eastAsia="en-US"/>
        </w:rPr>
        <w:t xml:space="preserve">jsou </w:t>
      </w:r>
      <w:r w:rsidRPr="00BD4DF8">
        <w:rPr>
          <w:rFonts w:ascii="Calibri" w:eastAsia="Calibri" w:hAnsi="Calibri"/>
          <w:b/>
          <w:sz w:val="22"/>
          <w:szCs w:val="22"/>
          <w:lang w:eastAsia="en-US"/>
        </w:rPr>
        <w:t>v podstatě jen v sektoru ovoce a zeleniny a mléka</w:t>
      </w:r>
      <w:r w:rsidRPr="00914506">
        <w:rPr>
          <w:rFonts w:ascii="Calibri" w:eastAsia="Calibri" w:hAnsi="Calibri"/>
          <w:sz w:val="22"/>
          <w:szCs w:val="22"/>
          <w:lang w:eastAsia="en-US"/>
        </w:rPr>
        <w:t>.</w:t>
      </w:r>
    </w:p>
    <w:p w:rsidR="00BD4DF8" w:rsidRDefault="00BD4DF8" w:rsidP="002B44EF">
      <w:pPr>
        <w:spacing w:after="120"/>
        <w:ind w:firstLine="0"/>
        <w:rPr>
          <w:rFonts w:ascii="Calibri" w:eastAsia="Calibri" w:hAnsi="Calibri"/>
          <w:sz w:val="22"/>
          <w:szCs w:val="22"/>
          <w:lang w:eastAsia="en-US"/>
        </w:rPr>
      </w:pPr>
      <w:r w:rsidRPr="00BD4DF8">
        <w:rPr>
          <w:rFonts w:ascii="Calibri" w:eastAsia="Calibri" w:hAnsi="Calibri"/>
          <w:sz w:val="22"/>
          <w:szCs w:val="22"/>
          <w:lang w:eastAsia="en-US"/>
        </w:rPr>
        <w:t>Sdružování v prvovýrobě však nemůže zachránit úspěšnost řetězce, pokud se v něm nachází další neefektivní článek.</w:t>
      </w:r>
      <w:r>
        <w:rPr>
          <w:rFonts w:ascii="Calibri" w:eastAsia="Calibri" w:hAnsi="Calibri"/>
          <w:sz w:val="22"/>
          <w:szCs w:val="22"/>
          <w:lang w:eastAsia="en-US"/>
        </w:rPr>
        <w:t xml:space="preserve"> Nízká výkonnost domácího zpracovatelského průmyslu a současně nízká kupní síla spotřebitelů ve vztahu k výrobkům s vysokou přidanou hodnotou (a odpovídající cenou) je mnohdy řešena vývozy zemědělských produktů do zahraničí (zejména mléka a zástavového skotu, ale i živých prasat a živé drůbeže). </w:t>
      </w:r>
      <w:r w:rsidRPr="00BD4DF8">
        <w:rPr>
          <w:rFonts w:ascii="Calibri" w:eastAsia="Calibri" w:hAnsi="Calibri"/>
          <w:b/>
          <w:sz w:val="22"/>
          <w:szCs w:val="22"/>
          <w:lang w:eastAsia="en-US"/>
        </w:rPr>
        <w:t>Pozici domácích zemědělských výrobců v hodnotovém řetězci tak zlepšuje zahraniční zpracovatelský průmysl s nabídkou vyšších CZV a poptávka ze zahraničí jim dodává tržní sílu</w:t>
      </w:r>
      <w:r>
        <w:rPr>
          <w:rFonts w:ascii="Calibri" w:eastAsia="Calibri" w:hAnsi="Calibri"/>
          <w:sz w:val="22"/>
          <w:szCs w:val="22"/>
          <w:lang w:eastAsia="en-US"/>
        </w:rPr>
        <w:t xml:space="preserve"> proti domácímu zpracovatelskému průmyslu.</w:t>
      </w:r>
    </w:p>
    <w:p w:rsidR="002B44EF" w:rsidRDefault="002B44EF" w:rsidP="002B44EF">
      <w:pPr>
        <w:ind w:firstLine="0"/>
        <w:rPr>
          <w:rFonts w:asciiTheme="minorHAnsi" w:hAnsiTheme="minorHAnsi" w:cs="Arial"/>
          <w:caps/>
          <w:sz w:val="22"/>
          <w:szCs w:val="22"/>
        </w:rPr>
      </w:pPr>
      <w:r w:rsidRPr="0092722C">
        <w:rPr>
          <w:rFonts w:asciiTheme="minorHAnsi" w:hAnsiTheme="minorHAnsi" w:cs="Arial"/>
          <w:b/>
          <w:caps/>
          <w:sz w:val="22"/>
          <w:szCs w:val="22"/>
        </w:rPr>
        <w:t>Koncentrace výroby a prodeje</w:t>
      </w:r>
      <w:r w:rsidRPr="0092722C">
        <w:rPr>
          <w:rFonts w:asciiTheme="minorHAnsi" w:hAnsiTheme="minorHAnsi" w:cs="Arial"/>
          <w:caps/>
          <w:sz w:val="22"/>
          <w:szCs w:val="22"/>
        </w:rPr>
        <w:t xml:space="preserve"> ve vybraných odvětvích</w:t>
      </w:r>
      <w:r>
        <w:rPr>
          <w:rStyle w:val="Znakapoznpodarou"/>
          <w:rFonts w:cs="Arial"/>
          <w:caps/>
          <w:szCs w:val="22"/>
        </w:rPr>
        <w:footnoteReference w:id="8"/>
      </w:r>
      <w:r>
        <w:rPr>
          <w:rFonts w:asciiTheme="minorHAnsi" w:hAnsiTheme="minorHAnsi" w:cs="Arial"/>
          <w:caps/>
          <w:sz w:val="22"/>
          <w:szCs w:val="22"/>
        </w:rPr>
        <w:t>.</w:t>
      </w:r>
    </w:p>
    <w:p w:rsidR="002B44EF" w:rsidRPr="0092722C" w:rsidRDefault="002B44EF" w:rsidP="002B44EF">
      <w:pPr>
        <w:ind w:firstLine="0"/>
        <w:rPr>
          <w:rFonts w:asciiTheme="minorHAnsi" w:hAnsiTheme="minorHAnsi" w:cs="Arial"/>
          <w:caps/>
          <w:sz w:val="22"/>
          <w:szCs w:val="22"/>
        </w:rPr>
      </w:pPr>
      <w:r>
        <w:rPr>
          <w:rFonts w:asciiTheme="minorHAnsi" w:hAnsiTheme="minorHAnsi" w:cs="Arial"/>
          <w:sz w:val="22"/>
          <w:szCs w:val="22"/>
        </w:rPr>
        <w:t>Hodnoty k</w:t>
      </w:r>
      <w:r w:rsidRPr="002C1A6F">
        <w:rPr>
          <w:rFonts w:asciiTheme="minorHAnsi" w:hAnsiTheme="minorHAnsi" w:cs="Arial"/>
          <w:sz w:val="22"/>
          <w:szCs w:val="22"/>
        </w:rPr>
        <w:t>oncentrace j</w:t>
      </w:r>
      <w:r>
        <w:rPr>
          <w:rFonts w:asciiTheme="minorHAnsi" w:hAnsiTheme="minorHAnsi" w:cs="Arial"/>
          <w:sz w:val="22"/>
          <w:szCs w:val="22"/>
        </w:rPr>
        <w:t>sou</w:t>
      </w:r>
      <w:r w:rsidRPr="002C1A6F">
        <w:rPr>
          <w:rFonts w:asciiTheme="minorHAnsi" w:hAnsiTheme="minorHAnsi" w:cs="Arial"/>
          <w:sz w:val="22"/>
          <w:szCs w:val="22"/>
        </w:rPr>
        <w:t xml:space="preserve"> důležitým</w:t>
      </w:r>
      <w:r>
        <w:rPr>
          <w:rFonts w:asciiTheme="minorHAnsi" w:hAnsiTheme="minorHAnsi" w:cs="Arial"/>
          <w:sz w:val="22"/>
          <w:szCs w:val="22"/>
        </w:rPr>
        <w:t>, nikoliv výhradním</w:t>
      </w:r>
      <w:r w:rsidRPr="002C1A6F">
        <w:rPr>
          <w:rFonts w:asciiTheme="minorHAnsi" w:hAnsiTheme="minorHAnsi" w:cs="Arial"/>
          <w:sz w:val="22"/>
          <w:szCs w:val="22"/>
        </w:rPr>
        <w:t xml:space="preserve"> ukazatelem tržní síly.</w:t>
      </w:r>
    </w:p>
    <w:p w:rsidR="002B44EF" w:rsidRPr="002C1A6F" w:rsidRDefault="002B44EF" w:rsidP="002B44EF">
      <w:pPr>
        <w:ind w:firstLine="0"/>
        <w:rPr>
          <w:rFonts w:asciiTheme="minorHAnsi" w:hAnsiTheme="minorHAnsi" w:cs="Arial"/>
          <w:b/>
          <w:sz w:val="22"/>
          <w:szCs w:val="22"/>
        </w:rPr>
      </w:pPr>
      <w:r w:rsidRPr="002C1A6F">
        <w:rPr>
          <w:rFonts w:asciiTheme="minorHAnsi" w:hAnsiTheme="minorHAnsi" w:cs="Arial"/>
          <w:b/>
          <w:sz w:val="22"/>
          <w:szCs w:val="22"/>
        </w:rPr>
        <w:t>Mléko</w:t>
      </w:r>
    </w:p>
    <w:p w:rsidR="002B44EF" w:rsidRPr="002C1A6F" w:rsidRDefault="002B44EF" w:rsidP="002B44EF">
      <w:pPr>
        <w:ind w:firstLine="0"/>
        <w:rPr>
          <w:rFonts w:asciiTheme="minorHAnsi" w:hAnsiTheme="minorHAnsi" w:cs="Arial"/>
          <w:sz w:val="22"/>
          <w:szCs w:val="22"/>
        </w:rPr>
      </w:pPr>
      <w:r w:rsidRPr="002C1A6F">
        <w:rPr>
          <w:rFonts w:asciiTheme="minorHAnsi" w:hAnsiTheme="minorHAnsi" w:cs="Arial"/>
          <w:sz w:val="22"/>
          <w:szCs w:val="22"/>
        </w:rPr>
        <w:t xml:space="preserve">Koncentrace prodeje mléka se vlivem několika málo uznaných organizací výrobců téměř vyrovnala koncentraci zpracovatelů. Přesto je koncentrace </w:t>
      </w:r>
      <w:r>
        <w:rPr>
          <w:rFonts w:asciiTheme="minorHAnsi" w:hAnsiTheme="minorHAnsi" w:cs="Arial"/>
          <w:sz w:val="22"/>
          <w:szCs w:val="22"/>
        </w:rPr>
        <w:t xml:space="preserve">v prvovýrobě, prodeji i zpracování </w:t>
      </w:r>
      <w:r w:rsidRPr="002C1A6F">
        <w:rPr>
          <w:rFonts w:asciiTheme="minorHAnsi" w:hAnsiTheme="minorHAnsi" w:cs="Arial"/>
          <w:sz w:val="22"/>
          <w:szCs w:val="22"/>
        </w:rPr>
        <w:t>na nízkém stupni. Hodnoty HHI</w:t>
      </w:r>
      <w:r>
        <w:rPr>
          <w:rStyle w:val="Znakapoznpodarou"/>
          <w:rFonts w:cs="Arial"/>
          <w:szCs w:val="22"/>
        </w:rPr>
        <w:footnoteReference w:id="9"/>
      </w:r>
      <w:r w:rsidRPr="002C1A6F">
        <w:rPr>
          <w:rFonts w:asciiTheme="minorHAnsi" w:hAnsiTheme="minorHAnsi" w:cs="Arial"/>
          <w:sz w:val="22"/>
          <w:szCs w:val="22"/>
        </w:rPr>
        <w:t xml:space="preserve"> ukazují, že </w:t>
      </w:r>
      <w:r>
        <w:rPr>
          <w:rFonts w:asciiTheme="minorHAnsi" w:hAnsiTheme="minorHAnsi" w:cs="Arial"/>
          <w:sz w:val="22"/>
          <w:szCs w:val="22"/>
        </w:rPr>
        <w:t xml:space="preserve">až po zpracování </w:t>
      </w:r>
      <w:r w:rsidRPr="002C1A6F">
        <w:rPr>
          <w:rFonts w:asciiTheme="minorHAnsi" w:hAnsiTheme="minorHAnsi" w:cs="Arial"/>
          <w:sz w:val="22"/>
          <w:szCs w:val="22"/>
        </w:rPr>
        <w:t xml:space="preserve">se </w:t>
      </w:r>
      <w:r>
        <w:rPr>
          <w:rFonts w:asciiTheme="minorHAnsi" w:hAnsiTheme="minorHAnsi" w:cs="Arial"/>
          <w:sz w:val="22"/>
          <w:szCs w:val="22"/>
        </w:rPr>
        <w:t xml:space="preserve">na trhu </w:t>
      </w:r>
      <w:r w:rsidRPr="002C1A6F">
        <w:rPr>
          <w:rFonts w:asciiTheme="minorHAnsi" w:hAnsiTheme="minorHAnsi" w:cs="Arial"/>
          <w:sz w:val="22"/>
          <w:szCs w:val="22"/>
        </w:rPr>
        <w:t>nevyskytuje subjekt s výraznou převahou.</w:t>
      </w:r>
      <w:r>
        <w:rPr>
          <w:rFonts w:asciiTheme="minorHAnsi" w:hAnsiTheme="minorHAnsi" w:cs="Arial"/>
          <w:sz w:val="22"/>
          <w:szCs w:val="22"/>
        </w:rPr>
        <w:t xml:space="preserve"> Na trhu tedy </w:t>
      </w:r>
      <w:r w:rsidRPr="00D050B3">
        <w:rPr>
          <w:rFonts w:asciiTheme="minorHAnsi" w:hAnsiTheme="minorHAnsi" w:cs="Arial"/>
          <w:sz w:val="22"/>
          <w:szCs w:val="22"/>
        </w:rPr>
        <w:t>neexistuje vyvažující síla vůči maloobchodu</w:t>
      </w:r>
      <w:r>
        <w:rPr>
          <w:rFonts w:asciiTheme="minorHAnsi" w:hAnsiTheme="minorHAnsi" w:cs="Arial"/>
          <w:sz w:val="22"/>
          <w:szCs w:val="22"/>
        </w:rPr>
        <w:t>.</w:t>
      </w:r>
    </w:p>
    <w:p w:rsidR="002B44EF" w:rsidRPr="002C1A6F" w:rsidRDefault="002B44EF" w:rsidP="002B44EF">
      <w:pPr>
        <w:ind w:firstLine="0"/>
        <w:rPr>
          <w:rFonts w:asciiTheme="minorHAnsi" w:hAnsiTheme="minorHAnsi" w:cs="Arial"/>
          <w:sz w:val="22"/>
          <w:szCs w:val="22"/>
        </w:rPr>
      </w:pPr>
      <w:r w:rsidRPr="002C1A6F">
        <w:rPr>
          <w:rFonts w:asciiTheme="minorHAnsi" w:hAnsiTheme="minorHAnsi" w:cs="Arial"/>
          <w:sz w:val="22"/>
          <w:szCs w:val="22"/>
        </w:rPr>
        <w:t>Vývoj koncentrace výroby a zpracování mléka podle Herfindahl-Hirschmanova indexu (HHI)</w:t>
      </w:r>
    </w:p>
    <w:tbl>
      <w:tblPr>
        <w:tblW w:w="5000" w:type="pct"/>
        <w:tblLayout w:type="fixed"/>
        <w:tblCellMar>
          <w:left w:w="70" w:type="dxa"/>
          <w:right w:w="70" w:type="dxa"/>
        </w:tblCellMar>
        <w:tblLook w:val="04A0"/>
      </w:tblPr>
      <w:tblGrid>
        <w:gridCol w:w="3018"/>
        <w:gridCol w:w="862"/>
        <w:gridCol w:w="698"/>
        <w:gridCol w:w="997"/>
        <w:gridCol w:w="1198"/>
        <w:gridCol w:w="1120"/>
        <w:gridCol w:w="1319"/>
      </w:tblGrid>
      <w:tr w:rsidR="002B44EF" w:rsidRPr="00985A21" w:rsidTr="00011676">
        <w:trPr>
          <w:trHeight w:val="300"/>
        </w:trPr>
        <w:tc>
          <w:tcPr>
            <w:tcW w:w="1638"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2B44EF" w:rsidRPr="00184BF1" w:rsidRDefault="002B44EF" w:rsidP="00011676">
            <w:pPr>
              <w:rPr>
                <w:rFonts w:ascii="Calibri" w:hAnsi="Calibri"/>
                <w:color w:val="000000"/>
                <w:sz w:val="20"/>
                <w:szCs w:val="20"/>
              </w:rPr>
            </w:pPr>
            <w:r w:rsidRPr="00184BF1">
              <w:rPr>
                <w:rFonts w:ascii="Calibri" w:hAnsi="Calibri"/>
                <w:color w:val="000000"/>
                <w:sz w:val="20"/>
                <w:szCs w:val="20"/>
              </w:rPr>
              <w:t> </w:t>
            </w:r>
          </w:p>
        </w:tc>
        <w:tc>
          <w:tcPr>
            <w:tcW w:w="847" w:type="pct"/>
            <w:gridSpan w:val="2"/>
            <w:tcBorders>
              <w:top w:val="single" w:sz="12" w:space="0" w:color="auto"/>
              <w:left w:val="nil"/>
              <w:bottom w:val="single" w:sz="4" w:space="0" w:color="auto"/>
              <w:right w:val="single" w:sz="4" w:space="0" w:color="auto"/>
            </w:tcBorders>
            <w:shd w:val="clear" w:color="auto" w:fill="D9D9D9" w:themeFill="background1" w:themeFillShade="D9"/>
            <w:noWrap/>
            <w:vAlign w:val="bottom"/>
            <w:hideMark/>
          </w:tcPr>
          <w:p w:rsidR="002B44EF" w:rsidRPr="00184BF1" w:rsidRDefault="002B44EF" w:rsidP="00011676">
            <w:pPr>
              <w:jc w:val="center"/>
              <w:rPr>
                <w:rFonts w:ascii="Calibri" w:hAnsi="Calibri"/>
                <w:bCs/>
                <w:color w:val="000000"/>
                <w:sz w:val="20"/>
                <w:szCs w:val="20"/>
              </w:rPr>
            </w:pPr>
            <w:r w:rsidRPr="00184BF1">
              <w:rPr>
                <w:rFonts w:ascii="Calibri" w:hAnsi="Calibri"/>
                <w:bCs/>
                <w:color w:val="000000"/>
                <w:sz w:val="20"/>
                <w:szCs w:val="20"/>
              </w:rPr>
              <w:t>HHI</w:t>
            </w:r>
          </w:p>
        </w:tc>
        <w:tc>
          <w:tcPr>
            <w:tcW w:w="1191" w:type="pct"/>
            <w:gridSpan w:val="2"/>
            <w:tcBorders>
              <w:top w:val="single" w:sz="12" w:space="0" w:color="auto"/>
              <w:left w:val="nil"/>
              <w:bottom w:val="single" w:sz="4" w:space="0" w:color="auto"/>
              <w:right w:val="single" w:sz="4" w:space="0" w:color="auto"/>
            </w:tcBorders>
            <w:shd w:val="clear" w:color="auto" w:fill="auto"/>
            <w:noWrap/>
            <w:vAlign w:val="bottom"/>
            <w:hideMark/>
          </w:tcPr>
          <w:p w:rsidR="002B44EF" w:rsidRPr="00184BF1" w:rsidRDefault="002B44EF" w:rsidP="00011676">
            <w:pPr>
              <w:ind w:hanging="46"/>
              <w:jc w:val="center"/>
              <w:rPr>
                <w:rFonts w:ascii="Calibri" w:hAnsi="Calibri"/>
                <w:bCs/>
                <w:color w:val="000000"/>
                <w:sz w:val="20"/>
                <w:szCs w:val="20"/>
              </w:rPr>
            </w:pPr>
            <w:r w:rsidRPr="00184BF1">
              <w:rPr>
                <w:rFonts w:ascii="Calibri" w:hAnsi="Calibri"/>
                <w:bCs/>
                <w:color w:val="000000"/>
                <w:sz w:val="20"/>
                <w:szCs w:val="20"/>
              </w:rPr>
              <w:t>Počet subjektů (n)</w:t>
            </w:r>
          </w:p>
        </w:tc>
        <w:tc>
          <w:tcPr>
            <w:tcW w:w="1324" w:type="pct"/>
            <w:gridSpan w:val="2"/>
            <w:tcBorders>
              <w:top w:val="single" w:sz="12" w:space="0" w:color="auto"/>
              <w:left w:val="nil"/>
              <w:bottom w:val="single" w:sz="4" w:space="0" w:color="auto"/>
              <w:right w:val="single" w:sz="12" w:space="0" w:color="auto"/>
            </w:tcBorders>
            <w:shd w:val="clear" w:color="auto" w:fill="auto"/>
            <w:noWrap/>
            <w:vAlign w:val="bottom"/>
            <w:hideMark/>
          </w:tcPr>
          <w:p w:rsidR="002B44EF" w:rsidRPr="00184BF1" w:rsidRDefault="002B44EF" w:rsidP="00011676">
            <w:pPr>
              <w:jc w:val="center"/>
              <w:rPr>
                <w:rFonts w:ascii="Calibri" w:hAnsi="Calibri"/>
                <w:bCs/>
                <w:color w:val="000000"/>
                <w:sz w:val="20"/>
                <w:szCs w:val="20"/>
              </w:rPr>
            </w:pPr>
            <w:r w:rsidRPr="00184BF1">
              <w:rPr>
                <w:rFonts w:ascii="Calibri" w:hAnsi="Calibri"/>
                <w:bCs/>
                <w:color w:val="000000"/>
                <w:sz w:val="20"/>
                <w:szCs w:val="20"/>
              </w:rPr>
              <w:t>Objem mléka (tis. t)</w:t>
            </w:r>
          </w:p>
        </w:tc>
      </w:tr>
      <w:tr w:rsidR="002B44EF" w:rsidRPr="00985A21" w:rsidTr="00011676">
        <w:trPr>
          <w:trHeight w:val="315"/>
        </w:trPr>
        <w:tc>
          <w:tcPr>
            <w:tcW w:w="1638" w:type="pct"/>
            <w:tcBorders>
              <w:top w:val="nil"/>
              <w:left w:val="single" w:sz="12" w:space="0" w:color="auto"/>
              <w:bottom w:val="single" w:sz="8" w:space="0" w:color="auto"/>
              <w:right w:val="single" w:sz="4" w:space="0" w:color="auto"/>
            </w:tcBorders>
            <w:shd w:val="clear" w:color="auto" w:fill="auto"/>
            <w:noWrap/>
            <w:vAlign w:val="bottom"/>
            <w:hideMark/>
          </w:tcPr>
          <w:p w:rsidR="002B44EF" w:rsidRPr="00184BF1" w:rsidRDefault="002B44EF" w:rsidP="00011676">
            <w:pPr>
              <w:rPr>
                <w:rFonts w:ascii="Calibri" w:hAnsi="Calibri"/>
                <w:color w:val="000000"/>
                <w:sz w:val="20"/>
                <w:szCs w:val="20"/>
              </w:rPr>
            </w:pPr>
            <w:r w:rsidRPr="00184BF1">
              <w:rPr>
                <w:rFonts w:ascii="Calibri" w:hAnsi="Calibri"/>
                <w:color w:val="000000"/>
                <w:sz w:val="20"/>
                <w:szCs w:val="20"/>
              </w:rPr>
              <w:t> </w:t>
            </w:r>
          </w:p>
        </w:tc>
        <w:tc>
          <w:tcPr>
            <w:tcW w:w="468" w:type="pct"/>
            <w:tcBorders>
              <w:top w:val="nil"/>
              <w:left w:val="nil"/>
              <w:bottom w:val="single" w:sz="8" w:space="0" w:color="auto"/>
              <w:right w:val="single" w:sz="4" w:space="0" w:color="auto"/>
            </w:tcBorders>
            <w:shd w:val="clear" w:color="auto" w:fill="D9D9D9" w:themeFill="background1" w:themeFillShade="D9"/>
            <w:noWrap/>
            <w:vAlign w:val="center"/>
            <w:hideMark/>
          </w:tcPr>
          <w:p w:rsidR="002B44EF" w:rsidRPr="00184BF1" w:rsidRDefault="002B44EF" w:rsidP="00011676">
            <w:pPr>
              <w:ind w:hanging="53"/>
              <w:jc w:val="center"/>
              <w:rPr>
                <w:rFonts w:ascii="Calibri" w:hAnsi="Calibri"/>
                <w:bCs/>
                <w:color w:val="000000"/>
                <w:sz w:val="20"/>
                <w:szCs w:val="20"/>
              </w:rPr>
            </w:pPr>
            <w:r w:rsidRPr="00184BF1">
              <w:rPr>
                <w:rFonts w:ascii="Calibri" w:hAnsi="Calibri"/>
                <w:bCs/>
                <w:color w:val="000000"/>
                <w:sz w:val="20"/>
                <w:szCs w:val="20"/>
              </w:rPr>
              <w:t>2011</w:t>
            </w:r>
          </w:p>
        </w:tc>
        <w:tc>
          <w:tcPr>
            <w:tcW w:w="379" w:type="pct"/>
            <w:tcBorders>
              <w:top w:val="nil"/>
              <w:left w:val="nil"/>
              <w:bottom w:val="single" w:sz="8" w:space="0" w:color="auto"/>
              <w:right w:val="single" w:sz="4" w:space="0" w:color="auto"/>
            </w:tcBorders>
            <w:shd w:val="clear" w:color="auto" w:fill="D9D9D9" w:themeFill="background1" w:themeFillShade="D9"/>
            <w:noWrap/>
            <w:vAlign w:val="center"/>
            <w:hideMark/>
          </w:tcPr>
          <w:p w:rsidR="002B44EF" w:rsidRPr="00184BF1" w:rsidRDefault="002B44EF" w:rsidP="00011676">
            <w:pPr>
              <w:ind w:hanging="53"/>
              <w:jc w:val="center"/>
              <w:rPr>
                <w:rFonts w:ascii="Calibri" w:hAnsi="Calibri"/>
                <w:bCs/>
                <w:color w:val="000000"/>
                <w:sz w:val="20"/>
                <w:szCs w:val="20"/>
              </w:rPr>
            </w:pPr>
            <w:r w:rsidRPr="00184BF1">
              <w:rPr>
                <w:rFonts w:ascii="Calibri" w:hAnsi="Calibri"/>
                <w:bCs/>
                <w:color w:val="000000"/>
                <w:sz w:val="20"/>
                <w:szCs w:val="20"/>
              </w:rPr>
              <w:t>2016</w:t>
            </w:r>
          </w:p>
        </w:tc>
        <w:tc>
          <w:tcPr>
            <w:tcW w:w="541" w:type="pct"/>
            <w:tcBorders>
              <w:top w:val="nil"/>
              <w:left w:val="nil"/>
              <w:bottom w:val="single" w:sz="8" w:space="0" w:color="auto"/>
              <w:right w:val="single" w:sz="4" w:space="0" w:color="auto"/>
            </w:tcBorders>
            <w:shd w:val="clear" w:color="auto" w:fill="auto"/>
            <w:noWrap/>
            <w:vAlign w:val="center"/>
            <w:hideMark/>
          </w:tcPr>
          <w:p w:rsidR="002B44EF" w:rsidRPr="00184BF1" w:rsidRDefault="002B44EF" w:rsidP="00011676">
            <w:pPr>
              <w:ind w:hanging="53"/>
              <w:jc w:val="center"/>
              <w:rPr>
                <w:rFonts w:ascii="Calibri" w:hAnsi="Calibri"/>
                <w:bCs/>
                <w:color w:val="000000"/>
                <w:sz w:val="20"/>
                <w:szCs w:val="20"/>
              </w:rPr>
            </w:pPr>
            <w:r w:rsidRPr="00184BF1">
              <w:rPr>
                <w:rFonts w:ascii="Calibri" w:hAnsi="Calibri"/>
                <w:bCs/>
                <w:color w:val="000000"/>
                <w:sz w:val="20"/>
                <w:szCs w:val="20"/>
              </w:rPr>
              <w:t>2011</w:t>
            </w:r>
          </w:p>
        </w:tc>
        <w:tc>
          <w:tcPr>
            <w:tcW w:w="650" w:type="pct"/>
            <w:tcBorders>
              <w:top w:val="nil"/>
              <w:left w:val="nil"/>
              <w:bottom w:val="single" w:sz="8" w:space="0" w:color="auto"/>
              <w:right w:val="single" w:sz="4" w:space="0" w:color="auto"/>
            </w:tcBorders>
            <w:shd w:val="clear" w:color="auto" w:fill="auto"/>
            <w:noWrap/>
            <w:vAlign w:val="center"/>
            <w:hideMark/>
          </w:tcPr>
          <w:p w:rsidR="002B44EF" w:rsidRPr="00184BF1" w:rsidRDefault="002B44EF" w:rsidP="00011676">
            <w:pPr>
              <w:ind w:hanging="53"/>
              <w:jc w:val="center"/>
              <w:rPr>
                <w:rFonts w:ascii="Calibri" w:hAnsi="Calibri"/>
                <w:bCs/>
                <w:color w:val="000000"/>
                <w:sz w:val="20"/>
                <w:szCs w:val="20"/>
              </w:rPr>
            </w:pPr>
            <w:r w:rsidRPr="00184BF1">
              <w:rPr>
                <w:rFonts w:ascii="Calibri" w:hAnsi="Calibri"/>
                <w:bCs/>
                <w:color w:val="000000"/>
                <w:sz w:val="20"/>
                <w:szCs w:val="20"/>
              </w:rPr>
              <w:t>2016</w:t>
            </w:r>
          </w:p>
        </w:tc>
        <w:tc>
          <w:tcPr>
            <w:tcW w:w="608" w:type="pct"/>
            <w:tcBorders>
              <w:top w:val="nil"/>
              <w:left w:val="nil"/>
              <w:bottom w:val="single" w:sz="8" w:space="0" w:color="auto"/>
              <w:right w:val="single" w:sz="4" w:space="0" w:color="auto"/>
            </w:tcBorders>
            <w:shd w:val="clear" w:color="auto" w:fill="auto"/>
            <w:noWrap/>
            <w:vAlign w:val="center"/>
            <w:hideMark/>
          </w:tcPr>
          <w:p w:rsidR="002B44EF" w:rsidRPr="00184BF1" w:rsidRDefault="002B44EF" w:rsidP="00011676">
            <w:pPr>
              <w:ind w:hanging="53"/>
              <w:jc w:val="center"/>
              <w:rPr>
                <w:rFonts w:ascii="Calibri" w:hAnsi="Calibri"/>
                <w:bCs/>
                <w:color w:val="000000"/>
                <w:sz w:val="20"/>
                <w:szCs w:val="20"/>
              </w:rPr>
            </w:pPr>
            <w:r w:rsidRPr="00184BF1">
              <w:rPr>
                <w:rFonts w:ascii="Calibri" w:hAnsi="Calibri"/>
                <w:bCs/>
                <w:color w:val="000000"/>
                <w:sz w:val="20"/>
                <w:szCs w:val="20"/>
              </w:rPr>
              <w:t>2011</w:t>
            </w:r>
          </w:p>
        </w:tc>
        <w:tc>
          <w:tcPr>
            <w:tcW w:w="716" w:type="pct"/>
            <w:tcBorders>
              <w:top w:val="nil"/>
              <w:left w:val="nil"/>
              <w:bottom w:val="single" w:sz="8" w:space="0" w:color="auto"/>
              <w:right w:val="single" w:sz="12" w:space="0" w:color="auto"/>
            </w:tcBorders>
            <w:shd w:val="clear" w:color="auto" w:fill="auto"/>
            <w:noWrap/>
            <w:vAlign w:val="center"/>
            <w:hideMark/>
          </w:tcPr>
          <w:p w:rsidR="002B44EF" w:rsidRPr="00184BF1" w:rsidRDefault="002B44EF" w:rsidP="00011676">
            <w:pPr>
              <w:ind w:hanging="53"/>
              <w:jc w:val="center"/>
              <w:rPr>
                <w:rFonts w:ascii="Calibri" w:hAnsi="Calibri"/>
                <w:bCs/>
                <w:color w:val="000000"/>
                <w:sz w:val="20"/>
                <w:szCs w:val="20"/>
              </w:rPr>
            </w:pPr>
            <w:r w:rsidRPr="00184BF1">
              <w:rPr>
                <w:rFonts w:ascii="Calibri" w:hAnsi="Calibri"/>
                <w:bCs/>
                <w:color w:val="000000"/>
                <w:sz w:val="20"/>
                <w:szCs w:val="20"/>
              </w:rPr>
              <w:t>2016</w:t>
            </w:r>
          </w:p>
        </w:tc>
      </w:tr>
      <w:tr w:rsidR="002B44EF" w:rsidRPr="00784920" w:rsidTr="00011676">
        <w:trPr>
          <w:trHeight w:val="300"/>
        </w:trPr>
        <w:tc>
          <w:tcPr>
            <w:tcW w:w="1638" w:type="pct"/>
            <w:tcBorders>
              <w:top w:val="nil"/>
              <w:left w:val="single" w:sz="12" w:space="0" w:color="auto"/>
              <w:bottom w:val="single" w:sz="4" w:space="0" w:color="auto"/>
              <w:right w:val="single" w:sz="4" w:space="0" w:color="auto"/>
            </w:tcBorders>
            <w:shd w:val="clear" w:color="auto" w:fill="auto"/>
            <w:noWrap/>
            <w:vAlign w:val="bottom"/>
            <w:hideMark/>
          </w:tcPr>
          <w:p w:rsidR="002B44EF" w:rsidRPr="00184BF1" w:rsidRDefault="002B44EF" w:rsidP="00011676">
            <w:pPr>
              <w:ind w:firstLine="54"/>
              <w:rPr>
                <w:rFonts w:ascii="Calibri" w:hAnsi="Calibri"/>
                <w:color w:val="000000"/>
                <w:sz w:val="20"/>
                <w:szCs w:val="20"/>
              </w:rPr>
            </w:pPr>
            <w:r w:rsidRPr="00184BF1">
              <w:rPr>
                <w:rFonts w:ascii="Calibri" w:hAnsi="Calibri"/>
                <w:color w:val="000000"/>
                <w:sz w:val="20"/>
                <w:szCs w:val="20"/>
              </w:rPr>
              <w:t>Koncentrace prvovýroby</w:t>
            </w:r>
          </w:p>
        </w:tc>
        <w:tc>
          <w:tcPr>
            <w:tcW w:w="468" w:type="pct"/>
            <w:tcBorders>
              <w:top w:val="nil"/>
              <w:left w:val="nil"/>
              <w:bottom w:val="single" w:sz="4" w:space="0" w:color="auto"/>
              <w:right w:val="single" w:sz="4" w:space="0" w:color="auto"/>
            </w:tcBorders>
            <w:shd w:val="clear" w:color="auto" w:fill="D9D9D9" w:themeFill="background1" w:themeFillShade="D9"/>
            <w:noWrap/>
            <w:vAlign w:val="center"/>
            <w:hideMark/>
          </w:tcPr>
          <w:p w:rsidR="002B44EF" w:rsidRPr="00184BF1" w:rsidRDefault="002B44EF" w:rsidP="00011676">
            <w:pPr>
              <w:ind w:firstLine="22"/>
              <w:jc w:val="center"/>
              <w:rPr>
                <w:rFonts w:ascii="Calibri" w:hAnsi="Calibri"/>
                <w:color w:val="000000"/>
                <w:sz w:val="20"/>
                <w:szCs w:val="20"/>
              </w:rPr>
            </w:pPr>
            <w:r w:rsidRPr="00184BF1">
              <w:rPr>
                <w:rFonts w:ascii="Calibri" w:hAnsi="Calibri"/>
                <w:color w:val="000000"/>
                <w:sz w:val="20"/>
                <w:szCs w:val="20"/>
              </w:rPr>
              <w:t>15</w:t>
            </w:r>
          </w:p>
        </w:tc>
        <w:tc>
          <w:tcPr>
            <w:tcW w:w="379" w:type="pct"/>
            <w:tcBorders>
              <w:top w:val="nil"/>
              <w:left w:val="nil"/>
              <w:bottom w:val="single" w:sz="4" w:space="0" w:color="auto"/>
              <w:right w:val="single" w:sz="4" w:space="0" w:color="auto"/>
            </w:tcBorders>
            <w:shd w:val="clear" w:color="auto" w:fill="D9D9D9" w:themeFill="background1" w:themeFillShade="D9"/>
            <w:noWrap/>
            <w:vAlign w:val="center"/>
            <w:hideMark/>
          </w:tcPr>
          <w:p w:rsidR="002B44EF" w:rsidRPr="00184BF1" w:rsidRDefault="002B44EF" w:rsidP="00011676">
            <w:pPr>
              <w:ind w:firstLine="22"/>
              <w:jc w:val="center"/>
              <w:rPr>
                <w:rFonts w:ascii="Calibri" w:hAnsi="Calibri"/>
                <w:color w:val="000000"/>
                <w:sz w:val="20"/>
                <w:szCs w:val="20"/>
              </w:rPr>
            </w:pPr>
            <w:r w:rsidRPr="00184BF1">
              <w:rPr>
                <w:rFonts w:ascii="Calibri" w:hAnsi="Calibri"/>
                <w:color w:val="000000"/>
                <w:sz w:val="20"/>
                <w:szCs w:val="20"/>
              </w:rPr>
              <w:t>17</w:t>
            </w:r>
          </w:p>
        </w:tc>
        <w:tc>
          <w:tcPr>
            <w:tcW w:w="541" w:type="pct"/>
            <w:tcBorders>
              <w:top w:val="nil"/>
              <w:left w:val="nil"/>
              <w:bottom w:val="single" w:sz="4" w:space="0" w:color="auto"/>
              <w:right w:val="single" w:sz="4" w:space="0" w:color="auto"/>
            </w:tcBorders>
            <w:shd w:val="clear" w:color="auto" w:fill="auto"/>
            <w:noWrap/>
            <w:vAlign w:val="center"/>
            <w:hideMark/>
          </w:tcPr>
          <w:p w:rsidR="002B44EF" w:rsidRPr="00184BF1" w:rsidRDefault="002B44EF" w:rsidP="00011676">
            <w:pPr>
              <w:ind w:firstLine="22"/>
              <w:jc w:val="center"/>
              <w:rPr>
                <w:rFonts w:ascii="Calibri" w:hAnsi="Calibri"/>
                <w:color w:val="000000"/>
                <w:sz w:val="20"/>
                <w:szCs w:val="20"/>
              </w:rPr>
            </w:pPr>
            <w:r w:rsidRPr="00184BF1">
              <w:rPr>
                <w:rFonts w:ascii="Calibri" w:hAnsi="Calibri"/>
                <w:color w:val="000000"/>
                <w:sz w:val="20"/>
                <w:szCs w:val="20"/>
              </w:rPr>
              <w:t>2 320</w:t>
            </w:r>
          </w:p>
        </w:tc>
        <w:tc>
          <w:tcPr>
            <w:tcW w:w="650" w:type="pct"/>
            <w:tcBorders>
              <w:top w:val="nil"/>
              <w:left w:val="nil"/>
              <w:bottom w:val="single" w:sz="4" w:space="0" w:color="auto"/>
              <w:right w:val="single" w:sz="4" w:space="0" w:color="auto"/>
            </w:tcBorders>
            <w:shd w:val="clear" w:color="auto" w:fill="auto"/>
            <w:noWrap/>
            <w:vAlign w:val="center"/>
            <w:hideMark/>
          </w:tcPr>
          <w:p w:rsidR="002B44EF" w:rsidRPr="00184BF1" w:rsidRDefault="002B44EF" w:rsidP="00011676">
            <w:pPr>
              <w:ind w:firstLine="22"/>
              <w:jc w:val="center"/>
              <w:rPr>
                <w:rFonts w:ascii="Calibri" w:hAnsi="Calibri"/>
                <w:color w:val="000000"/>
                <w:sz w:val="20"/>
                <w:szCs w:val="20"/>
              </w:rPr>
            </w:pPr>
            <w:r w:rsidRPr="00184BF1">
              <w:rPr>
                <w:rFonts w:ascii="Calibri" w:hAnsi="Calibri"/>
                <w:color w:val="000000"/>
                <w:sz w:val="20"/>
                <w:szCs w:val="20"/>
              </w:rPr>
              <w:t>1 794</w:t>
            </w:r>
          </w:p>
        </w:tc>
        <w:tc>
          <w:tcPr>
            <w:tcW w:w="608" w:type="pct"/>
            <w:tcBorders>
              <w:top w:val="nil"/>
              <w:left w:val="nil"/>
              <w:bottom w:val="single" w:sz="4" w:space="0" w:color="auto"/>
              <w:right w:val="single" w:sz="4" w:space="0" w:color="auto"/>
            </w:tcBorders>
            <w:shd w:val="clear" w:color="auto" w:fill="auto"/>
            <w:noWrap/>
            <w:vAlign w:val="center"/>
            <w:hideMark/>
          </w:tcPr>
          <w:p w:rsidR="002B44EF" w:rsidRPr="00184BF1" w:rsidRDefault="002B44EF" w:rsidP="00011676">
            <w:pPr>
              <w:ind w:firstLine="22"/>
              <w:jc w:val="center"/>
              <w:rPr>
                <w:rFonts w:ascii="Calibri" w:hAnsi="Calibri"/>
                <w:color w:val="000000"/>
                <w:sz w:val="20"/>
                <w:szCs w:val="20"/>
              </w:rPr>
            </w:pPr>
            <w:r w:rsidRPr="00184BF1">
              <w:rPr>
                <w:rFonts w:ascii="Calibri" w:hAnsi="Calibri"/>
                <w:color w:val="000000"/>
                <w:sz w:val="20"/>
                <w:szCs w:val="20"/>
              </w:rPr>
              <w:t>2 735,6</w:t>
            </w:r>
          </w:p>
        </w:tc>
        <w:tc>
          <w:tcPr>
            <w:tcW w:w="716" w:type="pct"/>
            <w:tcBorders>
              <w:top w:val="nil"/>
              <w:left w:val="nil"/>
              <w:bottom w:val="single" w:sz="4" w:space="0" w:color="auto"/>
              <w:right w:val="single" w:sz="12" w:space="0" w:color="auto"/>
            </w:tcBorders>
            <w:shd w:val="clear" w:color="auto" w:fill="auto"/>
            <w:noWrap/>
            <w:vAlign w:val="center"/>
            <w:hideMark/>
          </w:tcPr>
          <w:p w:rsidR="002B44EF" w:rsidRPr="00184BF1" w:rsidRDefault="002B44EF" w:rsidP="00011676">
            <w:pPr>
              <w:ind w:firstLine="22"/>
              <w:jc w:val="center"/>
              <w:rPr>
                <w:rFonts w:ascii="Calibri" w:hAnsi="Calibri"/>
                <w:color w:val="000000"/>
                <w:sz w:val="20"/>
                <w:szCs w:val="20"/>
              </w:rPr>
            </w:pPr>
            <w:r w:rsidRPr="00184BF1">
              <w:rPr>
                <w:rFonts w:ascii="Calibri" w:hAnsi="Calibri"/>
                <w:color w:val="000000"/>
                <w:sz w:val="20"/>
                <w:szCs w:val="20"/>
              </w:rPr>
              <w:t>3 064,9</w:t>
            </w:r>
          </w:p>
        </w:tc>
      </w:tr>
      <w:tr w:rsidR="002B44EF" w:rsidRPr="00784920" w:rsidTr="00011676">
        <w:trPr>
          <w:trHeight w:val="300"/>
        </w:trPr>
        <w:tc>
          <w:tcPr>
            <w:tcW w:w="1638" w:type="pct"/>
            <w:tcBorders>
              <w:top w:val="nil"/>
              <w:left w:val="single" w:sz="12" w:space="0" w:color="auto"/>
              <w:bottom w:val="single" w:sz="4" w:space="0" w:color="auto"/>
              <w:right w:val="single" w:sz="4" w:space="0" w:color="auto"/>
            </w:tcBorders>
            <w:shd w:val="clear" w:color="auto" w:fill="auto"/>
            <w:noWrap/>
            <w:vAlign w:val="bottom"/>
            <w:hideMark/>
          </w:tcPr>
          <w:p w:rsidR="002B44EF" w:rsidRPr="00184BF1" w:rsidRDefault="002B44EF" w:rsidP="00011676">
            <w:pPr>
              <w:ind w:firstLine="54"/>
              <w:rPr>
                <w:rFonts w:ascii="Calibri" w:hAnsi="Calibri"/>
                <w:color w:val="000000"/>
                <w:sz w:val="20"/>
                <w:szCs w:val="20"/>
              </w:rPr>
            </w:pPr>
            <w:r w:rsidRPr="00184BF1">
              <w:rPr>
                <w:rFonts w:ascii="Calibri" w:hAnsi="Calibri"/>
                <w:color w:val="000000"/>
                <w:sz w:val="20"/>
                <w:szCs w:val="20"/>
              </w:rPr>
              <w:t>Koncentrace prodeje mléka</w:t>
            </w:r>
          </w:p>
        </w:tc>
        <w:tc>
          <w:tcPr>
            <w:tcW w:w="468" w:type="pct"/>
            <w:tcBorders>
              <w:top w:val="nil"/>
              <w:left w:val="nil"/>
              <w:bottom w:val="single" w:sz="4" w:space="0" w:color="auto"/>
              <w:right w:val="single" w:sz="4" w:space="0" w:color="auto"/>
            </w:tcBorders>
            <w:shd w:val="clear" w:color="auto" w:fill="D9D9D9" w:themeFill="background1" w:themeFillShade="D9"/>
            <w:noWrap/>
            <w:vAlign w:val="center"/>
            <w:hideMark/>
          </w:tcPr>
          <w:p w:rsidR="002B44EF" w:rsidRPr="00184BF1" w:rsidRDefault="002B44EF" w:rsidP="00011676">
            <w:pPr>
              <w:ind w:firstLine="89"/>
              <w:jc w:val="center"/>
              <w:rPr>
                <w:rFonts w:ascii="Calibri" w:hAnsi="Calibri"/>
                <w:color w:val="000000"/>
                <w:sz w:val="20"/>
                <w:szCs w:val="20"/>
              </w:rPr>
            </w:pPr>
            <w:r w:rsidRPr="00184BF1">
              <w:rPr>
                <w:rFonts w:ascii="Calibri" w:hAnsi="Calibri"/>
                <w:color w:val="000000"/>
                <w:sz w:val="20"/>
                <w:szCs w:val="20"/>
              </w:rPr>
              <w:t>469</w:t>
            </w:r>
          </w:p>
        </w:tc>
        <w:tc>
          <w:tcPr>
            <w:tcW w:w="379" w:type="pct"/>
            <w:tcBorders>
              <w:top w:val="nil"/>
              <w:left w:val="nil"/>
              <w:bottom w:val="single" w:sz="4" w:space="0" w:color="auto"/>
              <w:right w:val="single" w:sz="4" w:space="0" w:color="auto"/>
            </w:tcBorders>
            <w:shd w:val="clear" w:color="auto" w:fill="D9D9D9" w:themeFill="background1" w:themeFillShade="D9"/>
            <w:noWrap/>
            <w:vAlign w:val="center"/>
            <w:hideMark/>
          </w:tcPr>
          <w:p w:rsidR="002B44EF" w:rsidRPr="00184BF1" w:rsidRDefault="002B44EF" w:rsidP="00011676">
            <w:pPr>
              <w:ind w:firstLine="89"/>
              <w:jc w:val="center"/>
              <w:rPr>
                <w:rFonts w:ascii="Calibri" w:hAnsi="Calibri"/>
                <w:color w:val="000000"/>
                <w:sz w:val="20"/>
                <w:szCs w:val="20"/>
              </w:rPr>
            </w:pPr>
            <w:r w:rsidRPr="00184BF1">
              <w:rPr>
                <w:rFonts w:ascii="Calibri" w:hAnsi="Calibri"/>
                <w:color w:val="000000"/>
                <w:sz w:val="20"/>
                <w:szCs w:val="20"/>
              </w:rPr>
              <w:t>517</w:t>
            </w:r>
          </w:p>
        </w:tc>
        <w:tc>
          <w:tcPr>
            <w:tcW w:w="541" w:type="pct"/>
            <w:tcBorders>
              <w:top w:val="nil"/>
              <w:left w:val="nil"/>
              <w:bottom w:val="single" w:sz="4" w:space="0" w:color="auto"/>
              <w:right w:val="single" w:sz="4" w:space="0" w:color="auto"/>
            </w:tcBorders>
            <w:shd w:val="clear" w:color="auto" w:fill="auto"/>
            <w:noWrap/>
            <w:vAlign w:val="center"/>
            <w:hideMark/>
          </w:tcPr>
          <w:p w:rsidR="002B44EF" w:rsidRPr="00184BF1" w:rsidRDefault="002B44EF" w:rsidP="00011676">
            <w:pPr>
              <w:ind w:firstLine="89"/>
              <w:jc w:val="center"/>
              <w:rPr>
                <w:rFonts w:ascii="Calibri" w:hAnsi="Calibri"/>
                <w:color w:val="000000"/>
                <w:sz w:val="20"/>
                <w:szCs w:val="20"/>
              </w:rPr>
            </w:pPr>
            <w:r w:rsidRPr="00184BF1">
              <w:rPr>
                <w:rFonts w:ascii="Calibri" w:hAnsi="Calibri"/>
                <w:color w:val="000000"/>
                <w:sz w:val="20"/>
                <w:szCs w:val="20"/>
              </w:rPr>
              <w:t>77</w:t>
            </w:r>
          </w:p>
        </w:tc>
        <w:tc>
          <w:tcPr>
            <w:tcW w:w="650" w:type="pct"/>
            <w:tcBorders>
              <w:top w:val="nil"/>
              <w:left w:val="nil"/>
              <w:bottom w:val="single" w:sz="4" w:space="0" w:color="auto"/>
              <w:right w:val="single" w:sz="4" w:space="0" w:color="auto"/>
            </w:tcBorders>
            <w:shd w:val="clear" w:color="auto" w:fill="auto"/>
            <w:noWrap/>
            <w:vAlign w:val="center"/>
            <w:hideMark/>
          </w:tcPr>
          <w:p w:rsidR="002B44EF" w:rsidRPr="00184BF1" w:rsidRDefault="002B44EF" w:rsidP="00011676">
            <w:pPr>
              <w:ind w:firstLine="89"/>
              <w:jc w:val="center"/>
              <w:rPr>
                <w:rFonts w:ascii="Calibri" w:hAnsi="Calibri"/>
                <w:color w:val="000000"/>
                <w:sz w:val="20"/>
                <w:szCs w:val="20"/>
              </w:rPr>
            </w:pPr>
            <w:r w:rsidRPr="00184BF1">
              <w:rPr>
                <w:rFonts w:ascii="Calibri" w:hAnsi="Calibri"/>
                <w:color w:val="000000"/>
                <w:sz w:val="20"/>
                <w:szCs w:val="20"/>
              </w:rPr>
              <w:t>70 </w:t>
            </w:r>
          </w:p>
        </w:tc>
        <w:tc>
          <w:tcPr>
            <w:tcW w:w="608" w:type="pct"/>
            <w:tcBorders>
              <w:top w:val="nil"/>
              <w:left w:val="nil"/>
              <w:bottom w:val="single" w:sz="4" w:space="0" w:color="auto"/>
              <w:right w:val="single" w:sz="4" w:space="0" w:color="auto"/>
            </w:tcBorders>
            <w:shd w:val="clear" w:color="auto" w:fill="auto"/>
            <w:noWrap/>
            <w:vAlign w:val="center"/>
            <w:hideMark/>
          </w:tcPr>
          <w:p w:rsidR="002B44EF" w:rsidRPr="00184BF1" w:rsidRDefault="002B44EF" w:rsidP="00011676">
            <w:pPr>
              <w:ind w:firstLine="89"/>
              <w:jc w:val="center"/>
              <w:rPr>
                <w:rFonts w:ascii="Calibri" w:hAnsi="Calibri"/>
                <w:color w:val="000000"/>
                <w:sz w:val="20"/>
                <w:szCs w:val="20"/>
              </w:rPr>
            </w:pPr>
            <w:r w:rsidRPr="00184BF1">
              <w:rPr>
                <w:rFonts w:ascii="Calibri" w:hAnsi="Calibri"/>
                <w:color w:val="000000"/>
                <w:sz w:val="20"/>
                <w:szCs w:val="20"/>
              </w:rPr>
              <w:t>2 623,7 </w:t>
            </w:r>
          </w:p>
        </w:tc>
        <w:tc>
          <w:tcPr>
            <w:tcW w:w="716" w:type="pct"/>
            <w:tcBorders>
              <w:top w:val="nil"/>
              <w:left w:val="nil"/>
              <w:bottom w:val="single" w:sz="4" w:space="0" w:color="auto"/>
              <w:right w:val="single" w:sz="12" w:space="0" w:color="auto"/>
            </w:tcBorders>
            <w:shd w:val="clear" w:color="auto" w:fill="auto"/>
            <w:noWrap/>
            <w:vAlign w:val="center"/>
            <w:hideMark/>
          </w:tcPr>
          <w:p w:rsidR="002B44EF" w:rsidRPr="00184BF1" w:rsidRDefault="002B44EF" w:rsidP="00011676">
            <w:pPr>
              <w:ind w:firstLine="89"/>
              <w:jc w:val="center"/>
              <w:rPr>
                <w:rFonts w:ascii="Calibri" w:hAnsi="Calibri"/>
                <w:color w:val="000000"/>
                <w:sz w:val="20"/>
                <w:szCs w:val="20"/>
              </w:rPr>
            </w:pPr>
            <w:r w:rsidRPr="00184BF1">
              <w:rPr>
                <w:rFonts w:ascii="Calibri" w:hAnsi="Calibri"/>
                <w:color w:val="000000"/>
                <w:sz w:val="20"/>
                <w:szCs w:val="20"/>
              </w:rPr>
              <w:t>2 963,1 </w:t>
            </w:r>
          </w:p>
        </w:tc>
      </w:tr>
      <w:tr w:rsidR="002B44EF" w:rsidRPr="00784920" w:rsidTr="00011676">
        <w:trPr>
          <w:trHeight w:val="315"/>
        </w:trPr>
        <w:tc>
          <w:tcPr>
            <w:tcW w:w="1638" w:type="pct"/>
            <w:tcBorders>
              <w:top w:val="nil"/>
              <w:left w:val="single" w:sz="12" w:space="0" w:color="auto"/>
              <w:bottom w:val="single" w:sz="12" w:space="0" w:color="auto"/>
              <w:right w:val="single" w:sz="4" w:space="0" w:color="auto"/>
            </w:tcBorders>
            <w:shd w:val="clear" w:color="auto" w:fill="auto"/>
            <w:noWrap/>
            <w:vAlign w:val="bottom"/>
            <w:hideMark/>
          </w:tcPr>
          <w:p w:rsidR="002B44EF" w:rsidRPr="00184BF1" w:rsidRDefault="002B44EF" w:rsidP="00011676">
            <w:pPr>
              <w:ind w:firstLine="54"/>
              <w:jc w:val="left"/>
              <w:rPr>
                <w:rFonts w:ascii="Calibri" w:hAnsi="Calibri"/>
                <w:color w:val="000000"/>
                <w:sz w:val="20"/>
                <w:szCs w:val="20"/>
              </w:rPr>
            </w:pPr>
            <w:r w:rsidRPr="00184BF1">
              <w:rPr>
                <w:rFonts w:ascii="Calibri" w:hAnsi="Calibri"/>
                <w:color w:val="000000"/>
                <w:sz w:val="20"/>
                <w:szCs w:val="20"/>
              </w:rPr>
              <w:t>Koncentrace zpracování mléka</w:t>
            </w:r>
          </w:p>
        </w:tc>
        <w:tc>
          <w:tcPr>
            <w:tcW w:w="468" w:type="pct"/>
            <w:tcBorders>
              <w:top w:val="nil"/>
              <w:left w:val="nil"/>
              <w:bottom w:val="single" w:sz="12" w:space="0" w:color="auto"/>
              <w:right w:val="single" w:sz="4" w:space="0" w:color="auto"/>
            </w:tcBorders>
            <w:shd w:val="clear" w:color="auto" w:fill="D9D9D9" w:themeFill="background1" w:themeFillShade="D9"/>
            <w:noWrap/>
            <w:vAlign w:val="bottom"/>
            <w:hideMark/>
          </w:tcPr>
          <w:p w:rsidR="002B44EF" w:rsidRPr="00184BF1" w:rsidRDefault="002B44EF" w:rsidP="00011676">
            <w:pPr>
              <w:ind w:left="-94" w:firstLine="89"/>
              <w:jc w:val="center"/>
              <w:rPr>
                <w:rFonts w:ascii="Calibri" w:hAnsi="Calibri"/>
                <w:color w:val="000000"/>
                <w:sz w:val="20"/>
                <w:szCs w:val="20"/>
              </w:rPr>
            </w:pPr>
            <w:r w:rsidRPr="00184BF1">
              <w:rPr>
                <w:rFonts w:ascii="Calibri" w:hAnsi="Calibri"/>
                <w:color w:val="000000"/>
                <w:sz w:val="20"/>
                <w:szCs w:val="20"/>
              </w:rPr>
              <w:t>624</w:t>
            </w:r>
          </w:p>
        </w:tc>
        <w:tc>
          <w:tcPr>
            <w:tcW w:w="379" w:type="pct"/>
            <w:tcBorders>
              <w:top w:val="nil"/>
              <w:left w:val="nil"/>
              <w:bottom w:val="single" w:sz="12" w:space="0" w:color="auto"/>
              <w:right w:val="single" w:sz="4" w:space="0" w:color="auto"/>
            </w:tcBorders>
            <w:shd w:val="clear" w:color="auto" w:fill="D9D9D9" w:themeFill="background1" w:themeFillShade="D9"/>
            <w:noWrap/>
            <w:vAlign w:val="bottom"/>
            <w:hideMark/>
          </w:tcPr>
          <w:p w:rsidR="002B44EF" w:rsidRPr="00184BF1" w:rsidRDefault="002B44EF" w:rsidP="00011676">
            <w:pPr>
              <w:ind w:left="-94" w:firstLine="89"/>
              <w:jc w:val="center"/>
              <w:rPr>
                <w:rFonts w:ascii="Calibri" w:hAnsi="Calibri"/>
                <w:color w:val="000000"/>
                <w:sz w:val="20"/>
                <w:szCs w:val="20"/>
              </w:rPr>
            </w:pPr>
            <w:r w:rsidRPr="00184BF1">
              <w:rPr>
                <w:rFonts w:ascii="Calibri" w:hAnsi="Calibri"/>
                <w:color w:val="000000"/>
                <w:sz w:val="20"/>
                <w:szCs w:val="20"/>
              </w:rPr>
              <w:t>613</w:t>
            </w:r>
          </w:p>
        </w:tc>
        <w:tc>
          <w:tcPr>
            <w:tcW w:w="541" w:type="pct"/>
            <w:tcBorders>
              <w:top w:val="nil"/>
              <w:left w:val="nil"/>
              <w:bottom w:val="single" w:sz="12" w:space="0" w:color="auto"/>
              <w:right w:val="single" w:sz="4" w:space="0" w:color="auto"/>
            </w:tcBorders>
            <w:shd w:val="clear" w:color="auto" w:fill="auto"/>
            <w:noWrap/>
            <w:vAlign w:val="center"/>
            <w:hideMark/>
          </w:tcPr>
          <w:p w:rsidR="002B44EF" w:rsidRPr="00184BF1" w:rsidRDefault="002B44EF" w:rsidP="00011676">
            <w:pPr>
              <w:ind w:left="-94" w:firstLine="89"/>
              <w:jc w:val="center"/>
              <w:rPr>
                <w:rFonts w:ascii="Calibri" w:hAnsi="Calibri"/>
                <w:color w:val="000000"/>
                <w:sz w:val="20"/>
                <w:szCs w:val="20"/>
              </w:rPr>
            </w:pPr>
            <w:r w:rsidRPr="00184BF1">
              <w:rPr>
                <w:rFonts w:ascii="Calibri" w:hAnsi="Calibri"/>
                <w:color w:val="000000"/>
                <w:sz w:val="20"/>
                <w:szCs w:val="20"/>
              </w:rPr>
              <w:t> 38</w:t>
            </w:r>
          </w:p>
        </w:tc>
        <w:tc>
          <w:tcPr>
            <w:tcW w:w="650" w:type="pct"/>
            <w:tcBorders>
              <w:top w:val="nil"/>
              <w:left w:val="nil"/>
              <w:bottom w:val="single" w:sz="12" w:space="0" w:color="auto"/>
              <w:right w:val="single" w:sz="4" w:space="0" w:color="auto"/>
            </w:tcBorders>
            <w:shd w:val="clear" w:color="auto" w:fill="auto"/>
            <w:noWrap/>
            <w:vAlign w:val="center"/>
            <w:hideMark/>
          </w:tcPr>
          <w:p w:rsidR="002B44EF" w:rsidRPr="00184BF1" w:rsidRDefault="002B44EF" w:rsidP="00011676">
            <w:pPr>
              <w:ind w:left="-94" w:firstLine="89"/>
              <w:jc w:val="center"/>
              <w:rPr>
                <w:rFonts w:ascii="Calibri" w:hAnsi="Calibri"/>
                <w:color w:val="000000"/>
                <w:sz w:val="20"/>
                <w:szCs w:val="20"/>
              </w:rPr>
            </w:pPr>
            <w:r w:rsidRPr="00184BF1">
              <w:rPr>
                <w:rFonts w:ascii="Calibri" w:hAnsi="Calibri"/>
                <w:color w:val="000000"/>
                <w:sz w:val="20"/>
                <w:szCs w:val="20"/>
              </w:rPr>
              <w:t>42 </w:t>
            </w:r>
          </w:p>
        </w:tc>
        <w:tc>
          <w:tcPr>
            <w:tcW w:w="608" w:type="pct"/>
            <w:tcBorders>
              <w:top w:val="nil"/>
              <w:left w:val="nil"/>
              <w:bottom w:val="single" w:sz="12" w:space="0" w:color="auto"/>
              <w:right w:val="single" w:sz="4" w:space="0" w:color="auto"/>
            </w:tcBorders>
            <w:shd w:val="clear" w:color="auto" w:fill="auto"/>
            <w:noWrap/>
            <w:vAlign w:val="center"/>
            <w:hideMark/>
          </w:tcPr>
          <w:p w:rsidR="002B44EF" w:rsidRPr="00184BF1" w:rsidRDefault="002B44EF" w:rsidP="00011676">
            <w:pPr>
              <w:ind w:left="-94" w:firstLine="89"/>
              <w:jc w:val="center"/>
              <w:rPr>
                <w:rFonts w:ascii="Calibri" w:hAnsi="Calibri"/>
                <w:color w:val="000000"/>
                <w:sz w:val="20"/>
                <w:szCs w:val="20"/>
              </w:rPr>
            </w:pPr>
            <w:r w:rsidRPr="00184BF1">
              <w:rPr>
                <w:rFonts w:ascii="Calibri" w:hAnsi="Calibri"/>
                <w:color w:val="000000"/>
                <w:sz w:val="20"/>
                <w:szCs w:val="20"/>
              </w:rPr>
              <w:t>2 366,2 </w:t>
            </w:r>
          </w:p>
        </w:tc>
        <w:tc>
          <w:tcPr>
            <w:tcW w:w="716" w:type="pct"/>
            <w:tcBorders>
              <w:top w:val="nil"/>
              <w:left w:val="nil"/>
              <w:bottom w:val="single" w:sz="12" w:space="0" w:color="auto"/>
              <w:right w:val="single" w:sz="12" w:space="0" w:color="auto"/>
            </w:tcBorders>
            <w:shd w:val="clear" w:color="auto" w:fill="auto"/>
            <w:noWrap/>
            <w:vAlign w:val="center"/>
            <w:hideMark/>
          </w:tcPr>
          <w:p w:rsidR="002B44EF" w:rsidRPr="00184BF1" w:rsidRDefault="002B44EF" w:rsidP="00011676">
            <w:pPr>
              <w:ind w:left="-94" w:firstLine="89"/>
              <w:jc w:val="center"/>
              <w:rPr>
                <w:rFonts w:ascii="Calibri" w:hAnsi="Calibri"/>
                <w:color w:val="000000"/>
                <w:sz w:val="20"/>
                <w:szCs w:val="20"/>
              </w:rPr>
            </w:pPr>
            <w:r w:rsidRPr="00184BF1">
              <w:rPr>
                <w:rFonts w:ascii="Calibri" w:hAnsi="Calibri"/>
                <w:color w:val="000000"/>
                <w:sz w:val="20"/>
                <w:szCs w:val="20"/>
              </w:rPr>
              <w:t>2 525,0 </w:t>
            </w:r>
          </w:p>
        </w:tc>
      </w:tr>
    </w:tbl>
    <w:p w:rsidR="002B44EF" w:rsidRDefault="002B44EF" w:rsidP="002B44EF">
      <w:pPr>
        <w:tabs>
          <w:tab w:val="left" w:pos="142"/>
          <w:tab w:val="left" w:pos="284"/>
        </w:tabs>
        <w:spacing w:before="0" w:after="120" w:line="240" w:lineRule="atLeast"/>
        <w:ind w:firstLine="0"/>
        <w:rPr>
          <w:rFonts w:asciiTheme="minorHAnsi" w:hAnsiTheme="minorHAnsi" w:cs="Arial"/>
          <w:sz w:val="18"/>
          <w:szCs w:val="18"/>
        </w:rPr>
      </w:pPr>
      <w:r w:rsidRPr="00B72DCE">
        <w:rPr>
          <w:rFonts w:asciiTheme="minorHAnsi" w:hAnsiTheme="minorHAnsi" w:cs="Arial"/>
          <w:sz w:val="18"/>
          <w:szCs w:val="18"/>
        </w:rPr>
        <w:t>Pramen: vlastní výpočty na základě dat SZIF</w:t>
      </w:r>
    </w:p>
    <w:p w:rsidR="002B44EF" w:rsidRPr="00ED5B63" w:rsidRDefault="002B44EF" w:rsidP="002B44EF">
      <w:pPr>
        <w:ind w:firstLine="0"/>
        <w:rPr>
          <w:rFonts w:asciiTheme="minorHAnsi" w:hAnsiTheme="minorHAnsi" w:cs="Arial"/>
          <w:sz w:val="22"/>
          <w:szCs w:val="22"/>
        </w:rPr>
      </w:pPr>
      <w:r w:rsidRPr="00ED5B63">
        <w:rPr>
          <w:rFonts w:asciiTheme="minorHAnsi" w:hAnsiTheme="minorHAnsi" w:cs="Arial"/>
          <w:sz w:val="22"/>
          <w:szCs w:val="22"/>
        </w:rPr>
        <w:t>V organizaci prodeje syrového mléka bylo</w:t>
      </w:r>
      <w:r>
        <w:rPr>
          <w:rFonts w:asciiTheme="minorHAnsi" w:hAnsiTheme="minorHAnsi" w:cs="Arial"/>
          <w:sz w:val="22"/>
          <w:szCs w:val="22"/>
        </w:rPr>
        <w:t xml:space="preserve"> v roce </w:t>
      </w:r>
      <w:r w:rsidRPr="00ED5B63">
        <w:rPr>
          <w:rFonts w:asciiTheme="minorHAnsi" w:hAnsiTheme="minorHAnsi" w:cs="Arial"/>
          <w:sz w:val="22"/>
          <w:szCs w:val="22"/>
        </w:rPr>
        <w:t xml:space="preserve">2017 </w:t>
      </w:r>
      <w:r>
        <w:rPr>
          <w:rFonts w:asciiTheme="minorHAnsi" w:hAnsiTheme="minorHAnsi" w:cs="Arial"/>
          <w:sz w:val="22"/>
          <w:szCs w:val="22"/>
        </w:rPr>
        <w:t>ze </w:t>
      </w:r>
      <w:r w:rsidRPr="00ED5B63">
        <w:rPr>
          <w:rFonts w:asciiTheme="minorHAnsi" w:hAnsiTheme="minorHAnsi" w:cs="Arial"/>
          <w:sz w:val="22"/>
          <w:szCs w:val="22"/>
        </w:rPr>
        <w:t>75</w:t>
      </w:r>
      <w:r>
        <w:rPr>
          <w:rFonts w:asciiTheme="minorHAnsi" w:hAnsiTheme="minorHAnsi" w:cs="Arial"/>
          <w:sz w:val="22"/>
          <w:szCs w:val="22"/>
        </w:rPr>
        <w:t xml:space="preserve"> registrovaných</w:t>
      </w:r>
      <w:r w:rsidRPr="00ED5B63">
        <w:rPr>
          <w:rFonts w:asciiTheme="minorHAnsi" w:hAnsiTheme="minorHAnsi" w:cs="Arial"/>
          <w:sz w:val="22"/>
          <w:szCs w:val="22"/>
        </w:rPr>
        <w:t> prvních kupujících</w:t>
      </w:r>
      <w:r>
        <w:rPr>
          <w:rFonts w:asciiTheme="minorHAnsi" w:hAnsiTheme="minorHAnsi" w:cs="Arial"/>
          <w:sz w:val="22"/>
          <w:szCs w:val="22"/>
        </w:rPr>
        <w:t xml:space="preserve"> celkem 29 odbytových družstev, jejichž p</w:t>
      </w:r>
      <w:r w:rsidRPr="00ED5B63">
        <w:rPr>
          <w:rFonts w:asciiTheme="minorHAnsi" w:hAnsiTheme="minorHAnsi" w:cs="Arial"/>
          <w:sz w:val="22"/>
          <w:szCs w:val="22"/>
        </w:rPr>
        <w:t>rostřednictvím bylo prodáno 5</w:t>
      </w:r>
      <w:r>
        <w:rPr>
          <w:rFonts w:asciiTheme="minorHAnsi" w:hAnsiTheme="minorHAnsi" w:cs="Arial"/>
          <w:sz w:val="22"/>
          <w:szCs w:val="22"/>
        </w:rPr>
        <w:t>8</w:t>
      </w:r>
      <w:r w:rsidRPr="00ED5B63">
        <w:rPr>
          <w:rFonts w:asciiTheme="minorHAnsi" w:hAnsiTheme="minorHAnsi" w:cs="Arial"/>
          <w:sz w:val="22"/>
          <w:szCs w:val="22"/>
        </w:rPr>
        <w:t xml:space="preserve"> % </w:t>
      </w:r>
      <w:r>
        <w:rPr>
          <w:rFonts w:asciiTheme="minorHAnsi" w:hAnsiTheme="minorHAnsi" w:cs="Arial"/>
          <w:sz w:val="22"/>
          <w:szCs w:val="22"/>
        </w:rPr>
        <w:t xml:space="preserve">mléka </w:t>
      </w:r>
      <w:r w:rsidRPr="00ED5B63">
        <w:rPr>
          <w:rFonts w:asciiTheme="minorHAnsi" w:hAnsiTheme="minorHAnsi" w:cs="Arial"/>
          <w:sz w:val="22"/>
          <w:szCs w:val="22"/>
        </w:rPr>
        <w:t xml:space="preserve">dodaného k dalšímu zpracování. Část odbytových družstev jsou současně uznanými organizacemi producentů. V souladu s nařízením EP a Rady (EU) č. 261/2012 ze dne 14. března 2012 působilo </w:t>
      </w:r>
      <w:r>
        <w:rPr>
          <w:rFonts w:asciiTheme="minorHAnsi" w:hAnsiTheme="minorHAnsi" w:cs="Arial"/>
          <w:sz w:val="22"/>
          <w:szCs w:val="22"/>
        </w:rPr>
        <w:t xml:space="preserve">v roce </w:t>
      </w:r>
      <w:r w:rsidRPr="00ED5B63">
        <w:rPr>
          <w:rFonts w:asciiTheme="minorHAnsi" w:hAnsiTheme="minorHAnsi" w:cs="Arial"/>
          <w:sz w:val="22"/>
          <w:szCs w:val="22"/>
        </w:rPr>
        <w:t>2017 v ČR 19 uznaných organizací producentů mléka. Prostřednictvím uznaných organizací producentů bylo prodáno</w:t>
      </w:r>
      <w:r>
        <w:rPr>
          <w:rFonts w:asciiTheme="minorHAnsi" w:hAnsiTheme="minorHAnsi" w:cs="Arial"/>
          <w:sz w:val="22"/>
          <w:szCs w:val="22"/>
        </w:rPr>
        <w:t> </w:t>
      </w:r>
      <w:r w:rsidRPr="00ED5B63">
        <w:rPr>
          <w:rFonts w:asciiTheme="minorHAnsi" w:hAnsiTheme="minorHAnsi" w:cs="Arial"/>
          <w:sz w:val="22"/>
          <w:szCs w:val="22"/>
        </w:rPr>
        <w:t>6</w:t>
      </w:r>
      <w:r>
        <w:rPr>
          <w:rFonts w:asciiTheme="minorHAnsi" w:hAnsiTheme="minorHAnsi" w:cs="Arial"/>
          <w:sz w:val="22"/>
          <w:szCs w:val="22"/>
        </w:rPr>
        <w:t>4</w:t>
      </w:r>
      <w:r w:rsidRPr="00ED5B63">
        <w:rPr>
          <w:rFonts w:asciiTheme="minorHAnsi" w:hAnsiTheme="minorHAnsi" w:cs="Arial"/>
          <w:sz w:val="22"/>
          <w:szCs w:val="22"/>
        </w:rPr>
        <w:t> %</w:t>
      </w:r>
      <w:r>
        <w:rPr>
          <w:rFonts w:asciiTheme="minorHAnsi" w:hAnsiTheme="minorHAnsi" w:cs="Arial"/>
          <w:sz w:val="22"/>
          <w:szCs w:val="22"/>
        </w:rPr>
        <w:t> </w:t>
      </w:r>
      <w:r w:rsidRPr="00ED5B63">
        <w:rPr>
          <w:rFonts w:asciiTheme="minorHAnsi" w:hAnsiTheme="minorHAnsi" w:cs="Arial"/>
          <w:sz w:val="22"/>
          <w:szCs w:val="22"/>
        </w:rPr>
        <w:t>množství dodaného k dalšímu zpracování.</w:t>
      </w:r>
      <w:r>
        <w:rPr>
          <w:rFonts w:asciiTheme="minorHAnsi" w:hAnsiTheme="minorHAnsi" w:cs="Arial"/>
          <w:sz w:val="22"/>
          <w:szCs w:val="22"/>
        </w:rPr>
        <w:t xml:space="preserve"> </w:t>
      </w:r>
      <w:r w:rsidRPr="00ED5B63">
        <w:rPr>
          <w:rFonts w:asciiTheme="minorHAnsi" w:hAnsiTheme="minorHAnsi" w:cs="Arial"/>
          <w:sz w:val="22"/>
          <w:szCs w:val="22"/>
        </w:rPr>
        <w:t xml:space="preserve">Největší objem prodeje zprostředkovala </w:t>
      </w:r>
      <w:r>
        <w:rPr>
          <w:rFonts w:asciiTheme="minorHAnsi" w:hAnsiTheme="minorHAnsi" w:cs="Arial"/>
          <w:sz w:val="22"/>
          <w:szCs w:val="22"/>
        </w:rPr>
        <w:t xml:space="preserve">tři </w:t>
      </w:r>
      <w:r w:rsidRPr="00ED5B63">
        <w:rPr>
          <w:rFonts w:asciiTheme="minorHAnsi" w:hAnsiTheme="minorHAnsi" w:cs="Arial"/>
          <w:sz w:val="22"/>
          <w:szCs w:val="22"/>
        </w:rPr>
        <w:t>družstva</w:t>
      </w:r>
      <w:r w:rsidRPr="004D3BF7">
        <w:rPr>
          <w:rStyle w:val="Znakapoznpodarou"/>
          <w:rFonts w:asciiTheme="minorHAnsi" w:hAnsiTheme="minorHAnsi" w:cs="Arial"/>
          <w:sz w:val="22"/>
          <w:szCs w:val="22"/>
        </w:rPr>
        <w:footnoteReference w:id="10"/>
      </w:r>
      <w:r w:rsidRPr="00ED5B63">
        <w:rPr>
          <w:rFonts w:asciiTheme="minorHAnsi" w:hAnsiTheme="minorHAnsi" w:cs="Arial"/>
          <w:sz w:val="22"/>
          <w:szCs w:val="22"/>
        </w:rPr>
        <w:t xml:space="preserve"> v celkové výši 37,1 % objemu ke zpracování. </w:t>
      </w:r>
      <w:r>
        <w:rPr>
          <w:rFonts w:asciiTheme="minorHAnsi" w:hAnsiTheme="minorHAnsi" w:cs="Arial"/>
          <w:sz w:val="22"/>
          <w:szCs w:val="22"/>
        </w:rPr>
        <w:t xml:space="preserve">Prodej zbylého množství (26,8 % objemu) byl zprostředkován 26 odbytovými družstvy (MZe, 2018, b). Z dat SZIF je zřejmé, že jejich podíly </w:t>
      </w:r>
      <w:r w:rsidRPr="00ED5B63">
        <w:rPr>
          <w:rFonts w:asciiTheme="minorHAnsi" w:hAnsiTheme="minorHAnsi" w:cs="Arial"/>
          <w:sz w:val="22"/>
          <w:szCs w:val="22"/>
        </w:rPr>
        <w:t xml:space="preserve">se pohybovaly </w:t>
      </w:r>
      <w:r>
        <w:rPr>
          <w:rFonts w:asciiTheme="minorHAnsi" w:hAnsiTheme="minorHAnsi" w:cs="Arial"/>
          <w:sz w:val="22"/>
          <w:szCs w:val="22"/>
        </w:rPr>
        <w:t xml:space="preserve">okolo 6,6 % u čtvrtého největšího </w:t>
      </w:r>
      <w:r w:rsidR="00F94352">
        <w:rPr>
          <w:rFonts w:asciiTheme="minorHAnsi" w:hAnsiTheme="minorHAnsi" w:cs="Arial"/>
          <w:sz w:val="22"/>
          <w:szCs w:val="22"/>
        </w:rPr>
        <w:t xml:space="preserve">družstva </w:t>
      </w:r>
      <w:r>
        <w:rPr>
          <w:rFonts w:asciiTheme="minorHAnsi" w:hAnsiTheme="minorHAnsi" w:cs="Arial"/>
          <w:sz w:val="22"/>
          <w:szCs w:val="22"/>
        </w:rPr>
        <w:t xml:space="preserve">a </w:t>
      </w:r>
      <w:r w:rsidRPr="00ED5B63">
        <w:rPr>
          <w:rFonts w:asciiTheme="minorHAnsi" w:hAnsiTheme="minorHAnsi" w:cs="Arial"/>
          <w:sz w:val="22"/>
          <w:szCs w:val="22"/>
        </w:rPr>
        <w:t>od 2,7 % až k podílům blížícím se nule</w:t>
      </w:r>
      <w:r>
        <w:rPr>
          <w:rFonts w:asciiTheme="minorHAnsi" w:hAnsiTheme="minorHAnsi" w:cs="Arial"/>
          <w:sz w:val="22"/>
          <w:szCs w:val="22"/>
        </w:rPr>
        <w:t xml:space="preserve"> u ostatních</w:t>
      </w:r>
      <w:r w:rsidRPr="00ED5B63">
        <w:rPr>
          <w:rFonts w:asciiTheme="minorHAnsi" w:hAnsiTheme="minorHAnsi" w:cs="Arial"/>
          <w:sz w:val="22"/>
          <w:szCs w:val="22"/>
        </w:rPr>
        <w:t xml:space="preserve">. Vliv malých </w:t>
      </w:r>
      <w:r>
        <w:rPr>
          <w:rFonts w:asciiTheme="minorHAnsi" w:hAnsiTheme="minorHAnsi" w:cs="Arial"/>
          <w:sz w:val="22"/>
          <w:szCs w:val="22"/>
        </w:rPr>
        <w:t xml:space="preserve">odbytových organizací </w:t>
      </w:r>
      <w:r w:rsidRPr="00ED5B63">
        <w:rPr>
          <w:rFonts w:asciiTheme="minorHAnsi" w:hAnsiTheme="minorHAnsi" w:cs="Arial"/>
          <w:sz w:val="22"/>
          <w:szCs w:val="22"/>
        </w:rPr>
        <w:t>na</w:t>
      </w:r>
      <w:r>
        <w:rPr>
          <w:rFonts w:asciiTheme="minorHAnsi" w:hAnsiTheme="minorHAnsi" w:cs="Arial"/>
          <w:sz w:val="22"/>
          <w:szCs w:val="22"/>
        </w:rPr>
        <w:t xml:space="preserve"> vyrovnání tržní síly na trhu s mlékem </w:t>
      </w:r>
      <w:r w:rsidRPr="00ED5B63">
        <w:rPr>
          <w:rFonts w:asciiTheme="minorHAnsi" w:hAnsiTheme="minorHAnsi" w:cs="Arial"/>
          <w:sz w:val="22"/>
          <w:szCs w:val="22"/>
        </w:rPr>
        <w:t>je</w:t>
      </w:r>
      <w:r>
        <w:rPr>
          <w:rFonts w:asciiTheme="minorHAnsi" w:hAnsiTheme="minorHAnsi" w:cs="Arial"/>
          <w:sz w:val="22"/>
          <w:szCs w:val="22"/>
        </w:rPr>
        <w:t xml:space="preserve"> velmi diskutabilní.</w:t>
      </w:r>
    </w:p>
    <w:p w:rsidR="002B44EF" w:rsidRPr="002C1A6F" w:rsidRDefault="002B44EF" w:rsidP="002B44EF">
      <w:pPr>
        <w:ind w:firstLine="0"/>
        <w:rPr>
          <w:rFonts w:asciiTheme="minorHAnsi" w:hAnsiTheme="minorHAnsi" w:cs="Arial"/>
          <w:sz w:val="22"/>
          <w:szCs w:val="22"/>
        </w:rPr>
      </w:pPr>
      <w:r w:rsidRPr="002C1A6F">
        <w:rPr>
          <w:rFonts w:asciiTheme="minorHAnsi" w:hAnsiTheme="minorHAnsi" w:cs="Arial"/>
          <w:sz w:val="22"/>
          <w:szCs w:val="22"/>
        </w:rPr>
        <w:t>Společná organizace trhu však umožňuje výrazně vyšší koncentraci prodeje</w:t>
      </w:r>
      <w:r>
        <w:rPr>
          <w:rFonts w:asciiTheme="minorHAnsi" w:hAnsiTheme="minorHAnsi" w:cs="Arial"/>
          <w:sz w:val="22"/>
          <w:szCs w:val="22"/>
        </w:rPr>
        <w:t>,</w:t>
      </w:r>
      <w:r w:rsidRPr="002C1A6F">
        <w:rPr>
          <w:rFonts w:asciiTheme="minorHAnsi" w:hAnsiTheme="minorHAnsi" w:cs="Arial"/>
          <w:sz w:val="22"/>
          <w:szCs w:val="22"/>
        </w:rPr>
        <w:t xml:space="preserve"> než reálně fungovala na trhu v roce 201</w:t>
      </w:r>
      <w:r>
        <w:rPr>
          <w:rFonts w:asciiTheme="minorHAnsi" w:hAnsiTheme="minorHAnsi" w:cs="Arial"/>
          <w:sz w:val="22"/>
          <w:szCs w:val="22"/>
        </w:rPr>
        <w:t>7</w:t>
      </w:r>
      <w:r w:rsidRPr="002C1A6F">
        <w:rPr>
          <w:rFonts w:asciiTheme="minorHAnsi" w:hAnsiTheme="minorHAnsi" w:cs="Arial"/>
          <w:sz w:val="22"/>
          <w:szCs w:val="22"/>
        </w:rPr>
        <w:t xml:space="preserve"> a v předchozích letech, a to prodej až 33 % národní výroby jedním sdružením výrobců. Byl proveden teoretický výpočet, který simuloval navýšení prodávaného množství největší uznané organizace výrobců na maximální povolené množství mléka na úkor neorganizovaných zemědělských výrobců. Taková organizace prodeje by znamenala hodnotu HHI 1 585, což je střední stupeň koncentrace. </w:t>
      </w:r>
      <w:r w:rsidRPr="002C1A6F">
        <w:rPr>
          <w:rFonts w:asciiTheme="minorHAnsi" w:hAnsiTheme="minorHAnsi" w:cs="Arial"/>
          <w:b/>
          <w:sz w:val="22"/>
          <w:szCs w:val="22"/>
        </w:rPr>
        <w:t>Simulovaná HHI prodeje mléka (1 585) by tak byla již značně silnou protiváhou k reálné hodnotě HHI zpracovatelů (613).</w:t>
      </w:r>
      <w:r w:rsidRPr="002C1A6F">
        <w:rPr>
          <w:rFonts w:asciiTheme="minorHAnsi" w:hAnsiTheme="minorHAnsi" w:cs="Arial"/>
          <w:sz w:val="22"/>
          <w:szCs w:val="22"/>
        </w:rPr>
        <w:t xml:space="preserve"> </w:t>
      </w:r>
    </w:p>
    <w:p w:rsidR="002A6FFF" w:rsidRPr="00240BBB" w:rsidRDefault="002A6FFF" w:rsidP="002A6FFF">
      <w:pPr>
        <w:ind w:firstLine="0"/>
        <w:rPr>
          <w:rFonts w:asciiTheme="minorHAnsi" w:hAnsiTheme="minorHAnsi" w:cs="Arial"/>
          <w:b/>
          <w:sz w:val="22"/>
          <w:szCs w:val="22"/>
        </w:rPr>
      </w:pPr>
      <w:r>
        <w:rPr>
          <w:rFonts w:asciiTheme="minorHAnsi" w:hAnsiTheme="minorHAnsi" w:cs="Arial"/>
          <w:b/>
          <w:sz w:val="22"/>
          <w:szCs w:val="22"/>
        </w:rPr>
        <w:t>Z</w:t>
      </w:r>
      <w:r w:rsidRPr="00240BBB">
        <w:rPr>
          <w:rFonts w:asciiTheme="minorHAnsi" w:hAnsiTheme="minorHAnsi" w:cs="Arial"/>
          <w:b/>
          <w:sz w:val="22"/>
          <w:szCs w:val="22"/>
        </w:rPr>
        <w:t>elenina</w:t>
      </w:r>
    </w:p>
    <w:p w:rsidR="002A6FFF" w:rsidRPr="002C1A6F" w:rsidRDefault="002A6FFF" w:rsidP="0021663D">
      <w:pPr>
        <w:tabs>
          <w:tab w:val="left" w:pos="0"/>
        </w:tabs>
        <w:ind w:firstLine="0"/>
        <w:rPr>
          <w:rFonts w:asciiTheme="minorHAnsi" w:hAnsiTheme="minorHAnsi" w:cs="Arial"/>
          <w:sz w:val="22"/>
          <w:szCs w:val="22"/>
        </w:rPr>
      </w:pPr>
      <w:r w:rsidRPr="002C1A6F">
        <w:rPr>
          <w:rFonts w:asciiTheme="minorHAnsi" w:hAnsiTheme="minorHAnsi" w:cs="Arial"/>
          <w:sz w:val="22"/>
          <w:szCs w:val="22"/>
        </w:rPr>
        <w:t>Struktura zelinářských podniků se během let mění</w:t>
      </w:r>
      <w:r>
        <w:rPr>
          <w:rFonts w:asciiTheme="minorHAnsi" w:hAnsiTheme="minorHAnsi" w:cs="Arial"/>
          <w:sz w:val="22"/>
          <w:szCs w:val="22"/>
        </w:rPr>
        <w:t xml:space="preserve">. </w:t>
      </w:r>
      <w:r w:rsidRPr="002C1A6F">
        <w:rPr>
          <w:rFonts w:asciiTheme="minorHAnsi" w:hAnsiTheme="minorHAnsi" w:cs="Arial"/>
          <w:sz w:val="22"/>
          <w:szCs w:val="22"/>
        </w:rPr>
        <w:t>V posledních letech dochází ke koncentraci produkce zeleniny u větších výrobců a k ukončení pěstování menších producentů, kteří nejsou napojeni na mezinárodní maloobchodní řetězce. Větší pěstitelé jsou většinou specializováni na produkci určitých druhů zeleniny. Mají nakoupené speciální vybavení a vybudovány modernější skladovací prostory. Menší zelináři se specializují spíše na prodej ze dvora a farmářské trhy. V České republice také hraje velkou roli samozásobení. Podle odhadů ZUČM bylo v roce 2017 cca 13,5 % z celkové produkce vypěstované zeleniny u nás určeno pro vlastní spotřebu.</w:t>
      </w:r>
      <w:r>
        <w:rPr>
          <w:rFonts w:asciiTheme="minorHAnsi" w:hAnsiTheme="minorHAnsi" w:cs="Arial"/>
          <w:sz w:val="22"/>
          <w:szCs w:val="22"/>
        </w:rPr>
        <w:t xml:space="preserve"> K 16. 5. 2018 bylo registrováno celkem 23 uznaných organizací producentů. Podíl produkce obchodované organizacemi producentů </w:t>
      </w:r>
      <w:r w:rsidR="00F94352">
        <w:rPr>
          <w:rFonts w:asciiTheme="minorHAnsi" w:hAnsiTheme="minorHAnsi" w:cs="Arial"/>
          <w:sz w:val="22"/>
          <w:szCs w:val="22"/>
        </w:rPr>
        <w:t xml:space="preserve">dosahoval </w:t>
      </w:r>
      <w:r>
        <w:rPr>
          <w:rFonts w:asciiTheme="minorHAnsi" w:hAnsiTheme="minorHAnsi" w:cs="Arial"/>
          <w:sz w:val="22"/>
          <w:szCs w:val="22"/>
        </w:rPr>
        <w:t>v roce 2016 a 2017 téměř 40 %.</w:t>
      </w:r>
    </w:p>
    <w:p w:rsidR="002A6FFF" w:rsidRPr="0021663D" w:rsidRDefault="002A6FFF" w:rsidP="0021663D">
      <w:pPr>
        <w:spacing w:before="0" w:after="200"/>
        <w:ind w:firstLine="0"/>
        <w:contextualSpacing/>
        <w:rPr>
          <w:rFonts w:asciiTheme="minorHAnsi" w:hAnsiTheme="minorHAnsi" w:cs="Arial"/>
          <w:b/>
          <w:sz w:val="22"/>
          <w:szCs w:val="22"/>
        </w:rPr>
      </w:pPr>
      <w:r w:rsidRPr="0021663D">
        <w:rPr>
          <w:rFonts w:asciiTheme="minorHAnsi" w:hAnsiTheme="minorHAnsi" w:cs="Arial"/>
          <w:b/>
          <w:sz w:val="22"/>
          <w:szCs w:val="22"/>
        </w:rPr>
        <w:t>Vývoj počtu pěstitelů tržní zeleniny v ČR</w:t>
      </w:r>
    </w:p>
    <w:tbl>
      <w:tblPr>
        <w:tblW w:w="5041" w:type="pct"/>
        <w:tblCellMar>
          <w:left w:w="70" w:type="dxa"/>
          <w:right w:w="70" w:type="dxa"/>
        </w:tblCellMar>
        <w:tblLook w:val="04A0"/>
      </w:tblPr>
      <w:tblGrid>
        <w:gridCol w:w="1788"/>
        <w:gridCol w:w="957"/>
        <w:gridCol w:w="875"/>
        <w:gridCol w:w="1022"/>
        <w:gridCol w:w="1022"/>
        <w:gridCol w:w="1020"/>
        <w:gridCol w:w="875"/>
        <w:gridCol w:w="875"/>
        <w:gridCol w:w="854"/>
      </w:tblGrid>
      <w:tr w:rsidR="002A6FFF" w:rsidRPr="00160B6A" w:rsidTr="0021663D">
        <w:trPr>
          <w:trHeight w:val="150"/>
        </w:trPr>
        <w:tc>
          <w:tcPr>
            <w:tcW w:w="963" w:type="pct"/>
            <w:vMerge w:val="restart"/>
            <w:tcBorders>
              <w:top w:val="single" w:sz="12" w:space="0" w:color="auto"/>
              <w:left w:val="single" w:sz="12" w:space="0" w:color="auto"/>
              <w:bottom w:val="single" w:sz="8" w:space="0" w:color="000000"/>
              <w:right w:val="single" w:sz="8" w:space="0" w:color="auto"/>
            </w:tcBorders>
            <w:shd w:val="clear" w:color="auto" w:fill="auto"/>
            <w:noWrap/>
            <w:vAlign w:val="bottom"/>
            <w:hideMark/>
          </w:tcPr>
          <w:p w:rsidR="002A6FFF" w:rsidRPr="0021663D" w:rsidRDefault="002A6FFF" w:rsidP="0021663D">
            <w:pPr>
              <w:spacing w:before="0" w:line="240" w:lineRule="atLeast"/>
              <w:ind w:firstLine="0"/>
              <w:jc w:val="right"/>
              <w:rPr>
                <w:rFonts w:asciiTheme="minorHAnsi" w:hAnsiTheme="minorHAnsi"/>
                <w:b/>
                <w:bCs/>
                <w:sz w:val="20"/>
                <w:szCs w:val="20"/>
              </w:rPr>
            </w:pPr>
            <w:r w:rsidRPr="0021663D">
              <w:rPr>
                <w:rFonts w:asciiTheme="minorHAnsi" w:hAnsiTheme="minorHAnsi"/>
                <w:b/>
                <w:bCs/>
                <w:sz w:val="20"/>
                <w:szCs w:val="20"/>
              </w:rPr>
              <w:t>ha</w:t>
            </w:r>
          </w:p>
        </w:tc>
        <w:tc>
          <w:tcPr>
            <w:tcW w:w="4037" w:type="pct"/>
            <w:gridSpan w:val="8"/>
            <w:tcBorders>
              <w:top w:val="single" w:sz="12" w:space="0" w:color="auto"/>
              <w:left w:val="single" w:sz="8" w:space="0" w:color="auto"/>
              <w:bottom w:val="nil"/>
              <w:right w:val="single" w:sz="12" w:space="0" w:color="auto"/>
            </w:tcBorders>
            <w:shd w:val="clear" w:color="auto" w:fill="auto"/>
            <w:noWrap/>
            <w:vAlign w:val="bottom"/>
            <w:hideMark/>
          </w:tcPr>
          <w:p w:rsidR="002A6FFF" w:rsidRPr="0021663D" w:rsidRDefault="002A6FFF" w:rsidP="0021663D">
            <w:pPr>
              <w:spacing w:before="0" w:line="240" w:lineRule="atLeast"/>
              <w:ind w:firstLine="0"/>
              <w:jc w:val="center"/>
              <w:rPr>
                <w:rFonts w:asciiTheme="minorHAnsi" w:hAnsiTheme="minorHAnsi"/>
                <w:b/>
                <w:bCs/>
                <w:sz w:val="20"/>
                <w:szCs w:val="20"/>
              </w:rPr>
            </w:pPr>
            <w:r w:rsidRPr="0021663D">
              <w:rPr>
                <w:rFonts w:asciiTheme="minorHAnsi" w:hAnsiTheme="minorHAnsi"/>
                <w:b/>
                <w:bCs/>
                <w:sz w:val="20"/>
                <w:szCs w:val="20"/>
              </w:rPr>
              <w:t>Počet pěstitelů</w:t>
            </w:r>
          </w:p>
        </w:tc>
      </w:tr>
      <w:tr w:rsidR="002A6FFF" w:rsidRPr="00160B6A" w:rsidTr="0021663D">
        <w:trPr>
          <w:trHeight w:val="267"/>
        </w:trPr>
        <w:tc>
          <w:tcPr>
            <w:tcW w:w="963" w:type="pct"/>
            <w:vMerge/>
            <w:tcBorders>
              <w:top w:val="double" w:sz="6" w:space="0" w:color="auto"/>
              <w:left w:val="single" w:sz="12" w:space="0" w:color="auto"/>
              <w:bottom w:val="single" w:sz="8" w:space="0" w:color="000000"/>
              <w:right w:val="single" w:sz="8" w:space="0" w:color="auto"/>
            </w:tcBorders>
            <w:vAlign w:val="center"/>
            <w:hideMark/>
          </w:tcPr>
          <w:p w:rsidR="002A6FFF" w:rsidRPr="0021663D" w:rsidRDefault="002A6FFF" w:rsidP="0021663D">
            <w:pPr>
              <w:spacing w:before="0" w:line="240" w:lineRule="atLeast"/>
              <w:ind w:firstLine="0"/>
              <w:jc w:val="left"/>
              <w:rPr>
                <w:rFonts w:asciiTheme="minorHAnsi" w:hAnsiTheme="minorHAnsi"/>
                <w:b/>
                <w:bCs/>
                <w:sz w:val="20"/>
                <w:szCs w:val="20"/>
              </w:rPr>
            </w:pPr>
          </w:p>
        </w:tc>
        <w:tc>
          <w:tcPr>
            <w:tcW w:w="515" w:type="pct"/>
            <w:tcBorders>
              <w:top w:val="single" w:sz="4" w:space="0" w:color="auto"/>
              <w:left w:val="single" w:sz="8" w:space="0" w:color="auto"/>
              <w:bottom w:val="single" w:sz="8" w:space="0" w:color="auto"/>
              <w:right w:val="single" w:sz="4" w:space="0" w:color="auto"/>
            </w:tcBorders>
            <w:shd w:val="clear" w:color="auto" w:fill="auto"/>
            <w:noWrap/>
            <w:vAlign w:val="bottom"/>
            <w:hideMark/>
          </w:tcPr>
          <w:p w:rsidR="002A6FFF" w:rsidRPr="0021663D" w:rsidRDefault="002A6FFF" w:rsidP="0021663D">
            <w:pPr>
              <w:spacing w:before="0" w:line="240" w:lineRule="atLeast"/>
              <w:ind w:firstLine="0"/>
              <w:jc w:val="right"/>
              <w:rPr>
                <w:rFonts w:asciiTheme="minorHAnsi" w:hAnsiTheme="minorHAnsi"/>
                <w:b/>
                <w:bCs/>
                <w:sz w:val="20"/>
                <w:szCs w:val="20"/>
              </w:rPr>
            </w:pPr>
            <w:r w:rsidRPr="0021663D">
              <w:rPr>
                <w:rFonts w:asciiTheme="minorHAnsi" w:hAnsiTheme="minorHAnsi"/>
                <w:b/>
                <w:bCs/>
                <w:sz w:val="20"/>
                <w:szCs w:val="20"/>
              </w:rPr>
              <w:t>2009</w:t>
            </w:r>
          </w:p>
        </w:tc>
        <w:tc>
          <w:tcPr>
            <w:tcW w:w="471" w:type="pct"/>
            <w:tcBorders>
              <w:top w:val="single" w:sz="4" w:space="0" w:color="auto"/>
              <w:left w:val="nil"/>
              <w:bottom w:val="single" w:sz="8" w:space="0" w:color="auto"/>
              <w:right w:val="single" w:sz="4" w:space="0" w:color="auto"/>
            </w:tcBorders>
            <w:shd w:val="clear" w:color="auto" w:fill="auto"/>
            <w:noWrap/>
            <w:vAlign w:val="bottom"/>
            <w:hideMark/>
          </w:tcPr>
          <w:p w:rsidR="002A6FFF" w:rsidRPr="0021663D" w:rsidRDefault="002A6FFF" w:rsidP="0021663D">
            <w:pPr>
              <w:spacing w:before="0" w:line="240" w:lineRule="atLeast"/>
              <w:ind w:firstLine="0"/>
              <w:jc w:val="right"/>
              <w:rPr>
                <w:rFonts w:asciiTheme="minorHAnsi" w:hAnsiTheme="minorHAnsi"/>
                <w:b/>
                <w:bCs/>
                <w:sz w:val="20"/>
                <w:szCs w:val="20"/>
              </w:rPr>
            </w:pPr>
            <w:r w:rsidRPr="0021663D">
              <w:rPr>
                <w:rFonts w:asciiTheme="minorHAnsi" w:hAnsiTheme="minorHAnsi"/>
                <w:b/>
                <w:bCs/>
                <w:sz w:val="20"/>
                <w:szCs w:val="20"/>
              </w:rPr>
              <w:t>2010</w:t>
            </w:r>
          </w:p>
        </w:tc>
        <w:tc>
          <w:tcPr>
            <w:tcW w:w="550" w:type="pct"/>
            <w:tcBorders>
              <w:top w:val="single" w:sz="4" w:space="0" w:color="auto"/>
              <w:left w:val="nil"/>
              <w:bottom w:val="single" w:sz="8" w:space="0" w:color="auto"/>
              <w:right w:val="single" w:sz="4" w:space="0" w:color="auto"/>
            </w:tcBorders>
            <w:shd w:val="clear" w:color="auto" w:fill="auto"/>
            <w:noWrap/>
            <w:vAlign w:val="bottom"/>
            <w:hideMark/>
          </w:tcPr>
          <w:p w:rsidR="002A6FFF" w:rsidRPr="0021663D" w:rsidRDefault="002A6FFF" w:rsidP="0021663D">
            <w:pPr>
              <w:spacing w:before="0" w:line="240" w:lineRule="atLeast"/>
              <w:ind w:firstLine="0"/>
              <w:jc w:val="right"/>
              <w:rPr>
                <w:rFonts w:asciiTheme="minorHAnsi" w:hAnsiTheme="minorHAnsi"/>
                <w:b/>
                <w:bCs/>
                <w:sz w:val="20"/>
                <w:szCs w:val="20"/>
              </w:rPr>
            </w:pPr>
            <w:r w:rsidRPr="0021663D">
              <w:rPr>
                <w:rFonts w:asciiTheme="minorHAnsi" w:hAnsiTheme="minorHAnsi"/>
                <w:b/>
                <w:bCs/>
                <w:sz w:val="20"/>
                <w:szCs w:val="20"/>
              </w:rPr>
              <w:t>2011</w:t>
            </w:r>
          </w:p>
        </w:tc>
        <w:tc>
          <w:tcPr>
            <w:tcW w:w="550" w:type="pct"/>
            <w:tcBorders>
              <w:top w:val="single" w:sz="4" w:space="0" w:color="auto"/>
              <w:left w:val="nil"/>
              <w:bottom w:val="single" w:sz="8" w:space="0" w:color="auto"/>
              <w:right w:val="single" w:sz="4" w:space="0" w:color="auto"/>
            </w:tcBorders>
            <w:shd w:val="clear" w:color="auto" w:fill="auto"/>
            <w:noWrap/>
            <w:vAlign w:val="bottom"/>
            <w:hideMark/>
          </w:tcPr>
          <w:p w:rsidR="002A6FFF" w:rsidRPr="0021663D" w:rsidRDefault="002A6FFF" w:rsidP="0021663D">
            <w:pPr>
              <w:spacing w:before="0" w:line="240" w:lineRule="atLeast"/>
              <w:ind w:firstLine="0"/>
              <w:jc w:val="right"/>
              <w:rPr>
                <w:rFonts w:asciiTheme="minorHAnsi" w:hAnsiTheme="minorHAnsi"/>
                <w:b/>
                <w:bCs/>
                <w:sz w:val="20"/>
                <w:szCs w:val="20"/>
              </w:rPr>
            </w:pPr>
            <w:r w:rsidRPr="0021663D">
              <w:rPr>
                <w:rFonts w:asciiTheme="minorHAnsi" w:hAnsiTheme="minorHAnsi"/>
                <w:b/>
                <w:bCs/>
                <w:sz w:val="20"/>
                <w:szCs w:val="20"/>
              </w:rPr>
              <w:t>2012</w:t>
            </w:r>
          </w:p>
        </w:tc>
        <w:tc>
          <w:tcPr>
            <w:tcW w:w="549" w:type="pct"/>
            <w:tcBorders>
              <w:top w:val="single" w:sz="4" w:space="0" w:color="auto"/>
              <w:left w:val="nil"/>
              <w:bottom w:val="single" w:sz="8" w:space="0" w:color="auto"/>
              <w:right w:val="single" w:sz="4" w:space="0" w:color="auto"/>
            </w:tcBorders>
            <w:shd w:val="clear" w:color="auto" w:fill="auto"/>
            <w:noWrap/>
            <w:vAlign w:val="bottom"/>
            <w:hideMark/>
          </w:tcPr>
          <w:p w:rsidR="002A6FFF" w:rsidRPr="0021663D" w:rsidRDefault="002A6FFF" w:rsidP="0021663D">
            <w:pPr>
              <w:spacing w:before="0" w:line="240" w:lineRule="atLeast"/>
              <w:ind w:firstLine="0"/>
              <w:jc w:val="right"/>
              <w:rPr>
                <w:rFonts w:asciiTheme="minorHAnsi" w:hAnsiTheme="minorHAnsi"/>
                <w:b/>
                <w:bCs/>
                <w:sz w:val="20"/>
                <w:szCs w:val="20"/>
              </w:rPr>
            </w:pPr>
            <w:r w:rsidRPr="0021663D">
              <w:rPr>
                <w:rFonts w:asciiTheme="minorHAnsi" w:hAnsiTheme="minorHAnsi"/>
                <w:b/>
                <w:bCs/>
                <w:sz w:val="20"/>
                <w:szCs w:val="20"/>
              </w:rPr>
              <w:t>2013</w:t>
            </w:r>
          </w:p>
        </w:tc>
        <w:tc>
          <w:tcPr>
            <w:tcW w:w="471" w:type="pct"/>
            <w:tcBorders>
              <w:top w:val="single" w:sz="4" w:space="0" w:color="auto"/>
              <w:left w:val="nil"/>
              <w:bottom w:val="single" w:sz="8" w:space="0" w:color="auto"/>
              <w:right w:val="single" w:sz="4" w:space="0" w:color="auto"/>
            </w:tcBorders>
            <w:shd w:val="clear" w:color="auto" w:fill="auto"/>
            <w:noWrap/>
            <w:vAlign w:val="bottom"/>
            <w:hideMark/>
          </w:tcPr>
          <w:p w:rsidR="002A6FFF" w:rsidRPr="0021663D" w:rsidRDefault="002A6FFF" w:rsidP="0021663D">
            <w:pPr>
              <w:spacing w:before="0" w:line="240" w:lineRule="atLeast"/>
              <w:ind w:firstLine="0"/>
              <w:jc w:val="right"/>
              <w:rPr>
                <w:rFonts w:asciiTheme="minorHAnsi" w:hAnsiTheme="minorHAnsi"/>
                <w:b/>
                <w:bCs/>
                <w:sz w:val="20"/>
                <w:szCs w:val="20"/>
              </w:rPr>
            </w:pPr>
            <w:r w:rsidRPr="0021663D">
              <w:rPr>
                <w:rFonts w:asciiTheme="minorHAnsi" w:hAnsiTheme="minorHAnsi"/>
                <w:b/>
                <w:bCs/>
                <w:sz w:val="20"/>
                <w:szCs w:val="20"/>
              </w:rPr>
              <w:t>2014</w:t>
            </w:r>
          </w:p>
        </w:tc>
        <w:tc>
          <w:tcPr>
            <w:tcW w:w="471" w:type="pct"/>
            <w:tcBorders>
              <w:top w:val="single" w:sz="4" w:space="0" w:color="auto"/>
              <w:left w:val="nil"/>
              <w:bottom w:val="single" w:sz="8" w:space="0" w:color="auto"/>
              <w:right w:val="single" w:sz="4" w:space="0" w:color="auto"/>
            </w:tcBorders>
            <w:shd w:val="clear" w:color="auto" w:fill="auto"/>
            <w:noWrap/>
            <w:vAlign w:val="bottom"/>
            <w:hideMark/>
          </w:tcPr>
          <w:p w:rsidR="002A6FFF" w:rsidRPr="0021663D" w:rsidRDefault="002A6FFF" w:rsidP="0021663D">
            <w:pPr>
              <w:spacing w:before="0" w:line="240" w:lineRule="atLeast"/>
              <w:ind w:firstLine="0"/>
              <w:jc w:val="right"/>
              <w:rPr>
                <w:rFonts w:asciiTheme="minorHAnsi" w:hAnsiTheme="minorHAnsi"/>
                <w:b/>
                <w:bCs/>
                <w:sz w:val="20"/>
                <w:szCs w:val="20"/>
              </w:rPr>
            </w:pPr>
            <w:r w:rsidRPr="0021663D">
              <w:rPr>
                <w:rFonts w:asciiTheme="minorHAnsi" w:hAnsiTheme="minorHAnsi"/>
                <w:b/>
                <w:bCs/>
                <w:sz w:val="20"/>
                <w:szCs w:val="20"/>
              </w:rPr>
              <w:t>2015</w:t>
            </w:r>
          </w:p>
        </w:tc>
        <w:tc>
          <w:tcPr>
            <w:tcW w:w="459" w:type="pct"/>
            <w:tcBorders>
              <w:top w:val="single" w:sz="4" w:space="0" w:color="auto"/>
              <w:left w:val="nil"/>
              <w:bottom w:val="single" w:sz="8" w:space="0" w:color="auto"/>
              <w:right w:val="single" w:sz="12" w:space="0" w:color="auto"/>
            </w:tcBorders>
            <w:shd w:val="clear" w:color="auto" w:fill="auto"/>
            <w:noWrap/>
            <w:vAlign w:val="bottom"/>
            <w:hideMark/>
          </w:tcPr>
          <w:p w:rsidR="002A6FFF" w:rsidRPr="0021663D" w:rsidRDefault="002A6FFF" w:rsidP="0021663D">
            <w:pPr>
              <w:spacing w:before="0" w:line="240" w:lineRule="atLeast"/>
              <w:ind w:firstLine="0"/>
              <w:jc w:val="right"/>
              <w:rPr>
                <w:rFonts w:asciiTheme="minorHAnsi" w:hAnsiTheme="minorHAnsi"/>
                <w:b/>
                <w:bCs/>
                <w:sz w:val="20"/>
                <w:szCs w:val="20"/>
              </w:rPr>
            </w:pPr>
            <w:r w:rsidRPr="0021663D">
              <w:rPr>
                <w:rFonts w:asciiTheme="minorHAnsi" w:hAnsiTheme="minorHAnsi"/>
                <w:b/>
                <w:bCs/>
                <w:sz w:val="20"/>
                <w:szCs w:val="20"/>
              </w:rPr>
              <w:t>2016</w:t>
            </w:r>
          </w:p>
        </w:tc>
      </w:tr>
      <w:tr w:rsidR="002A6FFF" w:rsidRPr="00160B6A" w:rsidTr="0021663D">
        <w:trPr>
          <w:trHeight w:val="270"/>
        </w:trPr>
        <w:tc>
          <w:tcPr>
            <w:tcW w:w="963" w:type="pct"/>
            <w:tcBorders>
              <w:top w:val="nil"/>
              <w:left w:val="single" w:sz="12" w:space="0" w:color="auto"/>
              <w:bottom w:val="single" w:sz="4" w:space="0" w:color="auto"/>
              <w:right w:val="single" w:sz="8" w:space="0" w:color="auto"/>
            </w:tcBorders>
            <w:shd w:val="clear" w:color="auto" w:fill="auto"/>
            <w:noWrap/>
            <w:vAlign w:val="bottom"/>
            <w:hideMark/>
          </w:tcPr>
          <w:p w:rsidR="002A6FFF" w:rsidRPr="0021663D" w:rsidRDefault="002A6FFF" w:rsidP="0021663D">
            <w:pPr>
              <w:spacing w:before="0" w:line="240" w:lineRule="atLeast"/>
              <w:ind w:firstLine="0"/>
              <w:jc w:val="right"/>
              <w:rPr>
                <w:rFonts w:asciiTheme="minorHAnsi" w:hAnsiTheme="minorHAnsi"/>
                <w:b/>
                <w:bCs/>
                <w:sz w:val="20"/>
                <w:szCs w:val="20"/>
              </w:rPr>
            </w:pPr>
            <w:r w:rsidRPr="0021663D">
              <w:rPr>
                <w:rFonts w:asciiTheme="minorHAnsi" w:hAnsiTheme="minorHAnsi"/>
                <w:b/>
                <w:bCs/>
                <w:sz w:val="20"/>
                <w:szCs w:val="20"/>
              </w:rPr>
              <w:t>100,1 - a více</w:t>
            </w:r>
          </w:p>
        </w:tc>
        <w:tc>
          <w:tcPr>
            <w:tcW w:w="515" w:type="pct"/>
            <w:tcBorders>
              <w:top w:val="nil"/>
              <w:left w:val="single" w:sz="8" w:space="0" w:color="auto"/>
              <w:bottom w:val="single" w:sz="4" w:space="0" w:color="auto"/>
              <w:right w:val="single" w:sz="4" w:space="0" w:color="auto"/>
            </w:tcBorders>
            <w:shd w:val="clear" w:color="auto" w:fill="auto"/>
            <w:noWrap/>
            <w:vAlign w:val="bottom"/>
            <w:hideMark/>
          </w:tcPr>
          <w:p w:rsidR="002A6FFF" w:rsidRPr="0021663D" w:rsidRDefault="002A6FFF" w:rsidP="0021663D">
            <w:pPr>
              <w:spacing w:before="0" w:line="240" w:lineRule="atLeast"/>
              <w:ind w:firstLine="0"/>
              <w:jc w:val="right"/>
              <w:rPr>
                <w:rFonts w:asciiTheme="minorHAnsi" w:hAnsiTheme="minorHAnsi"/>
                <w:sz w:val="20"/>
                <w:szCs w:val="20"/>
              </w:rPr>
            </w:pPr>
            <w:r w:rsidRPr="0021663D">
              <w:rPr>
                <w:rFonts w:asciiTheme="minorHAnsi" w:hAnsiTheme="minorHAnsi"/>
                <w:sz w:val="20"/>
                <w:szCs w:val="20"/>
              </w:rPr>
              <w:t>23</w:t>
            </w:r>
          </w:p>
        </w:tc>
        <w:tc>
          <w:tcPr>
            <w:tcW w:w="471" w:type="pct"/>
            <w:tcBorders>
              <w:top w:val="nil"/>
              <w:left w:val="nil"/>
              <w:bottom w:val="single" w:sz="4" w:space="0" w:color="auto"/>
              <w:right w:val="single" w:sz="4" w:space="0" w:color="auto"/>
            </w:tcBorders>
            <w:shd w:val="clear" w:color="auto" w:fill="auto"/>
            <w:noWrap/>
            <w:vAlign w:val="bottom"/>
            <w:hideMark/>
          </w:tcPr>
          <w:p w:rsidR="002A6FFF" w:rsidRPr="0021663D" w:rsidRDefault="002A6FFF" w:rsidP="0021663D">
            <w:pPr>
              <w:spacing w:before="0" w:line="240" w:lineRule="atLeast"/>
              <w:ind w:firstLine="0"/>
              <w:jc w:val="right"/>
              <w:rPr>
                <w:rFonts w:asciiTheme="minorHAnsi" w:hAnsiTheme="minorHAnsi"/>
                <w:sz w:val="20"/>
                <w:szCs w:val="20"/>
              </w:rPr>
            </w:pPr>
            <w:r w:rsidRPr="0021663D">
              <w:rPr>
                <w:rFonts w:asciiTheme="minorHAnsi" w:hAnsiTheme="minorHAnsi"/>
                <w:sz w:val="20"/>
                <w:szCs w:val="20"/>
              </w:rPr>
              <w:t>22</w:t>
            </w:r>
          </w:p>
        </w:tc>
        <w:tc>
          <w:tcPr>
            <w:tcW w:w="550" w:type="pct"/>
            <w:tcBorders>
              <w:top w:val="nil"/>
              <w:left w:val="nil"/>
              <w:bottom w:val="single" w:sz="4" w:space="0" w:color="auto"/>
              <w:right w:val="single" w:sz="4" w:space="0" w:color="auto"/>
            </w:tcBorders>
            <w:shd w:val="clear" w:color="auto" w:fill="auto"/>
            <w:noWrap/>
            <w:vAlign w:val="bottom"/>
            <w:hideMark/>
          </w:tcPr>
          <w:p w:rsidR="002A6FFF" w:rsidRPr="0021663D" w:rsidRDefault="002A6FFF" w:rsidP="0021663D">
            <w:pPr>
              <w:spacing w:before="0" w:line="240" w:lineRule="atLeast"/>
              <w:ind w:firstLine="0"/>
              <w:jc w:val="right"/>
              <w:rPr>
                <w:rFonts w:asciiTheme="minorHAnsi" w:hAnsiTheme="minorHAnsi"/>
                <w:sz w:val="20"/>
                <w:szCs w:val="20"/>
              </w:rPr>
            </w:pPr>
            <w:r w:rsidRPr="0021663D">
              <w:rPr>
                <w:rFonts w:asciiTheme="minorHAnsi" w:hAnsiTheme="minorHAnsi"/>
                <w:sz w:val="20"/>
                <w:szCs w:val="20"/>
              </w:rPr>
              <w:t>23</w:t>
            </w:r>
          </w:p>
        </w:tc>
        <w:tc>
          <w:tcPr>
            <w:tcW w:w="550" w:type="pct"/>
            <w:tcBorders>
              <w:top w:val="nil"/>
              <w:left w:val="nil"/>
              <w:bottom w:val="single" w:sz="4" w:space="0" w:color="auto"/>
              <w:right w:val="single" w:sz="4" w:space="0" w:color="auto"/>
            </w:tcBorders>
            <w:shd w:val="clear" w:color="auto" w:fill="auto"/>
            <w:noWrap/>
            <w:vAlign w:val="bottom"/>
            <w:hideMark/>
          </w:tcPr>
          <w:p w:rsidR="002A6FFF" w:rsidRPr="0021663D" w:rsidRDefault="002A6FFF" w:rsidP="0021663D">
            <w:pPr>
              <w:spacing w:before="0" w:line="240" w:lineRule="atLeast"/>
              <w:ind w:firstLine="0"/>
              <w:jc w:val="right"/>
              <w:rPr>
                <w:rFonts w:asciiTheme="minorHAnsi" w:hAnsiTheme="minorHAnsi"/>
                <w:sz w:val="20"/>
                <w:szCs w:val="20"/>
              </w:rPr>
            </w:pPr>
            <w:r w:rsidRPr="0021663D">
              <w:rPr>
                <w:rFonts w:asciiTheme="minorHAnsi" w:hAnsiTheme="minorHAnsi"/>
                <w:sz w:val="20"/>
                <w:szCs w:val="20"/>
              </w:rPr>
              <w:t>19</w:t>
            </w:r>
          </w:p>
        </w:tc>
        <w:tc>
          <w:tcPr>
            <w:tcW w:w="549" w:type="pct"/>
            <w:tcBorders>
              <w:top w:val="nil"/>
              <w:left w:val="nil"/>
              <w:bottom w:val="single" w:sz="4" w:space="0" w:color="auto"/>
              <w:right w:val="single" w:sz="4" w:space="0" w:color="auto"/>
            </w:tcBorders>
            <w:shd w:val="clear" w:color="auto" w:fill="auto"/>
            <w:noWrap/>
            <w:vAlign w:val="bottom"/>
            <w:hideMark/>
          </w:tcPr>
          <w:p w:rsidR="002A6FFF" w:rsidRPr="0021663D" w:rsidRDefault="002A6FFF" w:rsidP="0021663D">
            <w:pPr>
              <w:spacing w:before="0" w:line="240" w:lineRule="atLeast"/>
              <w:ind w:firstLine="0"/>
              <w:jc w:val="right"/>
              <w:rPr>
                <w:rFonts w:asciiTheme="minorHAnsi" w:hAnsiTheme="minorHAnsi"/>
                <w:sz w:val="20"/>
                <w:szCs w:val="20"/>
              </w:rPr>
            </w:pPr>
            <w:r w:rsidRPr="0021663D">
              <w:rPr>
                <w:rFonts w:asciiTheme="minorHAnsi" w:hAnsiTheme="minorHAnsi"/>
                <w:sz w:val="20"/>
                <w:szCs w:val="20"/>
              </w:rPr>
              <w:t>20</w:t>
            </w:r>
          </w:p>
        </w:tc>
        <w:tc>
          <w:tcPr>
            <w:tcW w:w="471" w:type="pct"/>
            <w:tcBorders>
              <w:top w:val="nil"/>
              <w:left w:val="nil"/>
              <w:bottom w:val="single" w:sz="4" w:space="0" w:color="auto"/>
              <w:right w:val="single" w:sz="4" w:space="0" w:color="auto"/>
            </w:tcBorders>
            <w:shd w:val="clear" w:color="auto" w:fill="auto"/>
            <w:noWrap/>
            <w:vAlign w:val="bottom"/>
            <w:hideMark/>
          </w:tcPr>
          <w:p w:rsidR="002A6FFF" w:rsidRPr="0021663D" w:rsidRDefault="002A6FFF" w:rsidP="0021663D">
            <w:pPr>
              <w:spacing w:before="0" w:line="240" w:lineRule="atLeast"/>
              <w:ind w:firstLine="0"/>
              <w:jc w:val="right"/>
              <w:rPr>
                <w:rFonts w:asciiTheme="minorHAnsi" w:hAnsiTheme="minorHAnsi"/>
                <w:sz w:val="20"/>
                <w:szCs w:val="20"/>
              </w:rPr>
            </w:pPr>
            <w:r w:rsidRPr="0021663D">
              <w:rPr>
                <w:rFonts w:asciiTheme="minorHAnsi" w:hAnsiTheme="minorHAnsi"/>
                <w:sz w:val="20"/>
                <w:szCs w:val="20"/>
              </w:rPr>
              <w:t>21</w:t>
            </w:r>
          </w:p>
        </w:tc>
        <w:tc>
          <w:tcPr>
            <w:tcW w:w="471" w:type="pct"/>
            <w:tcBorders>
              <w:top w:val="nil"/>
              <w:left w:val="nil"/>
              <w:bottom w:val="single" w:sz="4" w:space="0" w:color="auto"/>
              <w:right w:val="single" w:sz="4" w:space="0" w:color="auto"/>
            </w:tcBorders>
            <w:shd w:val="clear" w:color="auto" w:fill="auto"/>
            <w:noWrap/>
            <w:vAlign w:val="bottom"/>
            <w:hideMark/>
          </w:tcPr>
          <w:p w:rsidR="002A6FFF" w:rsidRPr="0021663D" w:rsidRDefault="002A6FFF" w:rsidP="0021663D">
            <w:pPr>
              <w:spacing w:before="0" w:line="240" w:lineRule="atLeast"/>
              <w:ind w:firstLine="0"/>
              <w:jc w:val="right"/>
              <w:rPr>
                <w:rFonts w:asciiTheme="minorHAnsi" w:hAnsiTheme="minorHAnsi"/>
                <w:sz w:val="20"/>
                <w:szCs w:val="20"/>
              </w:rPr>
            </w:pPr>
            <w:r w:rsidRPr="0021663D">
              <w:rPr>
                <w:rFonts w:asciiTheme="minorHAnsi" w:hAnsiTheme="minorHAnsi"/>
                <w:sz w:val="20"/>
                <w:szCs w:val="20"/>
              </w:rPr>
              <w:t>21</w:t>
            </w:r>
          </w:p>
        </w:tc>
        <w:tc>
          <w:tcPr>
            <w:tcW w:w="459" w:type="pct"/>
            <w:tcBorders>
              <w:top w:val="nil"/>
              <w:left w:val="nil"/>
              <w:bottom w:val="single" w:sz="4" w:space="0" w:color="auto"/>
              <w:right w:val="single" w:sz="12" w:space="0" w:color="auto"/>
            </w:tcBorders>
            <w:shd w:val="clear" w:color="auto" w:fill="auto"/>
            <w:noWrap/>
            <w:vAlign w:val="bottom"/>
            <w:hideMark/>
          </w:tcPr>
          <w:p w:rsidR="002A6FFF" w:rsidRPr="0021663D" w:rsidRDefault="002A6FFF" w:rsidP="0021663D">
            <w:pPr>
              <w:spacing w:before="0" w:line="240" w:lineRule="atLeast"/>
              <w:ind w:firstLine="0"/>
              <w:jc w:val="right"/>
              <w:rPr>
                <w:rFonts w:asciiTheme="minorHAnsi" w:hAnsiTheme="minorHAnsi"/>
                <w:sz w:val="20"/>
                <w:szCs w:val="20"/>
              </w:rPr>
            </w:pPr>
            <w:r w:rsidRPr="0021663D">
              <w:rPr>
                <w:rFonts w:asciiTheme="minorHAnsi" w:hAnsiTheme="minorHAnsi"/>
                <w:sz w:val="20"/>
                <w:szCs w:val="20"/>
              </w:rPr>
              <w:t>29</w:t>
            </w:r>
          </w:p>
        </w:tc>
      </w:tr>
      <w:tr w:rsidR="002A6FFF" w:rsidRPr="00160B6A" w:rsidTr="0021663D">
        <w:trPr>
          <w:trHeight w:val="115"/>
        </w:trPr>
        <w:tc>
          <w:tcPr>
            <w:tcW w:w="963" w:type="pct"/>
            <w:tcBorders>
              <w:top w:val="nil"/>
              <w:left w:val="single" w:sz="12" w:space="0" w:color="auto"/>
              <w:bottom w:val="single" w:sz="4" w:space="0" w:color="auto"/>
              <w:right w:val="single" w:sz="8" w:space="0" w:color="auto"/>
            </w:tcBorders>
            <w:shd w:val="clear" w:color="auto" w:fill="auto"/>
            <w:noWrap/>
            <w:vAlign w:val="bottom"/>
            <w:hideMark/>
          </w:tcPr>
          <w:p w:rsidR="002A6FFF" w:rsidRPr="0021663D" w:rsidRDefault="002A6FFF" w:rsidP="0021663D">
            <w:pPr>
              <w:spacing w:before="0" w:line="240" w:lineRule="atLeast"/>
              <w:ind w:firstLine="0"/>
              <w:jc w:val="right"/>
              <w:rPr>
                <w:rFonts w:asciiTheme="minorHAnsi" w:hAnsiTheme="minorHAnsi"/>
                <w:b/>
                <w:bCs/>
                <w:sz w:val="20"/>
                <w:szCs w:val="20"/>
              </w:rPr>
            </w:pPr>
            <w:r w:rsidRPr="0021663D">
              <w:rPr>
                <w:rFonts w:asciiTheme="minorHAnsi" w:hAnsiTheme="minorHAnsi"/>
                <w:b/>
                <w:bCs/>
                <w:sz w:val="20"/>
                <w:szCs w:val="20"/>
              </w:rPr>
              <w:t>50,1 - 100</w:t>
            </w:r>
          </w:p>
        </w:tc>
        <w:tc>
          <w:tcPr>
            <w:tcW w:w="515" w:type="pct"/>
            <w:tcBorders>
              <w:top w:val="nil"/>
              <w:left w:val="single" w:sz="8" w:space="0" w:color="auto"/>
              <w:bottom w:val="single" w:sz="4" w:space="0" w:color="auto"/>
              <w:right w:val="single" w:sz="4" w:space="0" w:color="auto"/>
            </w:tcBorders>
            <w:shd w:val="clear" w:color="auto" w:fill="auto"/>
            <w:noWrap/>
            <w:vAlign w:val="bottom"/>
            <w:hideMark/>
          </w:tcPr>
          <w:p w:rsidR="002A6FFF" w:rsidRPr="0021663D" w:rsidRDefault="002A6FFF" w:rsidP="0021663D">
            <w:pPr>
              <w:spacing w:before="0" w:line="240" w:lineRule="atLeast"/>
              <w:ind w:firstLine="0"/>
              <w:jc w:val="right"/>
              <w:rPr>
                <w:rFonts w:asciiTheme="minorHAnsi" w:hAnsiTheme="minorHAnsi"/>
                <w:sz w:val="20"/>
                <w:szCs w:val="20"/>
              </w:rPr>
            </w:pPr>
            <w:r w:rsidRPr="0021663D">
              <w:rPr>
                <w:rFonts w:asciiTheme="minorHAnsi" w:hAnsiTheme="minorHAnsi"/>
                <w:sz w:val="20"/>
                <w:szCs w:val="20"/>
              </w:rPr>
              <w:t>22</w:t>
            </w:r>
          </w:p>
        </w:tc>
        <w:tc>
          <w:tcPr>
            <w:tcW w:w="471" w:type="pct"/>
            <w:tcBorders>
              <w:top w:val="nil"/>
              <w:left w:val="nil"/>
              <w:bottom w:val="single" w:sz="4" w:space="0" w:color="auto"/>
              <w:right w:val="single" w:sz="4" w:space="0" w:color="auto"/>
            </w:tcBorders>
            <w:shd w:val="clear" w:color="auto" w:fill="auto"/>
            <w:noWrap/>
            <w:vAlign w:val="bottom"/>
            <w:hideMark/>
          </w:tcPr>
          <w:p w:rsidR="002A6FFF" w:rsidRPr="0021663D" w:rsidRDefault="002A6FFF" w:rsidP="0021663D">
            <w:pPr>
              <w:spacing w:before="0" w:line="240" w:lineRule="atLeast"/>
              <w:ind w:firstLine="0"/>
              <w:jc w:val="right"/>
              <w:rPr>
                <w:rFonts w:asciiTheme="minorHAnsi" w:hAnsiTheme="minorHAnsi"/>
                <w:sz w:val="20"/>
                <w:szCs w:val="20"/>
              </w:rPr>
            </w:pPr>
            <w:r w:rsidRPr="0021663D">
              <w:rPr>
                <w:rFonts w:asciiTheme="minorHAnsi" w:hAnsiTheme="minorHAnsi"/>
                <w:sz w:val="20"/>
                <w:szCs w:val="20"/>
              </w:rPr>
              <w:t>23</w:t>
            </w:r>
          </w:p>
        </w:tc>
        <w:tc>
          <w:tcPr>
            <w:tcW w:w="550" w:type="pct"/>
            <w:tcBorders>
              <w:top w:val="nil"/>
              <w:left w:val="nil"/>
              <w:bottom w:val="single" w:sz="4" w:space="0" w:color="auto"/>
              <w:right w:val="single" w:sz="4" w:space="0" w:color="auto"/>
            </w:tcBorders>
            <w:shd w:val="clear" w:color="auto" w:fill="auto"/>
            <w:noWrap/>
            <w:vAlign w:val="bottom"/>
            <w:hideMark/>
          </w:tcPr>
          <w:p w:rsidR="002A6FFF" w:rsidRPr="0021663D" w:rsidRDefault="002A6FFF" w:rsidP="0021663D">
            <w:pPr>
              <w:spacing w:before="0" w:line="240" w:lineRule="atLeast"/>
              <w:ind w:firstLine="0"/>
              <w:jc w:val="right"/>
              <w:rPr>
                <w:rFonts w:asciiTheme="minorHAnsi" w:hAnsiTheme="minorHAnsi"/>
                <w:sz w:val="20"/>
                <w:szCs w:val="20"/>
              </w:rPr>
            </w:pPr>
            <w:r w:rsidRPr="0021663D">
              <w:rPr>
                <w:rFonts w:asciiTheme="minorHAnsi" w:hAnsiTheme="minorHAnsi"/>
                <w:sz w:val="20"/>
                <w:szCs w:val="20"/>
              </w:rPr>
              <w:t>22</w:t>
            </w:r>
          </w:p>
        </w:tc>
        <w:tc>
          <w:tcPr>
            <w:tcW w:w="550" w:type="pct"/>
            <w:tcBorders>
              <w:top w:val="nil"/>
              <w:left w:val="nil"/>
              <w:bottom w:val="single" w:sz="4" w:space="0" w:color="auto"/>
              <w:right w:val="single" w:sz="4" w:space="0" w:color="auto"/>
            </w:tcBorders>
            <w:shd w:val="clear" w:color="auto" w:fill="auto"/>
            <w:noWrap/>
            <w:vAlign w:val="bottom"/>
            <w:hideMark/>
          </w:tcPr>
          <w:p w:rsidR="002A6FFF" w:rsidRPr="0021663D" w:rsidRDefault="002A6FFF" w:rsidP="0021663D">
            <w:pPr>
              <w:spacing w:before="0" w:line="240" w:lineRule="atLeast"/>
              <w:ind w:firstLine="0"/>
              <w:jc w:val="right"/>
              <w:rPr>
                <w:rFonts w:asciiTheme="minorHAnsi" w:hAnsiTheme="minorHAnsi"/>
                <w:sz w:val="20"/>
                <w:szCs w:val="20"/>
              </w:rPr>
            </w:pPr>
            <w:r w:rsidRPr="0021663D">
              <w:rPr>
                <w:rFonts w:asciiTheme="minorHAnsi" w:hAnsiTheme="minorHAnsi"/>
                <w:sz w:val="20"/>
                <w:szCs w:val="20"/>
              </w:rPr>
              <w:t>20</w:t>
            </w:r>
          </w:p>
        </w:tc>
        <w:tc>
          <w:tcPr>
            <w:tcW w:w="549" w:type="pct"/>
            <w:tcBorders>
              <w:top w:val="nil"/>
              <w:left w:val="nil"/>
              <w:bottom w:val="single" w:sz="4" w:space="0" w:color="auto"/>
              <w:right w:val="single" w:sz="4" w:space="0" w:color="auto"/>
            </w:tcBorders>
            <w:shd w:val="clear" w:color="auto" w:fill="auto"/>
            <w:noWrap/>
            <w:vAlign w:val="bottom"/>
            <w:hideMark/>
          </w:tcPr>
          <w:p w:rsidR="002A6FFF" w:rsidRPr="0021663D" w:rsidRDefault="002A6FFF" w:rsidP="0021663D">
            <w:pPr>
              <w:spacing w:before="0" w:line="240" w:lineRule="atLeast"/>
              <w:ind w:firstLine="0"/>
              <w:jc w:val="right"/>
              <w:rPr>
                <w:rFonts w:asciiTheme="minorHAnsi" w:hAnsiTheme="minorHAnsi"/>
                <w:sz w:val="20"/>
                <w:szCs w:val="20"/>
              </w:rPr>
            </w:pPr>
            <w:r w:rsidRPr="0021663D">
              <w:rPr>
                <w:rFonts w:asciiTheme="minorHAnsi" w:hAnsiTheme="minorHAnsi"/>
                <w:sz w:val="20"/>
                <w:szCs w:val="20"/>
              </w:rPr>
              <w:t>21</w:t>
            </w:r>
          </w:p>
        </w:tc>
        <w:tc>
          <w:tcPr>
            <w:tcW w:w="471" w:type="pct"/>
            <w:tcBorders>
              <w:top w:val="nil"/>
              <w:left w:val="nil"/>
              <w:bottom w:val="single" w:sz="4" w:space="0" w:color="auto"/>
              <w:right w:val="single" w:sz="4" w:space="0" w:color="auto"/>
            </w:tcBorders>
            <w:shd w:val="clear" w:color="auto" w:fill="auto"/>
            <w:noWrap/>
            <w:vAlign w:val="bottom"/>
            <w:hideMark/>
          </w:tcPr>
          <w:p w:rsidR="002A6FFF" w:rsidRPr="0021663D" w:rsidRDefault="002A6FFF" w:rsidP="0021663D">
            <w:pPr>
              <w:spacing w:before="0" w:line="240" w:lineRule="atLeast"/>
              <w:ind w:firstLine="0"/>
              <w:jc w:val="right"/>
              <w:rPr>
                <w:rFonts w:asciiTheme="minorHAnsi" w:hAnsiTheme="minorHAnsi"/>
                <w:sz w:val="20"/>
                <w:szCs w:val="20"/>
              </w:rPr>
            </w:pPr>
            <w:r w:rsidRPr="0021663D">
              <w:rPr>
                <w:rFonts w:asciiTheme="minorHAnsi" w:hAnsiTheme="minorHAnsi"/>
                <w:sz w:val="20"/>
                <w:szCs w:val="20"/>
              </w:rPr>
              <w:t>20</w:t>
            </w:r>
          </w:p>
        </w:tc>
        <w:tc>
          <w:tcPr>
            <w:tcW w:w="471" w:type="pct"/>
            <w:tcBorders>
              <w:top w:val="nil"/>
              <w:left w:val="nil"/>
              <w:bottom w:val="single" w:sz="4" w:space="0" w:color="auto"/>
              <w:right w:val="single" w:sz="4" w:space="0" w:color="auto"/>
            </w:tcBorders>
            <w:shd w:val="clear" w:color="auto" w:fill="auto"/>
            <w:noWrap/>
            <w:vAlign w:val="bottom"/>
            <w:hideMark/>
          </w:tcPr>
          <w:p w:rsidR="002A6FFF" w:rsidRPr="0021663D" w:rsidRDefault="002A6FFF" w:rsidP="0021663D">
            <w:pPr>
              <w:spacing w:before="0" w:line="240" w:lineRule="atLeast"/>
              <w:ind w:firstLine="0"/>
              <w:jc w:val="right"/>
              <w:rPr>
                <w:rFonts w:asciiTheme="minorHAnsi" w:hAnsiTheme="minorHAnsi"/>
                <w:sz w:val="20"/>
                <w:szCs w:val="20"/>
              </w:rPr>
            </w:pPr>
            <w:r w:rsidRPr="0021663D">
              <w:rPr>
                <w:rFonts w:asciiTheme="minorHAnsi" w:hAnsiTheme="minorHAnsi"/>
                <w:sz w:val="20"/>
                <w:szCs w:val="20"/>
              </w:rPr>
              <w:t>20</w:t>
            </w:r>
          </w:p>
        </w:tc>
        <w:tc>
          <w:tcPr>
            <w:tcW w:w="459" w:type="pct"/>
            <w:tcBorders>
              <w:top w:val="nil"/>
              <w:left w:val="nil"/>
              <w:bottom w:val="single" w:sz="4" w:space="0" w:color="auto"/>
              <w:right w:val="single" w:sz="12" w:space="0" w:color="auto"/>
            </w:tcBorders>
            <w:shd w:val="clear" w:color="auto" w:fill="auto"/>
            <w:noWrap/>
            <w:vAlign w:val="bottom"/>
            <w:hideMark/>
          </w:tcPr>
          <w:p w:rsidR="002A6FFF" w:rsidRPr="0021663D" w:rsidRDefault="002A6FFF" w:rsidP="0021663D">
            <w:pPr>
              <w:spacing w:before="0" w:line="240" w:lineRule="atLeast"/>
              <w:ind w:firstLine="0"/>
              <w:jc w:val="right"/>
              <w:rPr>
                <w:rFonts w:asciiTheme="minorHAnsi" w:hAnsiTheme="minorHAnsi"/>
                <w:sz w:val="20"/>
                <w:szCs w:val="20"/>
              </w:rPr>
            </w:pPr>
            <w:r w:rsidRPr="0021663D">
              <w:rPr>
                <w:rFonts w:asciiTheme="minorHAnsi" w:hAnsiTheme="minorHAnsi"/>
                <w:sz w:val="20"/>
                <w:szCs w:val="20"/>
              </w:rPr>
              <w:t>17</w:t>
            </w:r>
          </w:p>
        </w:tc>
      </w:tr>
      <w:tr w:rsidR="002A6FFF" w:rsidRPr="00160B6A" w:rsidTr="0021663D">
        <w:trPr>
          <w:trHeight w:val="132"/>
        </w:trPr>
        <w:tc>
          <w:tcPr>
            <w:tcW w:w="963" w:type="pct"/>
            <w:tcBorders>
              <w:top w:val="nil"/>
              <w:left w:val="single" w:sz="12" w:space="0" w:color="auto"/>
              <w:bottom w:val="single" w:sz="4" w:space="0" w:color="auto"/>
              <w:right w:val="single" w:sz="8" w:space="0" w:color="auto"/>
            </w:tcBorders>
            <w:shd w:val="clear" w:color="auto" w:fill="auto"/>
            <w:noWrap/>
            <w:vAlign w:val="bottom"/>
            <w:hideMark/>
          </w:tcPr>
          <w:p w:rsidR="002A6FFF" w:rsidRPr="0021663D" w:rsidRDefault="002A6FFF" w:rsidP="0021663D">
            <w:pPr>
              <w:spacing w:before="0" w:line="240" w:lineRule="atLeast"/>
              <w:ind w:firstLine="0"/>
              <w:jc w:val="right"/>
              <w:rPr>
                <w:rFonts w:asciiTheme="minorHAnsi" w:hAnsiTheme="minorHAnsi"/>
                <w:b/>
                <w:bCs/>
                <w:sz w:val="20"/>
                <w:szCs w:val="20"/>
              </w:rPr>
            </w:pPr>
            <w:r w:rsidRPr="0021663D">
              <w:rPr>
                <w:rFonts w:asciiTheme="minorHAnsi" w:hAnsiTheme="minorHAnsi"/>
                <w:b/>
                <w:bCs/>
                <w:sz w:val="20"/>
                <w:szCs w:val="20"/>
              </w:rPr>
              <w:t>30,1 - 50</w:t>
            </w:r>
          </w:p>
        </w:tc>
        <w:tc>
          <w:tcPr>
            <w:tcW w:w="515" w:type="pct"/>
            <w:tcBorders>
              <w:top w:val="nil"/>
              <w:left w:val="single" w:sz="8" w:space="0" w:color="auto"/>
              <w:bottom w:val="single" w:sz="4" w:space="0" w:color="auto"/>
              <w:right w:val="single" w:sz="4" w:space="0" w:color="auto"/>
            </w:tcBorders>
            <w:shd w:val="clear" w:color="auto" w:fill="auto"/>
            <w:noWrap/>
            <w:vAlign w:val="bottom"/>
            <w:hideMark/>
          </w:tcPr>
          <w:p w:rsidR="002A6FFF" w:rsidRPr="0021663D" w:rsidRDefault="002A6FFF" w:rsidP="0021663D">
            <w:pPr>
              <w:spacing w:before="0" w:line="240" w:lineRule="atLeast"/>
              <w:ind w:firstLine="0"/>
              <w:jc w:val="right"/>
              <w:rPr>
                <w:rFonts w:asciiTheme="minorHAnsi" w:hAnsiTheme="minorHAnsi"/>
                <w:sz w:val="20"/>
                <w:szCs w:val="20"/>
              </w:rPr>
            </w:pPr>
            <w:r w:rsidRPr="0021663D">
              <w:rPr>
                <w:rFonts w:asciiTheme="minorHAnsi" w:hAnsiTheme="minorHAnsi"/>
                <w:sz w:val="20"/>
                <w:szCs w:val="20"/>
              </w:rPr>
              <w:t>36</w:t>
            </w:r>
          </w:p>
        </w:tc>
        <w:tc>
          <w:tcPr>
            <w:tcW w:w="471" w:type="pct"/>
            <w:tcBorders>
              <w:top w:val="nil"/>
              <w:left w:val="nil"/>
              <w:bottom w:val="single" w:sz="4" w:space="0" w:color="auto"/>
              <w:right w:val="single" w:sz="4" w:space="0" w:color="auto"/>
            </w:tcBorders>
            <w:shd w:val="clear" w:color="auto" w:fill="auto"/>
            <w:noWrap/>
            <w:vAlign w:val="bottom"/>
            <w:hideMark/>
          </w:tcPr>
          <w:p w:rsidR="002A6FFF" w:rsidRPr="0021663D" w:rsidRDefault="002A6FFF" w:rsidP="0021663D">
            <w:pPr>
              <w:spacing w:before="0" w:line="240" w:lineRule="atLeast"/>
              <w:ind w:firstLine="0"/>
              <w:jc w:val="right"/>
              <w:rPr>
                <w:rFonts w:asciiTheme="minorHAnsi" w:hAnsiTheme="minorHAnsi"/>
                <w:sz w:val="20"/>
                <w:szCs w:val="20"/>
              </w:rPr>
            </w:pPr>
            <w:r w:rsidRPr="0021663D">
              <w:rPr>
                <w:rFonts w:asciiTheme="minorHAnsi" w:hAnsiTheme="minorHAnsi"/>
                <w:sz w:val="20"/>
                <w:szCs w:val="20"/>
              </w:rPr>
              <w:t>35</w:t>
            </w:r>
          </w:p>
        </w:tc>
        <w:tc>
          <w:tcPr>
            <w:tcW w:w="550" w:type="pct"/>
            <w:tcBorders>
              <w:top w:val="nil"/>
              <w:left w:val="nil"/>
              <w:bottom w:val="single" w:sz="4" w:space="0" w:color="auto"/>
              <w:right w:val="single" w:sz="4" w:space="0" w:color="auto"/>
            </w:tcBorders>
            <w:shd w:val="clear" w:color="auto" w:fill="auto"/>
            <w:noWrap/>
            <w:vAlign w:val="bottom"/>
            <w:hideMark/>
          </w:tcPr>
          <w:p w:rsidR="002A6FFF" w:rsidRPr="0021663D" w:rsidRDefault="002A6FFF" w:rsidP="0021663D">
            <w:pPr>
              <w:spacing w:before="0" w:line="240" w:lineRule="atLeast"/>
              <w:ind w:firstLine="0"/>
              <w:jc w:val="right"/>
              <w:rPr>
                <w:rFonts w:asciiTheme="minorHAnsi" w:hAnsiTheme="minorHAnsi"/>
                <w:sz w:val="20"/>
                <w:szCs w:val="20"/>
              </w:rPr>
            </w:pPr>
            <w:r w:rsidRPr="0021663D">
              <w:rPr>
                <w:rFonts w:asciiTheme="minorHAnsi" w:hAnsiTheme="minorHAnsi"/>
                <w:sz w:val="20"/>
                <w:szCs w:val="20"/>
              </w:rPr>
              <w:t>36</w:t>
            </w:r>
          </w:p>
        </w:tc>
        <w:tc>
          <w:tcPr>
            <w:tcW w:w="550" w:type="pct"/>
            <w:tcBorders>
              <w:top w:val="nil"/>
              <w:left w:val="nil"/>
              <w:bottom w:val="single" w:sz="4" w:space="0" w:color="auto"/>
              <w:right w:val="single" w:sz="4" w:space="0" w:color="auto"/>
            </w:tcBorders>
            <w:shd w:val="clear" w:color="auto" w:fill="auto"/>
            <w:noWrap/>
            <w:vAlign w:val="bottom"/>
            <w:hideMark/>
          </w:tcPr>
          <w:p w:rsidR="002A6FFF" w:rsidRPr="0021663D" w:rsidRDefault="002A6FFF" w:rsidP="0021663D">
            <w:pPr>
              <w:spacing w:before="0" w:line="240" w:lineRule="atLeast"/>
              <w:ind w:firstLine="0"/>
              <w:jc w:val="right"/>
              <w:rPr>
                <w:rFonts w:asciiTheme="minorHAnsi" w:hAnsiTheme="minorHAnsi"/>
                <w:sz w:val="20"/>
                <w:szCs w:val="20"/>
              </w:rPr>
            </w:pPr>
            <w:r w:rsidRPr="0021663D">
              <w:rPr>
                <w:rFonts w:asciiTheme="minorHAnsi" w:hAnsiTheme="minorHAnsi"/>
                <w:sz w:val="20"/>
                <w:szCs w:val="20"/>
              </w:rPr>
              <w:t>21</w:t>
            </w:r>
          </w:p>
        </w:tc>
        <w:tc>
          <w:tcPr>
            <w:tcW w:w="549" w:type="pct"/>
            <w:tcBorders>
              <w:top w:val="nil"/>
              <w:left w:val="nil"/>
              <w:bottom w:val="single" w:sz="4" w:space="0" w:color="auto"/>
              <w:right w:val="single" w:sz="4" w:space="0" w:color="auto"/>
            </w:tcBorders>
            <w:shd w:val="clear" w:color="auto" w:fill="auto"/>
            <w:noWrap/>
            <w:vAlign w:val="bottom"/>
            <w:hideMark/>
          </w:tcPr>
          <w:p w:rsidR="002A6FFF" w:rsidRPr="0021663D" w:rsidRDefault="002A6FFF" w:rsidP="0021663D">
            <w:pPr>
              <w:spacing w:before="0" w:line="240" w:lineRule="atLeast"/>
              <w:ind w:firstLine="0"/>
              <w:jc w:val="right"/>
              <w:rPr>
                <w:rFonts w:asciiTheme="minorHAnsi" w:hAnsiTheme="minorHAnsi"/>
                <w:sz w:val="20"/>
                <w:szCs w:val="20"/>
              </w:rPr>
            </w:pPr>
            <w:r w:rsidRPr="0021663D">
              <w:rPr>
                <w:rFonts w:asciiTheme="minorHAnsi" w:hAnsiTheme="minorHAnsi"/>
                <w:sz w:val="20"/>
                <w:szCs w:val="20"/>
              </w:rPr>
              <w:t>19</w:t>
            </w:r>
          </w:p>
        </w:tc>
        <w:tc>
          <w:tcPr>
            <w:tcW w:w="471" w:type="pct"/>
            <w:tcBorders>
              <w:top w:val="nil"/>
              <w:left w:val="nil"/>
              <w:bottom w:val="single" w:sz="4" w:space="0" w:color="auto"/>
              <w:right w:val="single" w:sz="4" w:space="0" w:color="auto"/>
            </w:tcBorders>
            <w:shd w:val="clear" w:color="auto" w:fill="auto"/>
            <w:noWrap/>
            <w:vAlign w:val="bottom"/>
            <w:hideMark/>
          </w:tcPr>
          <w:p w:rsidR="002A6FFF" w:rsidRPr="0021663D" w:rsidRDefault="002A6FFF" w:rsidP="0021663D">
            <w:pPr>
              <w:spacing w:before="0" w:line="240" w:lineRule="atLeast"/>
              <w:ind w:firstLine="0"/>
              <w:jc w:val="right"/>
              <w:rPr>
                <w:rFonts w:asciiTheme="minorHAnsi" w:hAnsiTheme="minorHAnsi"/>
                <w:sz w:val="20"/>
                <w:szCs w:val="20"/>
              </w:rPr>
            </w:pPr>
            <w:r w:rsidRPr="0021663D">
              <w:rPr>
                <w:rFonts w:asciiTheme="minorHAnsi" w:hAnsiTheme="minorHAnsi"/>
                <w:sz w:val="20"/>
                <w:szCs w:val="20"/>
              </w:rPr>
              <w:t>19</w:t>
            </w:r>
          </w:p>
        </w:tc>
        <w:tc>
          <w:tcPr>
            <w:tcW w:w="471" w:type="pct"/>
            <w:tcBorders>
              <w:top w:val="nil"/>
              <w:left w:val="nil"/>
              <w:bottom w:val="single" w:sz="4" w:space="0" w:color="auto"/>
              <w:right w:val="single" w:sz="4" w:space="0" w:color="auto"/>
            </w:tcBorders>
            <w:shd w:val="clear" w:color="auto" w:fill="auto"/>
            <w:noWrap/>
            <w:vAlign w:val="bottom"/>
            <w:hideMark/>
          </w:tcPr>
          <w:p w:rsidR="002A6FFF" w:rsidRPr="0021663D" w:rsidRDefault="002A6FFF" w:rsidP="0021663D">
            <w:pPr>
              <w:spacing w:before="0" w:line="240" w:lineRule="atLeast"/>
              <w:ind w:firstLine="0"/>
              <w:jc w:val="right"/>
              <w:rPr>
                <w:rFonts w:asciiTheme="minorHAnsi" w:hAnsiTheme="minorHAnsi"/>
                <w:sz w:val="20"/>
                <w:szCs w:val="20"/>
              </w:rPr>
            </w:pPr>
            <w:r w:rsidRPr="0021663D">
              <w:rPr>
                <w:rFonts w:asciiTheme="minorHAnsi" w:hAnsiTheme="minorHAnsi"/>
                <w:sz w:val="20"/>
                <w:szCs w:val="20"/>
              </w:rPr>
              <w:t>21</w:t>
            </w:r>
          </w:p>
        </w:tc>
        <w:tc>
          <w:tcPr>
            <w:tcW w:w="459" w:type="pct"/>
            <w:tcBorders>
              <w:top w:val="nil"/>
              <w:left w:val="nil"/>
              <w:bottom w:val="single" w:sz="4" w:space="0" w:color="auto"/>
              <w:right w:val="single" w:sz="12" w:space="0" w:color="auto"/>
            </w:tcBorders>
            <w:shd w:val="clear" w:color="auto" w:fill="auto"/>
            <w:noWrap/>
            <w:vAlign w:val="bottom"/>
            <w:hideMark/>
          </w:tcPr>
          <w:p w:rsidR="002A6FFF" w:rsidRPr="0021663D" w:rsidRDefault="002A6FFF" w:rsidP="0021663D">
            <w:pPr>
              <w:spacing w:before="0" w:line="240" w:lineRule="atLeast"/>
              <w:ind w:firstLine="0"/>
              <w:jc w:val="right"/>
              <w:rPr>
                <w:rFonts w:asciiTheme="minorHAnsi" w:hAnsiTheme="minorHAnsi"/>
                <w:sz w:val="20"/>
                <w:szCs w:val="20"/>
              </w:rPr>
            </w:pPr>
            <w:r w:rsidRPr="0021663D">
              <w:rPr>
                <w:rFonts w:asciiTheme="minorHAnsi" w:hAnsiTheme="minorHAnsi"/>
                <w:sz w:val="20"/>
                <w:szCs w:val="20"/>
              </w:rPr>
              <w:t>24</w:t>
            </w:r>
          </w:p>
        </w:tc>
      </w:tr>
      <w:tr w:rsidR="002A6FFF" w:rsidRPr="00160B6A" w:rsidTr="0021663D">
        <w:trPr>
          <w:trHeight w:val="77"/>
        </w:trPr>
        <w:tc>
          <w:tcPr>
            <w:tcW w:w="963" w:type="pct"/>
            <w:tcBorders>
              <w:top w:val="nil"/>
              <w:left w:val="single" w:sz="12" w:space="0" w:color="auto"/>
              <w:bottom w:val="single" w:sz="4" w:space="0" w:color="auto"/>
              <w:right w:val="single" w:sz="8" w:space="0" w:color="auto"/>
            </w:tcBorders>
            <w:shd w:val="clear" w:color="auto" w:fill="auto"/>
            <w:noWrap/>
            <w:vAlign w:val="bottom"/>
            <w:hideMark/>
          </w:tcPr>
          <w:p w:rsidR="002A6FFF" w:rsidRPr="0021663D" w:rsidRDefault="002A6FFF" w:rsidP="0021663D">
            <w:pPr>
              <w:spacing w:before="0" w:line="240" w:lineRule="atLeast"/>
              <w:ind w:firstLine="0"/>
              <w:jc w:val="right"/>
              <w:rPr>
                <w:rFonts w:asciiTheme="minorHAnsi" w:hAnsiTheme="minorHAnsi"/>
                <w:b/>
                <w:bCs/>
                <w:sz w:val="20"/>
                <w:szCs w:val="20"/>
              </w:rPr>
            </w:pPr>
            <w:r w:rsidRPr="0021663D">
              <w:rPr>
                <w:rFonts w:asciiTheme="minorHAnsi" w:hAnsiTheme="minorHAnsi"/>
                <w:b/>
                <w:bCs/>
                <w:sz w:val="20"/>
                <w:szCs w:val="20"/>
              </w:rPr>
              <w:t>20,1 - 30</w:t>
            </w:r>
          </w:p>
        </w:tc>
        <w:tc>
          <w:tcPr>
            <w:tcW w:w="515" w:type="pct"/>
            <w:tcBorders>
              <w:top w:val="nil"/>
              <w:left w:val="single" w:sz="8" w:space="0" w:color="auto"/>
              <w:bottom w:val="single" w:sz="4" w:space="0" w:color="auto"/>
              <w:right w:val="single" w:sz="4" w:space="0" w:color="auto"/>
            </w:tcBorders>
            <w:shd w:val="clear" w:color="auto" w:fill="auto"/>
            <w:noWrap/>
            <w:vAlign w:val="bottom"/>
            <w:hideMark/>
          </w:tcPr>
          <w:p w:rsidR="002A6FFF" w:rsidRPr="0021663D" w:rsidRDefault="002A6FFF" w:rsidP="0021663D">
            <w:pPr>
              <w:spacing w:before="0" w:line="240" w:lineRule="atLeast"/>
              <w:ind w:firstLine="0"/>
              <w:jc w:val="right"/>
              <w:rPr>
                <w:rFonts w:asciiTheme="minorHAnsi" w:hAnsiTheme="minorHAnsi"/>
                <w:sz w:val="20"/>
                <w:szCs w:val="20"/>
              </w:rPr>
            </w:pPr>
            <w:r w:rsidRPr="0021663D">
              <w:rPr>
                <w:rFonts w:asciiTheme="minorHAnsi" w:hAnsiTheme="minorHAnsi"/>
                <w:sz w:val="20"/>
                <w:szCs w:val="20"/>
              </w:rPr>
              <w:t>17</w:t>
            </w:r>
          </w:p>
        </w:tc>
        <w:tc>
          <w:tcPr>
            <w:tcW w:w="471" w:type="pct"/>
            <w:tcBorders>
              <w:top w:val="nil"/>
              <w:left w:val="nil"/>
              <w:bottom w:val="single" w:sz="4" w:space="0" w:color="auto"/>
              <w:right w:val="single" w:sz="4" w:space="0" w:color="auto"/>
            </w:tcBorders>
            <w:shd w:val="clear" w:color="auto" w:fill="auto"/>
            <w:noWrap/>
            <w:vAlign w:val="bottom"/>
            <w:hideMark/>
          </w:tcPr>
          <w:p w:rsidR="002A6FFF" w:rsidRPr="0021663D" w:rsidRDefault="002A6FFF" w:rsidP="0021663D">
            <w:pPr>
              <w:spacing w:before="0" w:line="240" w:lineRule="atLeast"/>
              <w:ind w:firstLine="0"/>
              <w:jc w:val="right"/>
              <w:rPr>
                <w:rFonts w:asciiTheme="minorHAnsi" w:hAnsiTheme="minorHAnsi"/>
                <w:sz w:val="20"/>
                <w:szCs w:val="20"/>
              </w:rPr>
            </w:pPr>
            <w:r w:rsidRPr="0021663D">
              <w:rPr>
                <w:rFonts w:asciiTheme="minorHAnsi" w:hAnsiTheme="minorHAnsi"/>
                <w:sz w:val="20"/>
                <w:szCs w:val="20"/>
              </w:rPr>
              <w:t>18</w:t>
            </w:r>
          </w:p>
        </w:tc>
        <w:tc>
          <w:tcPr>
            <w:tcW w:w="550" w:type="pct"/>
            <w:tcBorders>
              <w:top w:val="nil"/>
              <w:left w:val="nil"/>
              <w:bottom w:val="single" w:sz="4" w:space="0" w:color="auto"/>
              <w:right w:val="single" w:sz="4" w:space="0" w:color="auto"/>
            </w:tcBorders>
            <w:shd w:val="clear" w:color="auto" w:fill="auto"/>
            <w:noWrap/>
            <w:vAlign w:val="bottom"/>
            <w:hideMark/>
          </w:tcPr>
          <w:p w:rsidR="002A6FFF" w:rsidRPr="0021663D" w:rsidRDefault="002A6FFF" w:rsidP="0021663D">
            <w:pPr>
              <w:spacing w:before="0" w:line="240" w:lineRule="atLeast"/>
              <w:ind w:firstLine="0"/>
              <w:jc w:val="right"/>
              <w:rPr>
                <w:rFonts w:asciiTheme="minorHAnsi" w:hAnsiTheme="minorHAnsi"/>
                <w:sz w:val="20"/>
                <w:szCs w:val="20"/>
              </w:rPr>
            </w:pPr>
            <w:r w:rsidRPr="0021663D">
              <w:rPr>
                <w:rFonts w:asciiTheme="minorHAnsi" w:hAnsiTheme="minorHAnsi"/>
                <w:sz w:val="20"/>
                <w:szCs w:val="20"/>
              </w:rPr>
              <w:t>19</w:t>
            </w:r>
          </w:p>
        </w:tc>
        <w:tc>
          <w:tcPr>
            <w:tcW w:w="550" w:type="pct"/>
            <w:tcBorders>
              <w:top w:val="nil"/>
              <w:left w:val="nil"/>
              <w:bottom w:val="single" w:sz="4" w:space="0" w:color="auto"/>
              <w:right w:val="single" w:sz="4" w:space="0" w:color="auto"/>
            </w:tcBorders>
            <w:shd w:val="clear" w:color="auto" w:fill="auto"/>
            <w:noWrap/>
            <w:vAlign w:val="bottom"/>
            <w:hideMark/>
          </w:tcPr>
          <w:p w:rsidR="002A6FFF" w:rsidRPr="0021663D" w:rsidRDefault="002A6FFF" w:rsidP="0021663D">
            <w:pPr>
              <w:spacing w:before="0" w:line="240" w:lineRule="atLeast"/>
              <w:ind w:firstLine="0"/>
              <w:jc w:val="right"/>
              <w:rPr>
                <w:rFonts w:asciiTheme="minorHAnsi" w:hAnsiTheme="minorHAnsi"/>
                <w:sz w:val="20"/>
                <w:szCs w:val="20"/>
              </w:rPr>
            </w:pPr>
            <w:r w:rsidRPr="0021663D">
              <w:rPr>
                <w:rFonts w:asciiTheme="minorHAnsi" w:hAnsiTheme="minorHAnsi"/>
                <w:sz w:val="20"/>
                <w:szCs w:val="20"/>
              </w:rPr>
              <w:t>23</w:t>
            </w:r>
          </w:p>
        </w:tc>
        <w:tc>
          <w:tcPr>
            <w:tcW w:w="549" w:type="pct"/>
            <w:tcBorders>
              <w:top w:val="nil"/>
              <w:left w:val="nil"/>
              <w:bottom w:val="single" w:sz="4" w:space="0" w:color="auto"/>
              <w:right w:val="single" w:sz="4" w:space="0" w:color="auto"/>
            </w:tcBorders>
            <w:shd w:val="clear" w:color="auto" w:fill="auto"/>
            <w:noWrap/>
            <w:vAlign w:val="bottom"/>
            <w:hideMark/>
          </w:tcPr>
          <w:p w:rsidR="002A6FFF" w:rsidRPr="0021663D" w:rsidRDefault="002A6FFF" w:rsidP="0021663D">
            <w:pPr>
              <w:spacing w:before="0" w:line="240" w:lineRule="atLeast"/>
              <w:ind w:firstLine="0"/>
              <w:jc w:val="right"/>
              <w:rPr>
                <w:rFonts w:asciiTheme="minorHAnsi" w:hAnsiTheme="minorHAnsi"/>
                <w:sz w:val="20"/>
                <w:szCs w:val="20"/>
              </w:rPr>
            </w:pPr>
            <w:r w:rsidRPr="0021663D">
              <w:rPr>
                <w:rFonts w:asciiTheme="minorHAnsi" w:hAnsiTheme="minorHAnsi"/>
                <w:sz w:val="20"/>
                <w:szCs w:val="20"/>
              </w:rPr>
              <w:t>24</w:t>
            </w:r>
          </w:p>
        </w:tc>
        <w:tc>
          <w:tcPr>
            <w:tcW w:w="471" w:type="pct"/>
            <w:tcBorders>
              <w:top w:val="nil"/>
              <w:left w:val="nil"/>
              <w:bottom w:val="single" w:sz="4" w:space="0" w:color="auto"/>
              <w:right w:val="single" w:sz="4" w:space="0" w:color="auto"/>
            </w:tcBorders>
            <w:shd w:val="clear" w:color="auto" w:fill="auto"/>
            <w:noWrap/>
            <w:vAlign w:val="bottom"/>
            <w:hideMark/>
          </w:tcPr>
          <w:p w:rsidR="002A6FFF" w:rsidRPr="0021663D" w:rsidRDefault="002A6FFF" w:rsidP="0021663D">
            <w:pPr>
              <w:spacing w:before="0" w:line="240" w:lineRule="atLeast"/>
              <w:ind w:firstLine="0"/>
              <w:jc w:val="right"/>
              <w:rPr>
                <w:rFonts w:asciiTheme="minorHAnsi" w:hAnsiTheme="minorHAnsi"/>
                <w:sz w:val="20"/>
                <w:szCs w:val="20"/>
              </w:rPr>
            </w:pPr>
            <w:r w:rsidRPr="0021663D">
              <w:rPr>
                <w:rFonts w:asciiTheme="minorHAnsi" w:hAnsiTheme="minorHAnsi"/>
                <w:sz w:val="20"/>
                <w:szCs w:val="20"/>
              </w:rPr>
              <w:t>23</w:t>
            </w:r>
          </w:p>
        </w:tc>
        <w:tc>
          <w:tcPr>
            <w:tcW w:w="471" w:type="pct"/>
            <w:tcBorders>
              <w:top w:val="nil"/>
              <w:left w:val="nil"/>
              <w:bottom w:val="single" w:sz="4" w:space="0" w:color="auto"/>
              <w:right w:val="single" w:sz="4" w:space="0" w:color="auto"/>
            </w:tcBorders>
            <w:shd w:val="clear" w:color="auto" w:fill="auto"/>
            <w:noWrap/>
            <w:vAlign w:val="bottom"/>
            <w:hideMark/>
          </w:tcPr>
          <w:p w:rsidR="002A6FFF" w:rsidRPr="0021663D" w:rsidRDefault="002A6FFF" w:rsidP="0021663D">
            <w:pPr>
              <w:spacing w:before="0" w:line="240" w:lineRule="atLeast"/>
              <w:ind w:firstLine="0"/>
              <w:jc w:val="right"/>
              <w:rPr>
                <w:rFonts w:asciiTheme="minorHAnsi" w:hAnsiTheme="minorHAnsi"/>
                <w:sz w:val="20"/>
                <w:szCs w:val="20"/>
              </w:rPr>
            </w:pPr>
            <w:r w:rsidRPr="0021663D">
              <w:rPr>
                <w:rFonts w:asciiTheme="minorHAnsi" w:hAnsiTheme="minorHAnsi"/>
                <w:sz w:val="20"/>
                <w:szCs w:val="20"/>
              </w:rPr>
              <w:t>23</w:t>
            </w:r>
          </w:p>
        </w:tc>
        <w:tc>
          <w:tcPr>
            <w:tcW w:w="459" w:type="pct"/>
            <w:tcBorders>
              <w:top w:val="nil"/>
              <w:left w:val="nil"/>
              <w:bottom w:val="single" w:sz="4" w:space="0" w:color="auto"/>
              <w:right w:val="single" w:sz="12" w:space="0" w:color="auto"/>
            </w:tcBorders>
            <w:shd w:val="clear" w:color="auto" w:fill="auto"/>
            <w:noWrap/>
            <w:vAlign w:val="bottom"/>
            <w:hideMark/>
          </w:tcPr>
          <w:p w:rsidR="002A6FFF" w:rsidRPr="0021663D" w:rsidRDefault="002A6FFF" w:rsidP="0021663D">
            <w:pPr>
              <w:spacing w:before="0" w:line="240" w:lineRule="atLeast"/>
              <w:ind w:firstLine="0"/>
              <w:jc w:val="right"/>
              <w:rPr>
                <w:rFonts w:asciiTheme="minorHAnsi" w:hAnsiTheme="minorHAnsi"/>
                <w:sz w:val="20"/>
                <w:szCs w:val="20"/>
              </w:rPr>
            </w:pPr>
            <w:r w:rsidRPr="0021663D">
              <w:rPr>
                <w:rFonts w:asciiTheme="minorHAnsi" w:hAnsiTheme="minorHAnsi"/>
                <w:sz w:val="20"/>
                <w:szCs w:val="20"/>
              </w:rPr>
              <w:t>15</w:t>
            </w:r>
          </w:p>
        </w:tc>
      </w:tr>
      <w:tr w:rsidR="002A6FFF" w:rsidRPr="00160B6A" w:rsidTr="0021663D">
        <w:trPr>
          <w:trHeight w:val="326"/>
        </w:trPr>
        <w:tc>
          <w:tcPr>
            <w:tcW w:w="963" w:type="pct"/>
            <w:tcBorders>
              <w:top w:val="nil"/>
              <w:left w:val="single" w:sz="12" w:space="0" w:color="auto"/>
              <w:bottom w:val="single" w:sz="4" w:space="0" w:color="auto"/>
              <w:right w:val="single" w:sz="8" w:space="0" w:color="auto"/>
            </w:tcBorders>
            <w:shd w:val="clear" w:color="auto" w:fill="auto"/>
            <w:noWrap/>
            <w:vAlign w:val="bottom"/>
            <w:hideMark/>
          </w:tcPr>
          <w:p w:rsidR="002A6FFF" w:rsidRPr="0021663D" w:rsidRDefault="002A6FFF" w:rsidP="0021663D">
            <w:pPr>
              <w:spacing w:before="0" w:line="240" w:lineRule="atLeast"/>
              <w:ind w:firstLine="0"/>
              <w:jc w:val="right"/>
              <w:rPr>
                <w:rFonts w:asciiTheme="minorHAnsi" w:hAnsiTheme="minorHAnsi"/>
                <w:b/>
                <w:bCs/>
                <w:sz w:val="20"/>
                <w:szCs w:val="20"/>
              </w:rPr>
            </w:pPr>
            <w:r w:rsidRPr="0021663D">
              <w:rPr>
                <w:rFonts w:asciiTheme="minorHAnsi" w:hAnsiTheme="minorHAnsi"/>
                <w:b/>
                <w:bCs/>
                <w:sz w:val="20"/>
                <w:szCs w:val="20"/>
              </w:rPr>
              <w:t>10,1 - 20</w:t>
            </w:r>
          </w:p>
        </w:tc>
        <w:tc>
          <w:tcPr>
            <w:tcW w:w="515" w:type="pct"/>
            <w:tcBorders>
              <w:top w:val="nil"/>
              <w:left w:val="single" w:sz="8" w:space="0" w:color="auto"/>
              <w:bottom w:val="single" w:sz="4" w:space="0" w:color="auto"/>
              <w:right w:val="single" w:sz="4" w:space="0" w:color="auto"/>
            </w:tcBorders>
            <w:shd w:val="clear" w:color="auto" w:fill="auto"/>
            <w:noWrap/>
            <w:vAlign w:val="bottom"/>
            <w:hideMark/>
          </w:tcPr>
          <w:p w:rsidR="002A6FFF" w:rsidRPr="0021663D" w:rsidRDefault="002A6FFF" w:rsidP="0021663D">
            <w:pPr>
              <w:spacing w:before="0" w:line="240" w:lineRule="atLeast"/>
              <w:ind w:firstLine="0"/>
              <w:jc w:val="right"/>
              <w:rPr>
                <w:rFonts w:asciiTheme="minorHAnsi" w:hAnsiTheme="minorHAnsi"/>
                <w:sz w:val="20"/>
                <w:szCs w:val="20"/>
              </w:rPr>
            </w:pPr>
            <w:r w:rsidRPr="0021663D">
              <w:rPr>
                <w:rFonts w:asciiTheme="minorHAnsi" w:hAnsiTheme="minorHAnsi"/>
                <w:sz w:val="20"/>
                <w:szCs w:val="20"/>
              </w:rPr>
              <w:t>34</w:t>
            </w:r>
          </w:p>
        </w:tc>
        <w:tc>
          <w:tcPr>
            <w:tcW w:w="471" w:type="pct"/>
            <w:tcBorders>
              <w:top w:val="nil"/>
              <w:left w:val="nil"/>
              <w:bottom w:val="single" w:sz="4" w:space="0" w:color="auto"/>
              <w:right w:val="single" w:sz="4" w:space="0" w:color="auto"/>
            </w:tcBorders>
            <w:shd w:val="clear" w:color="auto" w:fill="auto"/>
            <w:noWrap/>
            <w:vAlign w:val="bottom"/>
            <w:hideMark/>
          </w:tcPr>
          <w:p w:rsidR="002A6FFF" w:rsidRPr="0021663D" w:rsidRDefault="002A6FFF" w:rsidP="0021663D">
            <w:pPr>
              <w:spacing w:before="0" w:line="240" w:lineRule="atLeast"/>
              <w:ind w:firstLine="0"/>
              <w:jc w:val="right"/>
              <w:rPr>
                <w:rFonts w:asciiTheme="minorHAnsi" w:hAnsiTheme="minorHAnsi"/>
                <w:sz w:val="20"/>
                <w:szCs w:val="20"/>
              </w:rPr>
            </w:pPr>
            <w:r w:rsidRPr="0021663D">
              <w:rPr>
                <w:rFonts w:asciiTheme="minorHAnsi" w:hAnsiTheme="minorHAnsi"/>
                <w:sz w:val="20"/>
                <w:szCs w:val="20"/>
              </w:rPr>
              <w:t>33</w:t>
            </w:r>
          </w:p>
        </w:tc>
        <w:tc>
          <w:tcPr>
            <w:tcW w:w="550" w:type="pct"/>
            <w:tcBorders>
              <w:top w:val="nil"/>
              <w:left w:val="nil"/>
              <w:bottom w:val="single" w:sz="4" w:space="0" w:color="auto"/>
              <w:right w:val="single" w:sz="4" w:space="0" w:color="auto"/>
            </w:tcBorders>
            <w:shd w:val="clear" w:color="auto" w:fill="auto"/>
            <w:noWrap/>
            <w:vAlign w:val="bottom"/>
            <w:hideMark/>
          </w:tcPr>
          <w:p w:rsidR="002A6FFF" w:rsidRPr="0021663D" w:rsidRDefault="002A6FFF" w:rsidP="0021663D">
            <w:pPr>
              <w:spacing w:before="0" w:line="240" w:lineRule="atLeast"/>
              <w:ind w:firstLine="0"/>
              <w:jc w:val="right"/>
              <w:rPr>
                <w:rFonts w:asciiTheme="minorHAnsi" w:hAnsiTheme="minorHAnsi"/>
                <w:sz w:val="20"/>
                <w:szCs w:val="20"/>
              </w:rPr>
            </w:pPr>
            <w:r w:rsidRPr="0021663D">
              <w:rPr>
                <w:rFonts w:asciiTheme="minorHAnsi" w:hAnsiTheme="minorHAnsi"/>
                <w:sz w:val="20"/>
                <w:szCs w:val="20"/>
              </w:rPr>
              <w:t>33</w:t>
            </w:r>
          </w:p>
        </w:tc>
        <w:tc>
          <w:tcPr>
            <w:tcW w:w="550" w:type="pct"/>
            <w:tcBorders>
              <w:top w:val="nil"/>
              <w:left w:val="nil"/>
              <w:bottom w:val="single" w:sz="4" w:space="0" w:color="auto"/>
              <w:right w:val="single" w:sz="4" w:space="0" w:color="auto"/>
            </w:tcBorders>
            <w:shd w:val="clear" w:color="auto" w:fill="auto"/>
            <w:noWrap/>
            <w:vAlign w:val="bottom"/>
            <w:hideMark/>
          </w:tcPr>
          <w:p w:rsidR="002A6FFF" w:rsidRPr="0021663D" w:rsidRDefault="002A6FFF" w:rsidP="0021663D">
            <w:pPr>
              <w:spacing w:before="0" w:line="240" w:lineRule="atLeast"/>
              <w:ind w:firstLine="0"/>
              <w:jc w:val="right"/>
              <w:rPr>
                <w:rFonts w:asciiTheme="minorHAnsi" w:hAnsiTheme="minorHAnsi"/>
                <w:sz w:val="20"/>
                <w:szCs w:val="20"/>
              </w:rPr>
            </w:pPr>
            <w:r w:rsidRPr="0021663D">
              <w:rPr>
                <w:rFonts w:asciiTheme="minorHAnsi" w:hAnsiTheme="minorHAnsi"/>
                <w:sz w:val="20"/>
                <w:szCs w:val="20"/>
              </w:rPr>
              <w:t>44</w:t>
            </w:r>
          </w:p>
        </w:tc>
        <w:tc>
          <w:tcPr>
            <w:tcW w:w="549" w:type="pct"/>
            <w:tcBorders>
              <w:top w:val="nil"/>
              <w:left w:val="nil"/>
              <w:bottom w:val="single" w:sz="4" w:space="0" w:color="auto"/>
              <w:right w:val="single" w:sz="4" w:space="0" w:color="auto"/>
            </w:tcBorders>
            <w:shd w:val="clear" w:color="auto" w:fill="auto"/>
            <w:noWrap/>
            <w:vAlign w:val="bottom"/>
            <w:hideMark/>
          </w:tcPr>
          <w:p w:rsidR="002A6FFF" w:rsidRPr="0021663D" w:rsidRDefault="002A6FFF" w:rsidP="0021663D">
            <w:pPr>
              <w:spacing w:before="0" w:line="240" w:lineRule="atLeast"/>
              <w:ind w:firstLine="0"/>
              <w:jc w:val="right"/>
              <w:rPr>
                <w:rFonts w:asciiTheme="minorHAnsi" w:hAnsiTheme="minorHAnsi"/>
                <w:sz w:val="20"/>
                <w:szCs w:val="20"/>
              </w:rPr>
            </w:pPr>
            <w:r w:rsidRPr="0021663D">
              <w:rPr>
                <w:rFonts w:asciiTheme="minorHAnsi" w:hAnsiTheme="minorHAnsi"/>
                <w:sz w:val="20"/>
                <w:szCs w:val="20"/>
              </w:rPr>
              <w:t>46</w:t>
            </w:r>
          </w:p>
        </w:tc>
        <w:tc>
          <w:tcPr>
            <w:tcW w:w="471" w:type="pct"/>
            <w:tcBorders>
              <w:top w:val="nil"/>
              <w:left w:val="nil"/>
              <w:bottom w:val="single" w:sz="4" w:space="0" w:color="auto"/>
              <w:right w:val="single" w:sz="4" w:space="0" w:color="auto"/>
            </w:tcBorders>
            <w:shd w:val="clear" w:color="auto" w:fill="auto"/>
            <w:noWrap/>
            <w:vAlign w:val="bottom"/>
            <w:hideMark/>
          </w:tcPr>
          <w:p w:rsidR="002A6FFF" w:rsidRPr="0021663D" w:rsidRDefault="002A6FFF" w:rsidP="0021663D">
            <w:pPr>
              <w:spacing w:before="0" w:line="240" w:lineRule="atLeast"/>
              <w:ind w:firstLine="0"/>
              <w:jc w:val="right"/>
              <w:rPr>
                <w:rFonts w:asciiTheme="minorHAnsi" w:hAnsiTheme="minorHAnsi"/>
                <w:sz w:val="20"/>
                <w:szCs w:val="20"/>
              </w:rPr>
            </w:pPr>
            <w:r w:rsidRPr="0021663D">
              <w:rPr>
                <w:rFonts w:asciiTheme="minorHAnsi" w:hAnsiTheme="minorHAnsi"/>
                <w:sz w:val="20"/>
                <w:szCs w:val="20"/>
              </w:rPr>
              <w:t>45</w:t>
            </w:r>
          </w:p>
        </w:tc>
        <w:tc>
          <w:tcPr>
            <w:tcW w:w="471" w:type="pct"/>
            <w:tcBorders>
              <w:top w:val="nil"/>
              <w:left w:val="nil"/>
              <w:bottom w:val="single" w:sz="4" w:space="0" w:color="auto"/>
              <w:right w:val="single" w:sz="4" w:space="0" w:color="auto"/>
            </w:tcBorders>
            <w:shd w:val="clear" w:color="auto" w:fill="auto"/>
            <w:noWrap/>
            <w:vAlign w:val="bottom"/>
            <w:hideMark/>
          </w:tcPr>
          <w:p w:rsidR="002A6FFF" w:rsidRPr="0021663D" w:rsidRDefault="002A6FFF" w:rsidP="0021663D">
            <w:pPr>
              <w:spacing w:before="0" w:line="240" w:lineRule="atLeast"/>
              <w:ind w:firstLine="0"/>
              <w:jc w:val="right"/>
              <w:rPr>
                <w:rFonts w:asciiTheme="minorHAnsi" w:hAnsiTheme="minorHAnsi"/>
                <w:sz w:val="20"/>
                <w:szCs w:val="20"/>
              </w:rPr>
            </w:pPr>
            <w:r w:rsidRPr="0021663D">
              <w:rPr>
                <w:rFonts w:asciiTheme="minorHAnsi" w:hAnsiTheme="minorHAnsi"/>
                <w:sz w:val="20"/>
                <w:szCs w:val="20"/>
              </w:rPr>
              <w:t>43</w:t>
            </w:r>
          </w:p>
        </w:tc>
        <w:tc>
          <w:tcPr>
            <w:tcW w:w="459" w:type="pct"/>
            <w:tcBorders>
              <w:top w:val="nil"/>
              <w:left w:val="nil"/>
              <w:bottom w:val="single" w:sz="4" w:space="0" w:color="auto"/>
              <w:right w:val="single" w:sz="12" w:space="0" w:color="auto"/>
            </w:tcBorders>
            <w:shd w:val="clear" w:color="auto" w:fill="auto"/>
            <w:noWrap/>
            <w:vAlign w:val="bottom"/>
            <w:hideMark/>
          </w:tcPr>
          <w:p w:rsidR="002A6FFF" w:rsidRPr="0021663D" w:rsidRDefault="002A6FFF" w:rsidP="0021663D">
            <w:pPr>
              <w:spacing w:before="0" w:line="240" w:lineRule="atLeast"/>
              <w:ind w:firstLine="0"/>
              <w:jc w:val="right"/>
              <w:rPr>
                <w:rFonts w:asciiTheme="minorHAnsi" w:hAnsiTheme="minorHAnsi"/>
                <w:sz w:val="20"/>
                <w:szCs w:val="20"/>
              </w:rPr>
            </w:pPr>
            <w:r w:rsidRPr="0021663D">
              <w:rPr>
                <w:rFonts w:asciiTheme="minorHAnsi" w:hAnsiTheme="minorHAnsi"/>
                <w:sz w:val="20"/>
                <w:szCs w:val="20"/>
              </w:rPr>
              <w:t>48</w:t>
            </w:r>
          </w:p>
        </w:tc>
      </w:tr>
      <w:tr w:rsidR="002A6FFF" w:rsidRPr="00160B6A" w:rsidTr="0021663D">
        <w:trPr>
          <w:trHeight w:val="228"/>
        </w:trPr>
        <w:tc>
          <w:tcPr>
            <w:tcW w:w="963" w:type="pct"/>
            <w:tcBorders>
              <w:top w:val="nil"/>
              <w:left w:val="single" w:sz="12" w:space="0" w:color="auto"/>
              <w:bottom w:val="single" w:sz="4" w:space="0" w:color="auto"/>
              <w:right w:val="single" w:sz="8" w:space="0" w:color="auto"/>
            </w:tcBorders>
            <w:shd w:val="clear" w:color="auto" w:fill="auto"/>
            <w:noWrap/>
            <w:vAlign w:val="bottom"/>
            <w:hideMark/>
          </w:tcPr>
          <w:p w:rsidR="002A6FFF" w:rsidRPr="0021663D" w:rsidRDefault="002A6FFF" w:rsidP="0021663D">
            <w:pPr>
              <w:spacing w:before="0" w:line="240" w:lineRule="atLeast"/>
              <w:ind w:firstLine="0"/>
              <w:jc w:val="right"/>
              <w:rPr>
                <w:rFonts w:asciiTheme="minorHAnsi" w:hAnsiTheme="minorHAnsi"/>
                <w:b/>
                <w:bCs/>
                <w:sz w:val="20"/>
                <w:szCs w:val="20"/>
              </w:rPr>
            </w:pPr>
            <w:r w:rsidRPr="0021663D">
              <w:rPr>
                <w:rFonts w:asciiTheme="minorHAnsi" w:hAnsiTheme="minorHAnsi"/>
                <w:b/>
                <w:bCs/>
                <w:sz w:val="20"/>
                <w:szCs w:val="20"/>
              </w:rPr>
              <w:t>5,1 - 10</w:t>
            </w:r>
          </w:p>
        </w:tc>
        <w:tc>
          <w:tcPr>
            <w:tcW w:w="515" w:type="pct"/>
            <w:tcBorders>
              <w:top w:val="nil"/>
              <w:left w:val="single" w:sz="8" w:space="0" w:color="auto"/>
              <w:bottom w:val="single" w:sz="4" w:space="0" w:color="auto"/>
              <w:right w:val="single" w:sz="4" w:space="0" w:color="auto"/>
            </w:tcBorders>
            <w:shd w:val="clear" w:color="auto" w:fill="auto"/>
            <w:noWrap/>
            <w:vAlign w:val="bottom"/>
            <w:hideMark/>
          </w:tcPr>
          <w:p w:rsidR="002A6FFF" w:rsidRPr="0021663D" w:rsidRDefault="002A6FFF" w:rsidP="0021663D">
            <w:pPr>
              <w:spacing w:before="0" w:line="240" w:lineRule="atLeast"/>
              <w:ind w:firstLine="0"/>
              <w:jc w:val="right"/>
              <w:rPr>
                <w:rFonts w:asciiTheme="minorHAnsi" w:hAnsiTheme="minorHAnsi"/>
                <w:sz w:val="20"/>
                <w:szCs w:val="20"/>
              </w:rPr>
            </w:pPr>
            <w:r w:rsidRPr="0021663D">
              <w:rPr>
                <w:rFonts w:asciiTheme="minorHAnsi" w:hAnsiTheme="minorHAnsi"/>
                <w:sz w:val="20"/>
                <w:szCs w:val="20"/>
              </w:rPr>
              <w:t>46</w:t>
            </w:r>
          </w:p>
        </w:tc>
        <w:tc>
          <w:tcPr>
            <w:tcW w:w="471" w:type="pct"/>
            <w:tcBorders>
              <w:top w:val="nil"/>
              <w:left w:val="nil"/>
              <w:bottom w:val="single" w:sz="4" w:space="0" w:color="auto"/>
              <w:right w:val="single" w:sz="4" w:space="0" w:color="auto"/>
            </w:tcBorders>
            <w:shd w:val="clear" w:color="auto" w:fill="auto"/>
            <w:noWrap/>
            <w:vAlign w:val="bottom"/>
            <w:hideMark/>
          </w:tcPr>
          <w:p w:rsidR="002A6FFF" w:rsidRPr="0021663D" w:rsidRDefault="002A6FFF" w:rsidP="0021663D">
            <w:pPr>
              <w:spacing w:before="0" w:line="240" w:lineRule="atLeast"/>
              <w:ind w:firstLine="0"/>
              <w:jc w:val="right"/>
              <w:rPr>
                <w:rFonts w:asciiTheme="minorHAnsi" w:hAnsiTheme="minorHAnsi"/>
                <w:sz w:val="20"/>
                <w:szCs w:val="20"/>
              </w:rPr>
            </w:pPr>
            <w:r w:rsidRPr="0021663D">
              <w:rPr>
                <w:rFonts w:asciiTheme="minorHAnsi" w:hAnsiTheme="minorHAnsi"/>
                <w:sz w:val="20"/>
                <w:szCs w:val="20"/>
              </w:rPr>
              <w:t>43</w:t>
            </w:r>
          </w:p>
        </w:tc>
        <w:tc>
          <w:tcPr>
            <w:tcW w:w="550" w:type="pct"/>
            <w:tcBorders>
              <w:top w:val="nil"/>
              <w:left w:val="nil"/>
              <w:bottom w:val="single" w:sz="4" w:space="0" w:color="auto"/>
              <w:right w:val="single" w:sz="4" w:space="0" w:color="auto"/>
            </w:tcBorders>
            <w:shd w:val="clear" w:color="auto" w:fill="auto"/>
            <w:noWrap/>
            <w:vAlign w:val="bottom"/>
            <w:hideMark/>
          </w:tcPr>
          <w:p w:rsidR="002A6FFF" w:rsidRPr="0021663D" w:rsidRDefault="002A6FFF" w:rsidP="0021663D">
            <w:pPr>
              <w:spacing w:before="0" w:line="240" w:lineRule="atLeast"/>
              <w:ind w:firstLine="0"/>
              <w:jc w:val="right"/>
              <w:rPr>
                <w:rFonts w:asciiTheme="minorHAnsi" w:hAnsiTheme="minorHAnsi"/>
                <w:sz w:val="20"/>
                <w:szCs w:val="20"/>
              </w:rPr>
            </w:pPr>
            <w:r w:rsidRPr="0021663D">
              <w:rPr>
                <w:rFonts w:asciiTheme="minorHAnsi" w:hAnsiTheme="minorHAnsi"/>
                <w:sz w:val="20"/>
                <w:szCs w:val="20"/>
              </w:rPr>
              <w:t>43</w:t>
            </w:r>
          </w:p>
        </w:tc>
        <w:tc>
          <w:tcPr>
            <w:tcW w:w="550" w:type="pct"/>
            <w:tcBorders>
              <w:top w:val="nil"/>
              <w:left w:val="nil"/>
              <w:bottom w:val="single" w:sz="4" w:space="0" w:color="auto"/>
              <w:right w:val="single" w:sz="4" w:space="0" w:color="auto"/>
            </w:tcBorders>
            <w:shd w:val="clear" w:color="auto" w:fill="auto"/>
            <w:noWrap/>
            <w:vAlign w:val="bottom"/>
            <w:hideMark/>
          </w:tcPr>
          <w:p w:rsidR="002A6FFF" w:rsidRPr="0021663D" w:rsidRDefault="002A6FFF" w:rsidP="0021663D">
            <w:pPr>
              <w:spacing w:before="0" w:line="240" w:lineRule="atLeast"/>
              <w:ind w:firstLine="0"/>
              <w:jc w:val="right"/>
              <w:rPr>
                <w:rFonts w:asciiTheme="minorHAnsi" w:hAnsiTheme="minorHAnsi"/>
                <w:sz w:val="20"/>
                <w:szCs w:val="20"/>
              </w:rPr>
            </w:pPr>
            <w:r w:rsidRPr="0021663D">
              <w:rPr>
                <w:rFonts w:asciiTheme="minorHAnsi" w:hAnsiTheme="minorHAnsi"/>
                <w:sz w:val="20"/>
                <w:szCs w:val="20"/>
              </w:rPr>
              <w:t>45</w:t>
            </w:r>
          </w:p>
        </w:tc>
        <w:tc>
          <w:tcPr>
            <w:tcW w:w="549" w:type="pct"/>
            <w:tcBorders>
              <w:top w:val="nil"/>
              <w:left w:val="nil"/>
              <w:bottom w:val="single" w:sz="4" w:space="0" w:color="auto"/>
              <w:right w:val="single" w:sz="4" w:space="0" w:color="auto"/>
            </w:tcBorders>
            <w:shd w:val="clear" w:color="auto" w:fill="auto"/>
            <w:noWrap/>
            <w:vAlign w:val="bottom"/>
            <w:hideMark/>
          </w:tcPr>
          <w:p w:rsidR="002A6FFF" w:rsidRPr="0021663D" w:rsidRDefault="002A6FFF" w:rsidP="0021663D">
            <w:pPr>
              <w:spacing w:before="0" w:line="240" w:lineRule="atLeast"/>
              <w:ind w:firstLine="0"/>
              <w:jc w:val="right"/>
              <w:rPr>
                <w:rFonts w:asciiTheme="minorHAnsi" w:hAnsiTheme="minorHAnsi"/>
                <w:sz w:val="20"/>
                <w:szCs w:val="20"/>
              </w:rPr>
            </w:pPr>
            <w:r w:rsidRPr="0021663D">
              <w:rPr>
                <w:rFonts w:asciiTheme="minorHAnsi" w:hAnsiTheme="minorHAnsi"/>
                <w:sz w:val="20"/>
                <w:szCs w:val="20"/>
              </w:rPr>
              <w:t>42</w:t>
            </w:r>
          </w:p>
        </w:tc>
        <w:tc>
          <w:tcPr>
            <w:tcW w:w="471" w:type="pct"/>
            <w:tcBorders>
              <w:top w:val="nil"/>
              <w:left w:val="nil"/>
              <w:bottom w:val="single" w:sz="4" w:space="0" w:color="auto"/>
              <w:right w:val="single" w:sz="4" w:space="0" w:color="auto"/>
            </w:tcBorders>
            <w:shd w:val="clear" w:color="auto" w:fill="auto"/>
            <w:noWrap/>
            <w:vAlign w:val="bottom"/>
            <w:hideMark/>
          </w:tcPr>
          <w:p w:rsidR="002A6FFF" w:rsidRPr="0021663D" w:rsidRDefault="002A6FFF" w:rsidP="0021663D">
            <w:pPr>
              <w:spacing w:before="0" w:line="240" w:lineRule="atLeast"/>
              <w:ind w:firstLine="0"/>
              <w:jc w:val="right"/>
              <w:rPr>
                <w:rFonts w:asciiTheme="minorHAnsi" w:hAnsiTheme="minorHAnsi"/>
                <w:sz w:val="20"/>
                <w:szCs w:val="20"/>
              </w:rPr>
            </w:pPr>
            <w:r w:rsidRPr="0021663D">
              <w:rPr>
                <w:rFonts w:asciiTheme="minorHAnsi" w:hAnsiTheme="minorHAnsi"/>
                <w:sz w:val="20"/>
                <w:szCs w:val="20"/>
              </w:rPr>
              <w:t>43</w:t>
            </w:r>
          </w:p>
        </w:tc>
        <w:tc>
          <w:tcPr>
            <w:tcW w:w="471" w:type="pct"/>
            <w:tcBorders>
              <w:top w:val="nil"/>
              <w:left w:val="nil"/>
              <w:bottom w:val="single" w:sz="4" w:space="0" w:color="auto"/>
              <w:right w:val="single" w:sz="4" w:space="0" w:color="auto"/>
            </w:tcBorders>
            <w:shd w:val="clear" w:color="auto" w:fill="auto"/>
            <w:noWrap/>
            <w:vAlign w:val="bottom"/>
            <w:hideMark/>
          </w:tcPr>
          <w:p w:rsidR="002A6FFF" w:rsidRPr="0021663D" w:rsidRDefault="002A6FFF" w:rsidP="0021663D">
            <w:pPr>
              <w:spacing w:before="0" w:line="240" w:lineRule="atLeast"/>
              <w:ind w:firstLine="0"/>
              <w:jc w:val="right"/>
              <w:rPr>
                <w:rFonts w:asciiTheme="minorHAnsi" w:hAnsiTheme="minorHAnsi"/>
                <w:sz w:val="20"/>
                <w:szCs w:val="20"/>
              </w:rPr>
            </w:pPr>
            <w:r w:rsidRPr="0021663D">
              <w:rPr>
                <w:rFonts w:asciiTheme="minorHAnsi" w:hAnsiTheme="minorHAnsi"/>
                <w:sz w:val="20"/>
                <w:szCs w:val="20"/>
              </w:rPr>
              <w:t>57</w:t>
            </w:r>
          </w:p>
        </w:tc>
        <w:tc>
          <w:tcPr>
            <w:tcW w:w="459" w:type="pct"/>
            <w:tcBorders>
              <w:top w:val="nil"/>
              <w:left w:val="nil"/>
              <w:bottom w:val="single" w:sz="4" w:space="0" w:color="auto"/>
              <w:right w:val="single" w:sz="12" w:space="0" w:color="auto"/>
            </w:tcBorders>
            <w:shd w:val="clear" w:color="auto" w:fill="auto"/>
            <w:noWrap/>
            <w:vAlign w:val="bottom"/>
            <w:hideMark/>
          </w:tcPr>
          <w:p w:rsidR="002A6FFF" w:rsidRPr="0021663D" w:rsidRDefault="002A6FFF" w:rsidP="0021663D">
            <w:pPr>
              <w:spacing w:before="0" w:line="240" w:lineRule="atLeast"/>
              <w:ind w:firstLine="0"/>
              <w:jc w:val="right"/>
              <w:rPr>
                <w:rFonts w:asciiTheme="minorHAnsi" w:hAnsiTheme="minorHAnsi"/>
                <w:sz w:val="20"/>
                <w:szCs w:val="20"/>
              </w:rPr>
            </w:pPr>
            <w:r w:rsidRPr="0021663D">
              <w:rPr>
                <w:rFonts w:asciiTheme="minorHAnsi" w:hAnsiTheme="minorHAnsi"/>
                <w:sz w:val="20"/>
                <w:szCs w:val="20"/>
              </w:rPr>
              <w:t>55</w:t>
            </w:r>
          </w:p>
        </w:tc>
      </w:tr>
      <w:tr w:rsidR="002A6FFF" w:rsidRPr="00160B6A" w:rsidTr="0021663D">
        <w:trPr>
          <w:trHeight w:val="246"/>
        </w:trPr>
        <w:tc>
          <w:tcPr>
            <w:tcW w:w="963" w:type="pct"/>
            <w:tcBorders>
              <w:top w:val="nil"/>
              <w:left w:val="single" w:sz="12" w:space="0" w:color="auto"/>
              <w:bottom w:val="single" w:sz="4" w:space="0" w:color="auto"/>
              <w:right w:val="single" w:sz="8" w:space="0" w:color="auto"/>
            </w:tcBorders>
            <w:shd w:val="clear" w:color="auto" w:fill="auto"/>
            <w:noWrap/>
            <w:vAlign w:val="bottom"/>
            <w:hideMark/>
          </w:tcPr>
          <w:p w:rsidR="002A6FFF" w:rsidRPr="0021663D" w:rsidRDefault="002A6FFF" w:rsidP="0021663D">
            <w:pPr>
              <w:spacing w:before="0" w:line="240" w:lineRule="atLeast"/>
              <w:ind w:firstLine="0"/>
              <w:jc w:val="right"/>
              <w:rPr>
                <w:rFonts w:asciiTheme="minorHAnsi" w:hAnsiTheme="minorHAnsi"/>
                <w:b/>
                <w:bCs/>
                <w:sz w:val="20"/>
                <w:szCs w:val="20"/>
              </w:rPr>
            </w:pPr>
            <w:r w:rsidRPr="0021663D">
              <w:rPr>
                <w:rFonts w:asciiTheme="minorHAnsi" w:hAnsiTheme="minorHAnsi"/>
                <w:b/>
                <w:bCs/>
                <w:sz w:val="20"/>
                <w:szCs w:val="20"/>
              </w:rPr>
              <w:t>1-5</w:t>
            </w:r>
          </w:p>
        </w:tc>
        <w:tc>
          <w:tcPr>
            <w:tcW w:w="515" w:type="pct"/>
            <w:tcBorders>
              <w:top w:val="nil"/>
              <w:left w:val="single" w:sz="8" w:space="0" w:color="auto"/>
              <w:bottom w:val="single" w:sz="4" w:space="0" w:color="auto"/>
              <w:right w:val="single" w:sz="4" w:space="0" w:color="auto"/>
            </w:tcBorders>
            <w:shd w:val="clear" w:color="auto" w:fill="auto"/>
            <w:noWrap/>
            <w:vAlign w:val="bottom"/>
            <w:hideMark/>
          </w:tcPr>
          <w:p w:rsidR="002A6FFF" w:rsidRPr="0021663D" w:rsidRDefault="002A6FFF" w:rsidP="0021663D">
            <w:pPr>
              <w:spacing w:before="0" w:line="240" w:lineRule="atLeast"/>
              <w:ind w:firstLine="0"/>
              <w:jc w:val="right"/>
              <w:rPr>
                <w:rFonts w:asciiTheme="minorHAnsi" w:hAnsiTheme="minorHAnsi"/>
                <w:sz w:val="20"/>
                <w:szCs w:val="20"/>
              </w:rPr>
            </w:pPr>
            <w:r w:rsidRPr="0021663D">
              <w:rPr>
                <w:rFonts w:asciiTheme="minorHAnsi" w:hAnsiTheme="minorHAnsi"/>
                <w:sz w:val="20"/>
                <w:szCs w:val="20"/>
              </w:rPr>
              <w:t>79</w:t>
            </w:r>
          </w:p>
        </w:tc>
        <w:tc>
          <w:tcPr>
            <w:tcW w:w="471" w:type="pct"/>
            <w:tcBorders>
              <w:top w:val="nil"/>
              <w:left w:val="nil"/>
              <w:bottom w:val="single" w:sz="4" w:space="0" w:color="auto"/>
              <w:right w:val="single" w:sz="4" w:space="0" w:color="auto"/>
            </w:tcBorders>
            <w:shd w:val="clear" w:color="auto" w:fill="auto"/>
            <w:noWrap/>
            <w:vAlign w:val="bottom"/>
            <w:hideMark/>
          </w:tcPr>
          <w:p w:rsidR="002A6FFF" w:rsidRPr="0021663D" w:rsidRDefault="002A6FFF" w:rsidP="0021663D">
            <w:pPr>
              <w:spacing w:before="0" w:line="240" w:lineRule="atLeast"/>
              <w:ind w:firstLine="0"/>
              <w:jc w:val="right"/>
              <w:rPr>
                <w:rFonts w:asciiTheme="minorHAnsi" w:hAnsiTheme="minorHAnsi"/>
                <w:sz w:val="20"/>
                <w:szCs w:val="20"/>
              </w:rPr>
            </w:pPr>
            <w:r w:rsidRPr="0021663D">
              <w:rPr>
                <w:rFonts w:asciiTheme="minorHAnsi" w:hAnsiTheme="minorHAnsi"/>
                <w:sz w:val="20"/>
                <w:szCs w:val="20"/>
              </w:rPr>
              <w:t>77</w:t>
            </w:r>
          </w:p>
        </w:tc>
        <w:tc>
          <w:tcPr>
            <w:tcW w:w="550" w:type="pct"/>
            <w:tcBorders>
              <w:top w:val="nil"/>
              <w:left w:val="nil"/>
              <w:bottom w:val="single" w:sz="4" w:space="0" w:color="auto"/>
              <w:right w:val="single" w:sz="4" w:space="0" w:color="auto"/>
            </w:tcBorders>
            <w:shd w:val="clear" w:color="auto" w:fill="auto"/>
            <w:noWrap/>
            <w:vAlign w:val="bottom"/>
            <w:hideMark/>
          </w:tcPr>
          <w:p w:rsidR="002A6FFF" w:rsidRPr="0021663D" w:rsidRDefault="002A6FFF" w:rsidP="0021663D">
            <w:pPr>
              <w:spacing w:before="0" w:line="240" w:lineRule="atLeast"/>
              <w:ind w:firstLine="0"/>
              <w:jc w:val="right"/>
              <w:rPr>
                <w:rFonts w:asciiTheme="minorHAnsi" w:hAnsiTheme="minorHAnsi"/>
                <w:sz w:val="20"/>
                <w:szCs w:val="20"/>
              </w:rPr>
            </w:pPr>
            <w:r w:rsidRPr="0021663D">
              <w:rPr>
                <w:rFonts w:asciiTheme="minorHAnsi" w:hAnsiTheme="minorHAnsi"/>
                <w:sz w:val="20"/>
                <w:szCs w:val="20"/>
              </w:rPr>
              <w:t>74</w:t>
            </w:r>
          </w:p>
        </w:tc>
        <w:tc>
          <w:tcPr>
            <w:tcW w:w="550" w:type="pct"/>
            <w:tcBorders>
              <w:top w:val="nil"/>
              <w:left w:val="nil"/>
              <w:bottom w:val="single" w:sz="4" w:space="0" w:color="auto"/>
              <w:right w:val="single" w:sz="4" w:space="0" w:color="auto"/>
            </w:tcBorders>
            <w:shd w:val="clear" w:color="auto" w:fill="auto"/>
            <w:noWrap/>
            <w:vAlign w:val="bottom"/>
            <w:hideMark/>
          </w:tcPr>
          <w:p w:rsidR="002A6FFF" w:rsidRPr="0021663D" w:rsidRDefault="002A6FFF" w:rsidP="0021663D">
            <w:pPr>
              <w:spacing w:before="0" w:line="240" w:lineRule="atLeast"/>
              <w:ind w:firstLine="0"/>
              <w:jc w:val="right"/>
              <w:rPr>
                <w:rFonts w:asciiTheme="minorHAnsi" w:hAnsiTheme="minorHAnsi"/>
                <w:sz w:val="20"/>
                <w:szCs w:val="20"/>
              </w:rPr>
            </w:pPr>
            <w:r w:rsidRPr="0021663D">
              <w:rPr>
                <w:rFonts w:asciiTheme="minorHAnsi" w:hAnsiTheme="minorHAnsi"/>
                <w:sz w:val="20"/>
                <w:szCs w:val="20"/>
              </w:rPr>
              <w:t>77</w:t>
            </w:r>
          </w:p>
        </w:tc>
        <w:tc>
          <w:tcPr>
            <w:tcW w:w="549" w:type="pct"/>
            <w:tcBorders>
              <w:top w:val="nil"/>
              <w:left w:val="nil"/>
              <w:bottom w:val="single" w:sz="4" w:space="0" w:color="auto"/>
              <w:right w:val="single" w:sz="4" w:space="0" w:color="auto"/>
            </w:tcBorders>
            <w:shd w:val="clear" w:color="auto" w:fill="auto"/>
            <w:noWrap/>
            <w:vAlign w:val="bottom"/>
            <w:hideMark/>
          </w:tcPr>
          <w:p w:rsidR="002A6FFF" w:rsidRPr="0021663D" w:rsidRDefault="002A6FFF" w:rsidP="0021663D">
            <w:pPr>
              <w:spacing w:before="0" w:line="240" w:lineRule="atLeast"/>
              <w:ind w:firstLine="0"/>
              <w:jc w:val="right"/>
              <w:rPr>
                <w:rFonts w:asciiTheme="minorHAnsi" w:hAnsiTheme="minorHAnsi"/>
                <w:sz w:val="20"/>
                <w:szCs w:val="20"/>
              </w:rPr>
            </w:pPr>
            <w:r w:rsidRPr="0021663D">
              <w:rPr>
                <w:rFonts w:asciiTheme="minorHAnsi" w:hAnsiTheme="minorHAnsi"/>
                <w:sz w:val="20"/>
                <w:szCs w:val="20"/>
              </w:rPr>
              <w:t>75</w:t>
            </w:r>
          </w:p>
        </w:tc>
        <w:tc>
          <w:tcPr>
            <w:tcW w:w="471" w:type="pct"/>
            <w:tcBorders>
              <w:top w:val="nil"/>
              <w:left w:val="nil"/>
              <w:bottom w:val="single" w:sz="4" w:space="0" w:color="auto"/>
              <w:right w:val="single" w:sz="4" w:space="0" w:color="auto"/>
            </w:tcBorders>
            <w:shd w:val="clear" w:color="auto" w:fill="auto"/>
            <w:noWrap/>
            <w:vAlign w:val="bottom"/>
            <w:hideMark/>
          </w:tcPr>
          <w:p w:rsidR="002A6FFF" w:rsidRPr="0021663D" w:rsidRDefault="002A6FFF" w:rsidP="0021663D">
            <w:pPr>
              <w:spacing w:before="0" w:line="240" w:lineRule="atLeast"/>
              <w:ind w:firstLine="0"/>
              <w:jc w:val="right"/>
              <w:rPr>
                <w:rFonts w:asciiTheme="minorHAnsi" w:hAnsiTheme="minorHAnsi"/>
                <w:sz w:val="20"/>
                <w:szCs w:val="20"/>
              </w:rPr>
            </w:pPr>
            <w:r w:rsidRPr="0021663D">
              <w:rPr>
                <w:rFonts w:asciiTheme="minorHAnsi" w:hAnsiTheme="minorHAnsi"/>
                <w:sz w:val="20"/>
                <w:szCs w:val="20"/>
              </w:rPr>
              <w:t>75</w:t>
            </w:r>
          </w:p>
        </w:tc>
        <w:tc>
          <w:tcPr>
            <w:tcW w:w="471" w:type="pct"/>
            <w:tcBorders>
              <w:top w:val="nil"/>
              <w:left w:val="nil"/>
              <w:bottom w:val="single" w:sz="4" w:space="0" w:color="auto"/>
              <w:right w:val="single" w:sz="4" w:space="0" w:color="auto"/>
            </w:tcBorders>
            <w:shd w:val="clear" w:color="auto" w:fill="auto"/>
            <w:noWrap/>
            <w:vAlign w:val="bottom"/>
            <w:hideMark/>
          </w:tcPr>
          <w:p w:rsidR="002A6FFF" w:rsidRPr="0021663D" w:rsidRDefault="002A6FFF" w:rsidP="0021663D">
            <w:pPr>
              <w:spacing w:before="0" w:line="240" w:lineRule="atLeast"/>
              <w:ind w:firstLine="0"/>
              <w:jc w:val="right"/>
              <w:rPr>
                <w:rFonts w:asciiTheme="minorHAnsi" w:hAnsiTheme="minorHAnsi"/>
                <w:sz w:val="20"/>
                <w:szCs w:val="20"/>
              </w:rPr>
            </w:pPr>
            <w:r w:rsidRPr="0021663D">
              <w:rPr>
                <w:rFonts w:asciiTheme="minorHAnsi" w:hAnsiTheme="minorHAnsi"/>
                <w:sz w:val="20"/>
                <w:szCs w:val="20"/>
              </w:rPr>
              <w:t>143</w:t>
            </w:r>
          </w:p>
        </w:tc>
        <w:tc>
          <w:tcPr>
            <w:tcW w:w="459" w:type="pct"/>
            <w:tcBorders>
              <w:top w:val="nil"/>
              <w:left w:val="nil"/>
              <w:bottom w:val="single" w:sz="4" w:space="0" w:color="auto"/>
              <w:right w:val="single" w:sz="12" w:space="0" w:color="auto"/>
            </w:tcBorders>
            <w:shd w:val="clear" w:color="auto" w:fill="auto"/>
            <w:noWrap/>
            <w:vAlign w:val="bottom"/>
            <w:hideMark/>
          </w:tcPr>
          <w:p w:rsidR="002A6FFF" w:rsidRPr="0021663D" w:rsidRDefault="002A6FFF" w:rsidP="0021663D">
            <w:pPr>
              <w:spacing w:before="0" w:line="240" w:lineRule="atLeast"/>
              <w:ind w:firstLine="0"/>
              <w:jc w:val="right"/>
              <w:rPr>
                <w:rFonts w:asciiTheme="minorHAnsi" w:hAnsiTheme="minorHAnsi"/>
                <w:sz w:val="20"/>
                <w:szCs w:val="20"/>
              </w:rPr>
            </w:pPr>
            <w:r w:rsidRPr="0021663D">
              <w:rPr>
                <w:rFonts w:asciiTheme="minorHAnsi" w:hAnsiTheme="minorHAnsi"/>
                <w:sz w:val="20"/>
                <w:szCs w:val="20"/>
              </w:rPr>
              <w:t>134</w:t>
            </w:r>
          </w:p>
        </w:tc>
      </w:tr>
      <w:tr w:rsidR="002A6FFF" w:rsidRPr="00160B6A" w:rsidTr="0021663D">
        <w:trPr>
          <w:trHeight w:val="232"/>
        </w:trPr>
        <w:tc>
          <w:tcPr>
            <w:tcW w:w="963" w:type="pct"/>
            <w:tcBorders>
              <w:top w:val="nil"/>
              <w:left w:val="single" w:sz="12" w:space="0" w:color="auto"/>
              <w:bottom w:val="single" w:sz="4" w:space="0" w:color="auto"/>
              <w:right w:val="single" w:sz="8" w:space="0" w:color="auto"/>
            </w:tcBorders>
            <w:shd w:val="clear" w:color="auto" w:fill="auto"/>
            <w:noWrap/>
            <w:vAlign w:val="bottom"/>
            <w:hideMark/>
          </w:tcPr>
          <w:p w:rsidR="002A6FFF" w:rsidRPr="0021663D" w:rsidRDefault="002A6FFF" w:rsidP="00EB3367">
            <w:pPr>
              <w:spacing w:before="0" w:line="240" w:lineRule="auto"/>
              <w:ind w:firstLine="0"/>
              <w:jc w:val="right"/>
              <w:rPr>
                <w:rFonts w:asciiTheme="minorHAnsi" w:hAnsiTheme="minorHAnsi"/>
                <w:b/>
                <w:bCs/>
                <w:sz w:val="20"/>
                <w:szCs w:val="20"/>
              </w:rPr>
            </w:pPr>
            <w:r w:rsidRPr="0021663D">
              <w:rPr>
                <w:rFonts w:asciiTheme="minorHAnsi" w:hAnsiTheme="minorHAnsi"/>
                <w:b/>
                <w:bCs/>
                <w:sz w:val="20"/>
                <w:szCs w:val="20"/>
              </w:rPr>
              <w:t>ostatní</w:t>
            </w:r>
          </w:p>
        </w:tc>
        <w:tc>
          <w:tcPr>
            <w:tcW w:w="515" w:type="pct"/>
            <w:tcBorders>
              <w:top w:val="nil"/>
              <w:left w:val="single" w:sz="8" w:space="0" w:color="auto"/>
              <w:bottom w:val="single" w:sz="4" w:space="0" w:color="auto"/>
              <w:right w:val="single" w:sz="4" w:space="0" w:color="auto"/>
            </w:tcBorders>
            <w:shd w:val="clear" w:color="auto" w:fill="auto"/>
            <w:noWrap/>
            <w:vAlign w:val="bottom"/>
            <w:hideMark/>
          </w:tcPr>
          <w:p w:rsidR="002A6FFF" w:rsidRPr="0021663D" w:rsidRDefault="002A6FFF" w:rsidP="00EB3367">
            <w:pPr>
              <w:spacing w:before="0" w:line="240" w:lineRule="auto"/>
              <w:ind w:firstLine="0"/>
              <w:jc w:val="right"/>
              <w:rPr>
                <w:rFonts w:asciiTheme="minorHAnsi" w:hAnsiTheme="minorHAnsi"/>
                <w:sz w:val="20"/>
                <w:szCs w:val="20"/>
              </w:rPr>
            </w:pPr>
            <w:r w:rsidRPr="0021663D">
              <w:rPr>
                <w:rFonts w:asciiTheme="minorHAnsi" w:hAnsiTheme="minorHAnsi"/>
                <w:sz w:val="20"/>
                <w:szCs w:val="20"/>
              </w:rPr>
              <w:t>220</w:t>
            </w:r>
          </w:p>
        </w:tc>
        <w:tc>
          <w:tcPr>
            <w:tcW w:w="471" w:type="pct"/>
            <w:tcBorders>
              <w:top w:val="nil"/>
              <w:left w:val="nil"/>
              <w:bottom w:val="single" w:sz="4" w:space="0" w:color="auto"/>
              <w:right w:val="single" w:sz="4" w:space="0" w:color="auto"/>
            </w:tcBorders>
            <w:shd w:val="clear" w:color="auto" w:fill="auto"/>
            <w:noWrap/>
            <w:vAlign w:val="bottom"/>
            <w:hideMark/>
          </w:tcPr>
          <w:p w:rsidR="002A6FFF" w:rsidRPr="0021663D" w:rsidRDefault="002A6FFF" w:rsidP="00EB3367">
            <w:pPr>
              <w:spacing w:before="0" w:line="240" w:lineRule="auto"/>
              <w:ind w:firstLine="0"/>
              <w:jc w:val="right"/>
              <w:rPr>
                <w:rFonts w:asciiTheme="minorHAnsi" w:hAnsiTheme="minorHAnsi"/>
                <w:sz w:val="20"/>
                <w:szCs w:val="20"/>
              </w:rPr>
            </w:pPr>
            <w:r w:rsidRPr="0021663D">
              <w:rPr>
                <w:rFonts w:asciiTheme="minorHAnsi" w:hAnsiTheme="minorHAnsi"/>
                <w:sz w:val="20"/>
                <w:szCs w:val="20"/>
              </w:rPr>
              <w:t>211</w:t>
            </w:r>
          </w:p>
        </w:tc>
        <w:tc>
          <w:tcPr>
            <w:tcW w:w="550" w:type="pct"/>
            <w:tcBorders>
              <w:top w:val="nil"/>
              <w:left w:val="nil"/>
              <w:bottom w:val="single" w:sz="4" w:space="0" w:color="auto"/>
              <w:right w:val="single" w:sz="4" w:space="0" w:color="auto"/>
            </w:tcBorders>
            <w:shd w:val="clear" w:color="auto" w:fill="auto"/>
            <w:noWrap/>
            <w:vAlign w:val="bottom"/>
            <w:hideMark/>
          </w:tcPr>
          <w:p w:rsidR="002A6FFF" w:rsidRPr="0021663D" w:rsidRDefault="002A6FFF" w:rsidP="00EB3367">
            <w:pPr>
              <w:spacing w:before="0" w:line="240" w:lineRule="auto"/>
              <w:ind w:firstLine="0"/>
              <w:jc w:val="right"/>
              <w:rPr>
                <w:rFonts w:asciiTheme="minorHAnsi" w:hAnsiTheme="minorHAnsi"/>
                <w:sz w:val="20"/>
                <w:szCs w:val="20"/>
              </w:rPr>
            </w:pPr>
            <w:r w:rsidRPr="0021663D">
              <w:rPr>
                <w:rFonts w:asciiTheme="minorHAnsi" w:hAnsiTheme="minorHAnsi"/>
                <w:sz w:val="20"/>
                <w:szCs w:val="20"/>
              </w:rPr>
              <w:t>216</w:t>
            </w:r>
          </w:p>
        </w:tc>
        <w:tc>
          <w:tcPr>
            <w:tcW w:w="550" w:type="pct"/>
            <w:tcBorders>
              <w:top w:val="nil"/>
              <w:left w:val="nil"/>
              <w:bottom w:val="single" w:sz="4" w:space="0" w:color="auto"/>
              <w:right w:val="single" w:sz="4" w:space="0" w:color="auto"/>
            </w:tcBorders>
            <w:shd w:val="clear" w:color="auto" w:fill="auto"/>
            <w:noWrap/>
            <w:vAlign w:val="bottom"/>
            <w:hideMark/>
          </w:tcPr>
          <w:p w:rsidR="002A6FFF" w:rsidRPr="0021663D" w:rsidRDefault="002A6FFF" w:rsidP="00EB3367">
            <w:pPr>
              <w:spacing w:before="0" w:line="240" w:lineRule="auto"/>
              <w:ind w:firstLine="0"/>
              <w:jc w:val="right"/>
              <w:rPr>
                <w:rFonts w:asciiTheme="minorHAnsi" w:hAnsiTheme="minorHAnsi"/>
                <w:sz w:val="20"/>
                <w:szCs w:val="20"/>
              </w:rPr>
            </w:pPr>
            <w:r w:rsidRPr="0021663D">
              <w:rPr>
                <w:rFonts w:asciiTheme="minorHAnsi" w:hAnsiTheme="minorHAnsi"/>
                <w:sz w:val="20"/>
                <w:szCs w:val="20"/>
              </w:rPr>
              <w:t>220</w:t>
            </w:r>
          </w:p>
        </w:tc>
        <w:tc>
          <w:tcPr>
            <w:tcW w:w="549" w:type="pct"/>
            <w:tcBorders>
              <w:top w:val="nil"/>
              <w:left w:val="nil"/>
              <w:bottom w:val="single" w:sz="4" w:space="0" w:color="auto"/>
              <w:right w:val="single" w:sz="4" w:space="0" w:color="auto"/>
            </w:tcBorders>
            <w:shd w:val="clear" w:color="auto" w:fill="auto"/>
            <w:noWrap/>
            <w:vAlign w:val="bottom"/>
            <w:hideMark/>
          </w:tcPr>
          <w:p w:rsidR="002A6FFF" w:rsidRPr="0021663D" w:rsidRDefault="002A6FFF" w:rsidP="00EB3367">
            <w:pPr>
              <w:spacing w:before="0" w:line="240" w:lineRule="auto"/>
              <w:ind w:firstLine="0"/>
              <w:jc w:val="right"/>
              <w:rPr>
                <w:rFonts w:asciiTheme="minorHAnsi" w:hAnsiTheme="minorHAnsi"/>
                <w:sz w:val="20"/>
                <w:szCs w:val="20"/>
              </w:rPr>
            </w:pPr>
            <w:r w:rsidRPr="0021663D">
              <w:rPr>
                <w:rFonts w:asciiTheme="minorHAnsi" w:hAnsiTheme="minorHAnsi"/>
                <w:sz w:val="20"/>
                <w:szCs w:val="20"/>
              </w:rPr>
              <w:t>219</w:t>
            </w:r>
          </w:p>
        </w:tc>
        <w:tc>
          <w:tcPr>
            <w:tcW w:w="471" w:type="pct"/>
            <w:tcBorders>
              <w:top w:val="nil"/>
              <w:left w:val="nil"/>
              <w:bottom w:val="single" w:sz="4" w:space="0" w:color="auto"/>
              <w:right w:val="single" w:sz="4" w:space="0" w:color="auto"/>
            </w:tcBorders>
            <w:shd w:val="clear" w:color="auto" w:fill="auto"/>
            <w:noWrap/>
            <w:vAlign w:val="bottom"/>
            <w:hideMark/>
          </w:tcPr>
          <w:p w:rsidR="002A6FFF" w:rsidRPr="0021663D" w:rsidRDefault="002A6FFF" w:rsidP="00EB3367">
            <w:pPr>
              <w:spacing w:before="0" w:line="240" w:lineRule="auto"/>
              <w:ind w:firstLine="0"/>
              <w:jc w:val="right"/>
              <w:rPr>
                <w:rFonts w:asciiTheme="minorHAnsi" w:hAnsiTheme="minorHAnsi"/>
                <w:sz w:val="20"/>
                <w:szCs w:val="20"/>
              </w:rPr>
            </w:pPr>
            <w:r w:rsidRPr="0021663D">
              <w:rPr>
                <w:rFonts w:asciiTheme="minorHAnsi" w:hAnsiTheme="minorHAnsi"/>
                <w:sz w:val="20"/>
                <w:szCs w:val="20"/>
              </w:rPr>
              <w:t>217</w:t>
            </w:r>
          </w:p>
        </w:tc>
        <w:tc>
          <w:tcPr>
            <w:tcW w:w="471" w:type="pct"/>
            <w:tcBorders>
              <w:top w:val="nil"/>
              <w:left w:val="nil"/>
              <w:bottom w:val="single" w:sz="4" w:space="0" w:color="auto"/>
              <w:right w:val="single" w:sz="4" w:space="0" w:color="auto"/>
            </w:tcBorders>
            <w:shd w:val="clear" w:color="auto" w:fill="auto"/>
            <w:noWrap/>
            <w:vAlign w:val="bottom"/>
            <w:hideMark/>
          </w:tcPr>
          <w:p w:rsidR="002A6FFF" w:rsidRPr="0021663D" w:rsidRDefault="002A6FFF" w:rsidP="00EB3367">
            <w:pPr>
              <w:spacing w:before="0" w:line="240" w:lineRule="auto"/>
              <w:ind w:firstLine="0"/>
              <w:jc w:val="right"/>
              <w:rPr>
                <w:rFonts w:asciiTheme="minorHAnsi" w:hAnsiTheme="minorHAnsi"/>
                <w:sz w:val="20"/>
                <w:szCs w:val="20"/>
              </w:rPr>
            </w:pPr>
            <w:r w:rsidRPr="0021663D">
              <w:rPr>
                <w:rFonts w:asciiTheme="minorHAnsi" w:hAnsiTheme="minorHAnsi"/>
                <w:sz w:val="20"/>
                <w:szCs w:val="20"/>
              </w:rPr>
              <w:t>170</w:t>
            </w:r>
          </w:p>
        </w:tc>
        <w:tc>
          <w:tcPr>
            <w:tcW w:w="459" w:type="pct"/>
            <w:tcBorders>
              <w:top w:val="nil"/>
              <w:left w:val="nil"/>
              <w:bottom w:val="single" w:sz="4" w:space="0" w:color="auto"/>
              <w:right w:val="single" w:sz="12" w:space="0" w:color="auto"/>
            </w:tcBorders>
            <w:shd w:val="clear" w:color="auto" w:fill="auto"/>
            <w:noWrap/>
            <w:vAlign w:val="bottom"/>
            <w:hideMark/>
          </w:tcPr>
          <w:p w:rsidR="002A6FFF" w:rsidRPr="0021663D" w:rsidRDefault="002A6FFF" w:rsidP="00EB3367">
            <w:pPr>
              <w:spacing w:before="0" w:line="240" w:lineRule="auto"/>
              <w:ind w:firstLine="0"/>
              <w:jc w:val="right"/>
              <w:rPr>
                <w:rFonts w:asciiTheme="minorHAnsi" w:hAnsiTheme="minorHAnsi"/>
                <w:sz w:val="20"/>
                <w:szCs w:val="20"/>
              </w:rPr>
            </w:pPr>
            <w:r w:rsidRPr="0021663D">
              <w:rPr>
                <w:rFonts w:asciiTheme="minorHAnsi" w:hAnsiTheme="minorHAnsi"/>
                <w:sz w:val="20"/>
                <w:szCs w:val="20"/>
              </w:rPr>
              <w:t>180</w:t>
            </w:r>
          </w:p>
        </w:tc>
      </w:tr>
      <w:tr w:rsidR="002A6FFF" w:rsidRPr="00160B6A" w:rsidTr="0021663D">
        <w:trPr>
          <w:trHeight w:val="94"/>
        </w:trPr>
        <w:tc>
          <w:tcPr>
            <w:tcW w:w="963" w:type="pct"/>
            <w:tcBorders>
              <w:top w:val="nil"/>
              <w:left w:val="single" w:sz="12" w:space="0" w:color="auto"/>
              <w:bottom w:val="single" w:sz="12" w:space="0" w:color="auto"/>
              <w:right w:val="single" w:sz="8" w:space="0" w:color="auto"/>
            </w:tcBorders>
            <w:shd w:val="clear" w:color="auto" w:fill="auto"/>
            <w:noWrap/>
            <w:vAlign w:val="bottom"/>
            <w:hideMark/>
          </w:tcPr>
          <w:p w:rsidR="002A6FFF" w:rsidRPr="00160B6A" w:rsidRDefault="002A6FFF" w:rsidP="00EB3367">
            <w:pPr>
              <w:spacing w:before="0" w:line="240" w:lineRule="auto"/>
              <w:ind w:firstLine="0"/>
              <w:jc w:val="right"/>
              <w:rPr>
                <w:rFonts w:asciiTheme="minorHAnsi" w:hAnsiTheme="minorHAnsi"/>
                <w:b/>
                <w:bCs/>
                <w:szCs w:val="22"/>
              </w:rPr>
            </w:pPr>
            <w:r w:rsidRPr="00160B6A">
              <w:rPr>
                <w:rFonts w:asciiTheme="minorHAnsi" w:hAnsiTheme="minorHAnsi"/>
                <w:b/>
                <w:bCs/>
                <w:sz w:val="22"/>
                <w:szCs w:val="22"/>
              </w:rPr>
              <w:t>CELKEM</w:t>
            </w:r>
          </w:p>
        </w:tc>
        <w:tc>
          <w:tcPr>
            <w:tcW w:w="515" w:type="pct"/>
            <w:tcBorders>
              <w:top w:val="nil"/>
              <w:left w:val="single" w:sz="8" w:space="0" w:color="auto"/>
              <w:bottom w:val="single" w:sz="12" w:space="0" w:color="auto"/>
              <w:right w:val="single" w:sz="4" w:space="0" w:color="auto"/>
            </w:tcBorders>
            <w:shd w:val="clear" w:color="auto" w:fill="auto"/>
            <w:noWrap/>
            <w:vAlign w:val="bottom"/>
            <w:hideMark/>
          </w:tcPr>
          <w:p w:rsidR="002A6FFF" w:rsidRPr="00160B6A" w:rsidRDefault="002A6FFF" w:rsidP="00EB3367">
            <w:pPr>
              <w:spacing w:before="0" w:line="240" w:lineRule="auto"/>
              <w:ind w:firstLine="0"/>
              <w:jc w:val="right"/>
              <w:rPr>
                <w:rFonts w:asciiTheme="minorHAnsi" w:hAnsiTheme="minorHAnsi"/>
                <w:szCs w:val="22"/>
              </w:rPr>
            </w:pPr>
            <w:r w:rsidRPr="00160B6A">
              <w:rPr>
                <w:rFonts w:asciiTheme="minorHAnsi" w:hAnsiTheme="minorHAnsi"/>
                <w:sz w:val="22"/>
                <w:szCs w:val="22"/>
              </w:rPr>
              <w:t>477</w:t>
            </w:r>
          </w:p>
        </w:tc>
        <w:tc>
          <w:tcPr>
            <w:tcW w:w="471" w:type="pct"/>
            <w:tcBorders>
              <w:top w:val="nil"/>
              <w:left w:val="nil"/>
              <w:bottom w:val="single" w:sz="12" w:space="0" w:color="auto"/>
              <w:right w:val="single" w:sz="4" w:space="0" w:color="auto"/>
            </w:tcBorders>
            <w:shd w:val="clear" w:color="auto" w:fill="auto"/>
            <w:noWrap/>
            <w:vAlign w:val="bottom"/>
            <w:hideMark/>
          </w:tcPr>
          <w:p w:rsidR="002A6FFF" w:rsidRPr="00160B6A" w:rsidRDefault="002A6FFF" w:rsidP="00EB3367">
            <w:pPr>
              <w:spacing w:before="0" w:line="240" w:lineRule="auto"/>
              <w:ind w:firstLine="0"/>
              <w:jc w:val="right"/>
              <w:rPr>
                <w:rFonts w:asciiTheme="minorHAnsi" w:hAnsiTheme="minorHAnsi"/>
                <w:szCs w:val="22"/>
              </w:rPr>
            </w:pPr>
            <w:r w:rsidRPr="00160B6A">
              <w:rPr>
                <w:rFonts w:asciiTheme="minorHAnsi" w:hAnsiTheme="minorHAnsi"/>
                <w:sz w:val="22"/>
                <w:szCs w:val="22"/>
              </w:rPr>
              <w:t>462</w:t>
            </w:r>
          </w:p>
        </w:tc>
        <w:tc>
          <w:tcPr>
            <w:tcW w:w="550" w:type="pct"/>
            <w:tcBorders>
              <w:top w:val="nil"/>
              <w:left w:val="nil"/>
              <w:bottom w:val="single" w:sz="12" w:space="0" w:color="auto"/>
              <w:right w:val="single" w:sz="4" w:space="0" w:color="auto"/>
            </w:tcBorders>
            <w:shd w:val="clear" w:color="auto" w:fill="auto"/>
            <w:noWrap/>
            <w:vAlign w:val="bottom"/>
            <w:hideMark/>
          </w:tcPr>
          <w:p w:rsidR="002A6FFF" w:rsidRPr="00160B6A" w:rsidRDefault="002A6FFF" w:rsidP="00EB3367">
            <w:pPr>
              <w:spacing w:before="0" w:line="240" w:lineRule="auto"/>
              <w:ind w:firstLine="0"/>
              <w:jc w:val="right"/>
              <w:rPr>
                <w:rFonts w:asciiTheme="minorHAnsi" w:hAnsiTheme="minorHAnsi"/>
                <w:szCs w:val="22"/>
              </w:rPr>
            </w:pPr>
            <w:r w:rsidRPr="00160B6A">
              <w:rPr>
                <w:rFonts w:asciiTheme="minorHAnsi" w:hAnsiTheme="minorHAnsi"/>
                <w:sz w:val="22"/>
                <w:szCs w:val="22"/>
              </w:rPr>
              <w:t>466</w:t>
            </w:r>
          </w:p>
        </w:tc>
        <w:tc>
          <w:tcPr>
            <w:tcW w:w="550" w:type="pct"/>
            <w:tcBorders>
              <w:top w:val="nil"/>
              <w:left w:val="nil"/>
              <w:bottom w:val="single" w:sz="12" w:space="0" w:color="auto"/>
              <w:right w:val="single" w:sz="4" w:space="0" w:color="auto"/>
            </w:tcBorders>
            <w:shd w:val="clear" w:color="auto" w:fill="auto"/>
            <w:noWrap/>
            <w:vAlign w:val="bottom"/>
            <w:hideMark/>
          </w:tcPr>
          <w:p w:rsidR="002A6FFF" w:rsidRPr="00160B6A" w:rsidRDefault="002A6FFF" w:rsidP="00EB3367">
            <w:pPr>
              <w:spacing w:before="0" w:line="240" w:lineRule="auto"/>
              <w:ind w:firstLine="0"/>
              <w:jc w:val="right"/>
              <w:rPr>
                <w:rFonts w:asciiTheme="minorHAnsi" w:hAnsiTheme="minorHAnsi"/>
                <w:szCs w:val="22"/>
              </w:rPr>
            </w:pPr>
            <w:r w:rsidRPr="00160B6A">
              <w:rPr>
                <w:rFonts w:asciiTheme="minorHAnsi" w:hAnsiTheme="minorHAnsi"/>
                <w:sz w:val="22"/>
                <w:szCs w:val="22"/>
              </w:rPr>
              <w:t>469</w:t>
            </w:r>
          </w:p>
        </w:tc>
        <w:tc>
          <w:tcPr>
            <w:tcW w:w="549" w:type="pct"/>
            <w:tcBorders>
              <w:top w:val="nil"/>
              <w:left w:val="nil"/>
              <w:bottom w:val="single" w:sz="12" w:space="0" w:color="auto"/>
              <w:right w:val="single" w:sz="4" w:space="0" w:color="auto"/>
            </w:tcBorders>
            <w:shd w:val="clear" w:color="auto" w:fill="auto"/>
            <w:noWrap/>
            <w:vAlign w:val="bottom"/>
            <w:hideMark/>
          </w:tcPr>
          <w:p w:rsidR="002A6FFF" w:rsidRPr="00160B6A" w:rsidRDefault="002A6FFF" w:rsidP="00EB3367">
            <w:pPr>
              <w:spacing w:before="0" w:line="240" w:lineRule="auto"/>
              <w:ind w:firstLine="0"/>
              <w:jc w:val="right"/>
              <w:rPr>
                <w:rFonts w:asciiTheme="minorHAnsi" w:hAnsiTheme="minorHAnsi"/>
                <w:szCs w:val="22"/>
              </w:rPr>
            </w:pPr>
            <w:r w:rsidRPr="00160B6A">
              <w:rPr>
                <w:rFonts w:asciiTheme="minorHAnsi" w:hAnsiTheme="minorHAnsi"/>
                <w:sz w:val="22"/>
                <w:szCs w:val="22"/>
              </w:rPr>
              <w:t>466</w:t>
            </w:r>
          </w:p>
        </w:tc>
        <w:tc>
          <w:tcPr>
            <w:tcW w:w="471" w:type="pct"/>
            <w:tcBorders>
              <w:top w:val="nil"/>
              <w:left w:val="nil"/>
              <w:bottom w:val="single" w:sz="12" w:space="0" w:color="auto"/>
              <w:right w:val="single" w:sz="4" w:space="0" w:color="auto"/>
            </w:tcBorders>
            <w:shd w:val="clear" w:color="auto" w:fill="auto"/>
            <w:noWrap/>
            <w:vAlign w:val="bottom"/>
            <w:hideMark/>
          </w:tcPr>
          <w:p w:rsidR="002A6FFF" w:rsidRPr="00160B6A" w:rsidRDefault="002A6FFF" w:rsidP="00EB3367">
            <w:pPr>
              <w:spacing w:before="0" w:line="240" w:lineRule="auto"/>
              <w:ind w:firstLine="0"/>
              <w:jc w:val="right"/>
              <w:rPr>
                <w:rFonts w:asciiTheme="minorHAnsi" w:hAnsiTheme="minorHAnsi"/>
                <w:szCs w:val="22"/>
              </w:rPr>
            </w:pPr>
            <w:r w:rsidRPr="00160B6A">
              <w:rPr>
                <w:rFonts w:asciiTheme="minorHAnsi" w:hAnsiTheme="minorHAnsi"/>
                <w:sz w:val="22"/>
                <w:szCs w:val="22"/>
              </w:rPr>
              <w:t>463</w:t>
            </w:r>
          </w:p>
        </w:tc>
        <w:tc>
          <w:tcPr>
            <w:tcW w:w="471" w:type="pct"/>
            <w:tcBorders>
              <w:top w:val="nil"/>
              <w:left w:val="nil"/>
              <w:bottom w:val="single" w:sz="12" w:space="0" w:color="auto"/>
              <w:right w:val="single" w:sz="4" w:space="0" w:color="auto"/>
            </w:tcBorders>
            <w:shd w:val="clear" w:color="auto" w:fill="auto"/>
            <w:noWrap/>
            <w:vAlign w:val="bottom"/>
            <w:hideMark/>
          </w:tcPr>
          <w:p w:rsidR="002A6FFF" w:rsidRPr="00160B6A" w:rsidRDefault="002A6FFF" w:rsidP="00EB3367">
            <w:pPr>
              <w:spacing w:before="0" w:line="240" w:lineRule="auto"/>
              <w:ind w:firstLine="0"/>
              <w:jc w:val="right"/>
              <w:rPr>
                <w:rFonts w:asciiTheme="minorHAnsi" w:hAnsiTheme="minorHAnsi"/>
                <w:szCs w:val="22"/>
              </w:rPr>
            </w:pPr>
            <w:r w:rsidRPr="00160B6A">
              <w:rPr>
                <w:rFonts w:asciiTheme="minorHAnsi" w:hAnsiTheme="minorHAnsi"/>
                <w:sz w:val="22"/>
                <w:szCs w:val="22"/>
              </w:rPr>
              <w:t>498</w:t>
            </w:r>
          </w:p>
        </w:tc>
        <w:tc>
          <w:tcPr>
            <w:tcW w:w="459" w:type="pct"/>
            <w:tcBorders>
              <w:top w:val="nil"/>
              <w:left w:val="nil"/>
              <w:bottom w:val="single" w:sz="12" w:space="0" w:color="auto"/>
              <w:right w:val="single" w:sz="12" w:space="0" w:color="auto"/>
            </w:tcBorders>
            <w:shd w:val="clear" w:color="auto" w:fill="auto"/>
            <w:noWrap/>
            <w:vAlign w:val="bottom"/>
            <w:hideMark/>
          </w:tcPr>
          <w:p w:rsidR="002A6FFF" w:rsidRPr="00160B6A" w:rsidRDefault="002A6FFF" w:rsidP="00EB3367">
            <w:pPr>
              <w:spacing w:before="0" w:line="240" w:lineRule="auto"/>
              <w:ind w:firstLine="0"/>
              <w:jc w:val="right"/>
              <w:rPr>
                <w:rFonts w:asciiTheme="minorHAnsi" w:hAnsiTheme="minorHAnsi"/>
                <w:szCs w:val="22"/>
              </w:rPr>
            </w:pPr>
            <w:r w:rsidRPr="00160B6A">
              <w:rPr>
                <w:rFonts w:asciiTheme="minorHAnsi" w:hAnsiTheme="minorHAnsi"/>
                <w:sz w:val="22"/>
                <w:szCs w:val="22"/>
              </w:rPr>
              <w:t>502</w:t>
            </w:r>
          </w:p>
        </w:tc>
      </w:tr>
    </w:tbl>
    <w:p w:rsidR="002A6FFF" w:rsidRPr="00FE31E4" w:rsidRDefault="002A6FFF" w:rsidP="0021663D">
      <w:pPr>
        <w:spacing w:before="0" w:line="240" w:lineRule="atLeast"/>
        <w:ind w:firstLine="0"/>
        <w:rPr>
          <w:rFonts w:asciiTheme="minorHAnsi" w:hAnsiTheme="minorHAnsi" w:cs="Arial"/>
          <w:sz w:val="18"/>
          <w:szCs w:val="18"/>
        </w:rPr>
      </w:pPr>
      <w:r w:rsidRPr="00FE31E4">
        <w:rPr>
          <w:rFonts w:asciiTheme="minorHAnsi" w:hAnsiTheme="minorHAnsi" w:cs="Arial"/>
          <w:sz w:val="18"/>
          <w:szCs w:val="18"/>
        </w:rPr>
        <w:t>Pramen: ZUČM</w:t>
      </w:r>
    </w:p>
    <w:p w:rsidR="002A6FFF" w:rsidRPr="00160B6A" w:rsidRDefault="002A6FFF" w:rsidP="002A6FFF">
      <w:pPr>
        <w:spacing w:before="0" w:line="300" w:lineRule="atLeast"/>
        <w:ind w:firstLine="0"/>
        <w:rPr>
          <w:rFonts w:asciiTheme="minorHAnsi" w:hAnsiTheme="minorHAnsi"/>
          <w:i/>
          <w:sz w:val="22"/>
          <w:szCs w:val="22"/>
        </w:rPr>
      </w:pPr>
      <w:r w:rsidRPr="001F38E3">
        <w:rPr>
          <w:rFonts w:asciiTheme="minorHAnsi" w:hAnsiTheme="minorHAnsi"/>
          <w:sz w:val="22"/>
          <w:szCs w:val="22"/>
        </w:rPr>
        <w:t>Vý</w:t>
      </w:r>
      <w:r w:rsidRPr="00FE31E4">
        <w:rPr>
          <w:rFonts w:asciiTheme="minorHAnsi" w:hAnsiTheme="minorHAnsi"/>
          <w:sz w:val="22"/>
          <w:szCs w:val="22"/>
        </w:rPr>
        <w:t>voj produkce uvedené organizacemi producentů a celkové produkce ČR – ovoce a zelenina</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tblPr>
      <w:tblGrid>
        <w:gridCol w:w="2464"/>
        <w:gridCol w:w="746"/>
        <w:gridCol w:w="1016"/>
        <w:gridCol w:w="746"/>
        <w:gridCol w:w="746"/>
        <w:gridCol w:w="906"/>
        <w:gridCol w:w="921"/>
        <w:gridCol w:w="921"/>
        <w:gridCol w:w="746"/>
      </w:tblGrid>
      <w:tr w:rsidR="002A6FFF" w:rsidRPr="00160B6A" w:rsidTr="00EB3367">
        <w:trPr>
          <w:trHeight w:val="600"/>
        </w:trPr>
        <w:tc>
          <w:tcPr>
            <w:tcW w:w="1254" w:type="pct"/>
            <w:shd w:val="clear" w:color="auto" w:fill="auto"/>
            <w:noWrap/>
            <w:vAlign w:val="bottom"/>
            <w:hideMark/>
          </w:tcPr>
          <w:p w:rsidR="002A6FFF" w:rsidRPr="00160B6A" w:rsidRDefault="002A6FFF" w:rsidP="00EB3367">
            <w:pPr>
              <w:spacing w:before="0" w:line="240" w:lineRule="auto"/>
              <w:ind w:firstLine="0"/>
              <w:jc w:val="left"/>
              <w:rPr>
                <w:rFonts w:ascii="Calibri" w:hAnsi="Calibri"/>
                <w:sz w:val="20"/>
                <w:szCs w:val="20"/>
              </w:rPr>
            </w:pPr>
            <w:r w:rsidRPr="00160B6A">
              <w:rPr>
                <w:rFonts w:ascii="Calibri" w:hAnsi="Calibri"/>
                <w:sz w:val="20"/>
                <w:szCs w:val="20"/>
              </w:rPr>
              <w:t>Ukazatel</w:t>
            </w:r>
          </w:p>
        </w:tc>
        <w:tc>
          <w:tcPr>
            <w:tcW w:w="415" w:type="pct"/>
            <w:shd w:val="clear" w:color="auto" w:fill="auto"/>
            <w:noWrap/>
            <w:vAlign w:val="bottom"/>
            <w:hideMark/>
          </w:tcPr>
          <w:p w:rsidR="002A6FFF" w:rsidRPr="00160B6A" w:rsidRDefault="002A6FFF" w:rsidP="00EB3367">
            <w:pPr>
              <w:spacing w:before="0" w:line="240" w:lineRule="auto"/>
              <w:ind w:firstLine="0"/>
              <w:jc w:val="left"/>
              <w:rPr>
                <w:rFonts w:ascii="Calibri" w:hAnsi="Calibri"/>
                <w:sz w:val="20"/>
                <w:szCs w:val="20"/>
              </w:rPr>
            </w:pPr>
            <w:r w:rsidRPr="00160B6A">
              <w:rPr>
                <w:rFonts w:ascii="Calibri" w:hAnsi="Calibri"/>
                <w:sz w:val="20"/>
                <w:szCs w:val="20"/>
              </w:rPr>
              <w:t>MJ</w:t>
            </w:r>
          </w:p>
        </w:tc>
        <w:tc>
          <w:tcPr>
            <w:tcW w:w="562" w:type="pct"/>
            <w:shd w:val="clear" w:color="auto" w:fill="auto"/>
            <w:vAlign w:val="bottom"/>
            <w:hideMark/>
          </w:tcPr>
          <w:p w:rsidR="002A6FFF" w:rsidRPr="00160B6A" w:rsidRDefault="002A6FFF" w:rsidP="00EB3367">
            <w:pPr>
              <w:spacing w:before="0" w:line="240" w:lineRule="auto"/>
              <w:ind w:firstLine="0"/>
              <w:jc w:val="left"/>
              <w:rPr>
                <w:rFonts w:ascii="Calibri" w:hAnsi="Calibri"/>
                <w:sz w:val="20"/>
                <w:szCs w:val="20"/>
              </w:rPr>
            </w:pPr>
            <w:r w:rsidRPr="00160B6A">
              <w:rPr>
                <w:rFonts w:ascii="Calibri" w:hAnsi="Calibri"/>
                <w:sz w:val="20"/>
                <w:szCs w:val="20"/>
              </w:rPr>
              <w:t>průměr 2009-2011</w:t>
            </w:r>
          </w:p>
        </w:tc>
        <w:tc>
          <w:tcPr>
            <w:tcW w:w="415" w:type="pct"/>
            <w:shd w:val="clear" w:color="auto" w:fill="auto"/>
            <w:noWrap/>
            <w:vAlign w:val="bottom"/>
            <w:hideMark/>
          </w:tcPr>
          <w:p w:rsidR="002A6FFF" w:rsidRPr="00160B6A" w:rsidRDefault="002A6FFF" w:rsidP="00EB3367">
            <w:pPr>
              <w:spacing w:before="0" w:line="240" w:lineRule="auto"/>
              <w:ind w:firstLine="0"/>
              <w:jc w:val="right"/>
              <w:rPr>
                <w:rFonts w:ascii="Calibri" w:hAnsi="Calibri"/>
                <w:sz w:val="20"/>
                <w:szCs w:val="20"/>
              </w:rPr>
            </w:pPr>
            <w:r w:rsidRPr="00160B6A">
              <w:rPr>
                <w:rFonts w:ascii="Calibri" w:hAnsi="Calibri"/>
                <w:sz w:val="20"/>
                <w:szCs w:val="20"/>
              </w:rPr>
              <w:t>2012</w:t>
            </w:r>
          </w:p>
        </w:tc>
        <w:tc>
          <w:tcPr>
            <w:tcW w:w="415" w:type="pct"/>
            <w:shd w:val="clear" w:color="auto" w:fill="auto"/>
            <w:noWrap/>
            <w:vAlign w:val="bottom"/>
            <w:hideMark/>
          </w:tcPr>
          <w:p w:rsidR="002A6FFF" w:rsidRPr="00160B6A" w:rsidRDefault="002A6FFF" w:rsidP="00EB3367">
            <w:pPr>
              <w:spacing w:before="0" w:line="240" w:lineRule="auto"/>
              <w:ind w:firstLine="0"/>
              <w:jc w:val="right"/>
              <w:rPr>
                <w:rFonts w:ascii="Calibri" w:hAnsi="Calibri"/>
                <w:sz w:val="20"/>
                <w:szCs w:val="20"/>
              </w:rPr>
            </w:pPr>
            <w:r w:rsidRPr="00160B6A">
              <w:rPr>
                <w:rFonts w:ascii="Calibri" w:hAnsi="Calibri"/>
                <w:sz w:val="20"/>
                <w:szCs w:val="20"/>
              </w:rPr>
              <w:t>2013</w:t>
            </w:r>
          </w:p>
        </w:tc>
        <w:tc>
          <w:tcPr>
            <w:tcW w:w="502" w:type="pct"/>
            <w:shd w:val="clear" w:color="auto" w:fill="auto"/>
            <w:noWrap/>
            <w:vAlign w:val="bottom"/>
            <w:hideMark/>
          </w:tcPr>
          <w:p w:rsidR="002A6FFF" w:rsidRPr="00160B6A" w:rsidRDefault="002A6FFF" w:rsidP="00EB3367">
            <w:pPr>
              <w:spacing w:before="0" w:line="240" w:lineRule="auto"/>
              <w:ind w:firstLine="0"/>
              <w:jc w:val="right"/>
              <w:rPr>
                <w:rFonts w:ascii="Calibri" w:hAnsi="Calibri"/>
                <w:sz w:val="20"/>
                <w:szCs w:val="20"/>
              </w:rPr>
            </w:pPr>
            <w:r w:rsidRPr="00160B6A">
              <w:rPr>
                <w:rFonts w:ascii="Calibri" w:hAnsi="Calibri"/>
                <w:sz w:val="20"/>
                <w:szCs w:val="20"/>
              </w:rPr>
              <w:t>2014</w:t>
            </w:r>
          </w:p>
        </w:tc>
        <w:tc>
          <w:tcPr>
            <w:tcW w:w="510" w:type="pct"/>
            <w:shd w:val="clear" w:color="auto" w:fill="auto"/>
            <w:noWrap/>
            <w:vAlign w:val="bottom"/>
            <w:hideMark/>
          </w:tcPr>
          <w:p w:rsidR="002A6FFF" w:rsidRPr="00160B6A" w:rsidRDefault="002A6FFF" w:rsidP="00EB3367">
            <w:pPr>
              <w:spacing w:before="0" w:line="240" w:lineRule="auto"/>
              <w:ind w:firstLine="0"/>
              <w:jc w:val="right"/>
              <w:rPr>
                <w:rFonts w:ascii="Calibri" w:hAnsi="Calibri"/>
                <w:sz w:val="20"/>
                <w:szCs w:val="20"/>
              </w:rPr>
            </w:pPr>
            <w:r w:rsidRPr="00160B6A">
              <w:rPr>
                <w:rFonts w:ascii="Calibri" w:hAnsi="Calibri"/>
                <w:sz w:val="20"/>
                <w:szCs w:val="20"/>
              </w:rPr>
              <w:t>2015</w:t>
            </w:r>
          </w:p>
        </w:tc>
        <w:tc>
          <w:tcPr>
            <w:tcW w:w="510" w:type="pct"/>
            <w:shd w:val="clear" w:color="auto" w:fill="auto"/>
            <w:noWrap/>
            <w:vAlign w:val="bottom"/>
            <w:hideMark/>
          </w:tcPr>
          <w:p w:rsidR="002A6FFF" w:rsidRPr="00160B6A" w:rsidRDefault="002A6FFF" w:rsidP="00EB3367">
            <w:pPr>
              <w:spacing w:before="0" w:line="240" w:lineRule="auto"/>
              <w:ind w:firstLine="0"/>
              <w:jc w:val="right"/>
              <w:rPr>
                <w:rFonts w:ascii="Calibri" w:hAnsi="Calibri"/>
                <w:sz w:val="20"/>
                <w:szCs w:val="20"/>
              </w:rPr>
            </w:pPr>
            <w:r w:rsidRPr="00160B6A">
              <w:rPr>
                <w:rFonts w:ascii="Calibri" w:hAnsi="Calibri"/>
                <w:sz w:val="20"/>
                <w:szCs w:val="20"/>
              </w:rPr>
              <w:t>2016</w:t>
            </w:r>
          </w:p>
        </w:tc>
        <w:tc>
          <w:tcPr>
            <w:tcW w:w="415" w:type="pct"/>
            <w:shd w:val="clear" w:color="auto" w:fill="auto"/>
            <w:noWrap/>
            <w:vAlign w:val="bottom"/>
            <w:hideMark/>
          </w:tcPr>
          <w:p w:rsidR="002A6FFF" w:rsidRPr="00160B6A" w:rsidRDefault="002A6FFF" w:rsidP="00EB3367">
            <w:pPr>
              <w:spacing w:before="0" w:line="240" w:lineRule="auto"/>
              <w:ind w:firstLine="0"/>
              <w:jc w:val="right"/>
              <w:rPr>
                <w:rFonts w:ascii="Calibri" w:hAnsi="Calibri"/>
                <w:sz w:val="20"/>
                <w:szCs w:val="20"/>
              </w:rPr>
            </w:pPr>
            <w:r w:rsidRPr="00160B6A">
              <w:rPr>
                <w:rFonts w:ascii="Calibri" w:hAnsi="Calibri"/>
                <w:sz w:val="20"/>
                <w:szCs w:val="20"/>
              </w:rPr>
              <w:t>2017</w:t>
            </w:r>
          </w:p>
        </w:tc>
      </w:tr>
      <w:tr w:rsidR="002A6FFF" w:rsidRPr="00160B6A" w:rsidTr="00EB3367">
        <w:trPr>
          <w:trHeight w:val="300"/>
        </w:trPr>
        <w:tc>
          <w:tcPr>
            <w:tcW w:w="1254" w:type="pct"/>
            <w:shd w:val="clear" w:color="auto" w:fill="auto"/>
            <w:noWrap/>
            <w:vAlign w:val="bottom"/>
            <w:hideMark/>
          </w:tcPr>
          <w:p w:rsidR="002A6FFF" w:rsidRPr="00160B6A" w:rsidRDefault="002A6FFF" w:rsidP="00EB3367">
            <w:pPr>
              <w:spacing w:before="0" w:line="240" w:lineRule="auto"/>
              <w:ind w:firstLine="0"/>
              <w:jc w:val="left"/>
              <w:rPr>
                <w:rFonts w:ascii="Calibri" w:hAnsi="Calibri"/>
                <w:sz w:val="20"/>
                <w:szCs w:val="20"/>
              </w:rPr>
            </w:pPr>
            <w:r w:rsidRPr="00160B6A">
              <w:rPr>
                <w:rFonts w:ascii="Calibri" w:hAnsi="Calibri"/>
                <w:sz w:val="20"/>
                <w:szCs w:val="20"/>
              </w:rPr>
              <w:t>Produkce uvedená na trh OP</w:t>
            </w:r>
          </w:p>
        </w:tc>
        <w:tc>
          <w:tcPr>
            <w:tcW w:w="415" w:type="pct"/>
            <w:shd w:val="clear" w:color="auto" w:fill="auto"/>
            <w:noWrap/>
            <w:vAlign w:val="bottom"/>
            <w:hideMark/>
          </w:tcPr>
          <w:p w:rsidR="002A6FFF" w:rsidRPr="00160B6A" w:rsidRDefault="002A6FFF" w:rsidP="00EB3367">
            <w:pPr>
              <w:spacing w:before="0" w:line="240" w:lineRule="auto"/>
              <w:ind w:firstLine="0"/>
              <w:jc w:val="left"/>
              <w:rPr>
                <w:rFonts w:ascii="Calibri" w:hAnsi="Calibri"/>
                <w:sz w:val="20"/>
                <w:szCs w:val="20"/>
              </w:rPr>
            </w:pPr>
            <w:r w:rsidRPr="00160B6A">
              <w:rPr>
                <w:rFonts w:ascii="Calibri" w:hAnsi="Calibri"/>
                <w:sz w:val="20"/>
                <w:szCs w:val="20"/>
              </w:rPr>
              <w:t>tis. t</w:t>
            </w:r>
          </w:p>
        </w:tc>
        <w:tc>
          <w:tcPr>
            <w:tcW w:w="562" w:type="pct"/>
            <w:shd w:val="clear" w:color="auto" w:fill="auto"/>
            <w:noWrap/>
            <w:vAlign w:val="bottom"/>
            <w:hideMark/>
          </w:tcPr>
          <w:p w:rsidR="002A6FFF" w:rsidRPr="00160B6A" w:rsidRDefault="002A6FFF" w:rsidP="00EB3367">
            <w:pPr>
              <w:spacing w:before="0" w:line="240" w:lineRule="auto"/>
              <w:ind w:firstLine="0"/>
              <w:jc w:val="right"/>
              <w:rPr>
                <w:rFonts w:ascii="Calibri" w:hAnsi="Calibri"/>
                <w:sz w:val="20"/>
                <w:szCs w:val="20"/>
              </w:rPr>
            </w:pPr>
            <w:r w:rsidRPr="00160B6A">
              <w:rPr>
                <w:rFonts w:ascii="Calibri" w:hAnsi="Calibri"/>
                <w:sz w:val="20"/>
                <w:szCs w:val="20"/>
              </w:rPr>
              <w:t>131,40</w:t>
            </w:r>
          </w:p>
        </w:tc>
        <w:tc>
          <w:tcPr>
            <w:tcW w:w="415" w:type="pct"/>
            <w:shd w:val="clear" w:color="auto" w:fill="auto"/>
            <w:noWrap/>
            <w:vAlign w:val="bottom"/>
            <w:hideMark/>
          </w:tcPr>
          <w:p w:rsidR="002A6FFF" w:rsidRPr="00160B6A" w:rsidRDefault="002A6FFF" w:rsidP="00EB3367">
            <w:pPr>
              <w:spacing w:before="0" w:line="240" w:lineRule="auto"/>
              <w:ind w:firstLine="0"/>
              <w:jc w:val="right"/>
              <w:rPr>
                <w:rFonts w:ascii="Calibri" w:hAnsi="Calibri"/>
                <w:sz w:val="20"/>
                <w:szCs w:val="20"/>
              </w:rPr>
            </w:pPr>
            <w:r w:rsidRPr="00160B6A">
              <w:rPr>
                <w:rFonts w:ascii="Calibri" w:hAnsi="Calibri"/>
                <w:sz w:val="20"/>
                <w:szCs w:val="20"/>
              </w:rPr>
              <w:t>143,43</w:t>
            </w:r>
          </w:p>
        </w:tc>
        <w:tc>
          <w:tcPr>
            <w:tcW w:w="415" w:type="pct"/>
            <w:shd w:val="clear" w:color="auto" w:fill="auto"/>
            <w:noWrap/>
            <w:vAlign w:val="bottom"/>
            <w:hideMark/>
          </w:tcPr>
          <w:p w:rsidR="002A6FFF" w:rsidRPr="00160B6A" w:rsidRDefault="002A6FFF" w:rsidP="00EB3367">
            <w:pPr>
              <w:spacing w:before="0" w:line="240" w:lineRule="auto"/>
              <w:ind w:firstLine="0"/>
              <w:jc w:val="right"/>
              <w:rPr>
                <w:rFonts w:ascii="Calibri" w:hAnsi="Calibri"/>
                <w:sz w:val="20"/>
                <w:szCs w:val="20"/>
              </w:rPr>
            </w:pPr>
            <w:r w:rsidRPr="00160B6A">
              <w:rPr>
                <w:rFonts w:ascii="Calibri" w:hAnsi="Calibri"/>
                <w:sz w:val="20"/>
                <w:szCs w:val="20"/>
              </w:rPr>
              <w:t>146,21</w:t>
            </w:r>
          </w:p>
        </w:tc>
        <w:tc>
          <w:tcPr>
            <w:tcW w:w="502" w:type="pct"/>
            <w:shd w:val="clear" w:color="auto" w:fill="auto"/>
            <w:noWrap/>
            <w:vAlign w:val="bottom"/>
            <w:hideMark/>
          </w:tcPr>
          <w:p w:rsidR="002A6FFF" w:rsidRPr="00160B6A" w:rsidRDefault="002A6FFF" w:rsidP="00EB3367">
            <w:pPr>
              <w:spacing w:before="0" w:line="240" w:lineRule="auto"/>
              <w:ind w:firstLine="0"/>
              <w:jc w:val="right"/>
              <w:rPr>
                <w:rFonts w:ascii="Calibri" w:hAnsi="Calibri"/>
                <w:sz w:val="20"/>
                <w:szCs w:val="20"/>
              </w:rPr>
            </w:pPr>
            <w:r w:rsidRPr="00160B6A">
              <w:rPr>
                <w:rFonts w:ascii="Calibri" w:hAnsi="Calibri"/>
                <w:sz w:val="20"/>
                <w:szCs w:val="20"/>
              </w:rPr>
              <w:t>212,59</w:t>
            </w:r>
          </w:p>
        </w:tc>
        <w:tc>
          <w:tcPr>
            <w:tcW w:w="510" w:type="pct"/>
            <w:shd w:val="clear" w:color="auto" w:fill="auto"/>
            <w:noWrap/>
            <w:vAlign w:val="bottom"/>
            <w:hideMark/>
          </w:tcPr>
          <w:p w:rsidR="002A6FFF" w:rsidRPr="00160B6A" w:rsidRDefault="002A6FFF" w:rsidP="00EB3367">
            <w:pPr>
              <w:spacing w:before="0" w:line="240" w:lineRule="auto"/>
              <w:ind w:firstLine="0"/>
              <w:jc w:val="right"/>
              <w:rPr>
                <w:rFonts w:ascii="Calibri" w:hAnsi="Calibri"/>
                <w:sz w:val="20"/>
                <w:szCs w:val="20"/>
              </w:rPr>
            </w:pPr>
            <w:r w:rsidRPr="00160B6A">
              <w:rPr>
                <w:rFonts w:ascii="Calibri" w:hAnsi="Calibri"/>
                <w:sz w:val="20"/>
                <w:szCs w:val="20"/>
              </w:rPr>
              <w:t>216,22</w:t>
            </w:r>
          </w:p>
        </w:tc>
        <w:tc>
          <w:tcPr>
            <w:tcW w:w="510" w:type="pct"/>
            <w:shd w:val="clear" w:color="auto" w:fill="auto"/>
            <w:noWrap/>
            <w:vAlign w:val="bottom"/>
            <w:hideMark/>
          </w:tcPr>
          <w:p w:rsidR="002A6FFF" w:rsidRPr="00160B6A" w:rsidRDefault="002A6FFF" w:rsidP="00EB3367">
            <w:pPr>
              <w:spacing w:before="0" w:line="240" w:lineRule="auto"/>
              <w:ind w:firstLine="0"/>
              <w:jc w:val="right"/>
              <w:rPr>
                <w:rFonts w:ascii="Calibri" w:hAnsi="Calibri"/>
                <w:sz w:val="20"/>
                <w:szCs w:val="20"/>
              </w:rPr>
            </w:pPr>
            <w:r w:rsidRPr="00160B6A">
              <w:rPr>
                <w:rFonts w:ascii="Calibri" w:hAnsi="Calibri"/>
                <w:sz w:val="20"/>
                <w:szCs w:val="20"/>
              </w:rPr>
              <w:t>243,65</w:t>
            </w:r>
          </w:p>
        </w:tc>
        <w:tc>
          <w:tcPr>
            <w:tcW w:w="415" w:type="pct"/>
            <w:shd w:val="clear" w:color="auto" w:fill="auto"/>
            <w:noWrap/>
            <w:vAlign w:val="bottom"/>
            <w:hideMark/>
          </w:tcPr>
          <w:p w:rsidR="002A6FFF" w:rsidRPr="00160B6A" w:rsidRDefault="002A6FFF" w:rsidP="00EB3367">
            <w:pPr>
              <w:spacing w:before="0" w:line="240" w:lineRule="auto"/>
              <w:ind w:firstLine="0"/>
              <w:jc w:val="right"/>
              <w:rPr>
                <w:rFonts w:ascii="Calibri" w:hAnsi="Calibri"/>
                <w:sz w:val="20"/>
                <w:szCs w:val="20"/>
              </w:rPr>
            </w:pPr>
            <w:r w:rsidRPr="00160B6A">
              <w:rPr>
                <w:rFonts w:ascii="Calibri" w:hAnsi="Calibri"/>
                <w:sz w:val="20"/>
                <w:szCs w:val="20"/>
              </w:rPr>
              <w:t>246,87</w:t>
            </w:r>
          </w:p>
        </w:tc>
      </w:tr>
      <w:tr w:rsidR="002A6FFF" w:rsidRPr="00160B6A" w:rsidTr="00EB3367">
        <w:trPr>
          <w:trHeight w:val="300"/>
        </w:trPr>
        <w:tc>
          <w:tcPr>
            <w:tcW w:w="1254" w:type="pct"/>
            <w:shd w:val="clear" w:color="auto" w:fill="auto"/>
            <w:noWrap/>
            <w:vAlign w:val="bottom"/>
            <w:hideMark/>
          </w:tcPr>
          <w:p w:rsidR="002A6FFF" w:rsidRPr="00160B6A" w:rsidRDefault="002A6FFF" w:rsidP="00EB3367">
            <w:pPr>
              <w:spacing w:before="0" w:line="240" w:lineRule="auto"/>
              <w:ind w:firstLine="0"/>
              <w:jc w:val="left"/>
              <w:rPr>
                <w:rFonts w:ascii="Calibri" w:hAnsi="Calibri"/>
                <w:sz w:val="20"/>
                <w:szCs w:val="20"/>
              </w:rPr>
            </w:pPr>
            <w:r w:rsidRPr="00160B6A">
              <w:rPr>
                <w:rFonts w:ascii="Calibri" w:hAnsi="Calibri"/>
                <w:sz w:val="20"/>
                <w:szCs w:val="20"/>
              </w:rPr>
              <w:t>Produkce ČR</w:t>
            </w:r>
          </w:p>
        </w:tc>
        <w:tc>
          <w:tcPr>
            <w:tcW w:w="415" w:type="pct"/>
            <w:shd w:val="clear" w:color="auto" w:fill="auto"/>
            <w:noWrap/>
            <w:vAlign w:val="bottom"/>
            <w:hideMark/>
          </w:tcPr>
          <w:p w:rsidR="002A6FFF" w:rsidRPr="00160B6A" w:rsidRDefault="002A6FFF" w:rsidP="00EB3367">
            <w:pPr>
              <w:spacing w:before="0" w:line="240" w:lineRule="auto"/>
              <w:ind w:firstLine="0"/>
              <w:jc w:val="left"/>
              <w:rPr>
                <w:rFonts w:ascii="Calibri" w:hAnsi="Calibri"/>
                <w:sz w:val="20"/>
                <w:szCs w:val="20"/>
              </w:rPr>
            </w:pPr>
            <w:r w:rsidRPr="00160B6A">
              <w:rPr>
                <w:rFonts w:ascii="Calibri" w:hAnsi="Calibri"/>
                <w:sz w:val="20"/>
                <w:szCs w:val="20"/>
              </w:rPr>
              <w:t>tis. t</w:t>
            </w:r>
          </w:p>
        </w:tc>
        <w:tc>
          <w:tcPr>
            <w:tcW w:w="562" w:type="pct"/>
            <w:shd w:val="clear" w:color="auto" w:fill="auto"/>
            <w:noWrap/>
            <w:vAlign w:val="bottom"/>
            <w:hideMark/>
          </w:tcPr>
          <w:p w:rsidR="002A6FFF" w:rsidRPr="00160B6A" w:rsidRDefault="002A6FFF" w:rsidP="00EB3367">
            <w:pPr>
              <w:spacing w:before="0" w:line="240" w:lineRule="auto"/>
              <w:ind w:firstLine="0"/>
              <w:jc w:val="right"/>
              <w:rPr>
                <w:rFonts w:ascii="Calibri" w:hAnsi="Calibri"/>
                <w:sz w:val="20"/>
                <w:szCs w:val="20"/>
              </w:rPr>
            </w:pPr>
            <w:r w:rsidRPr="00160B6A">
              <w:rPr>
                <w:rFonts w:ascii="Calibri" w:hAnsi="Calibri"/>
                <w:sz w:val="20"/>
                <w:szCs w:val="20"/>
              </w:rPr>
              <w:t>579,70</w:t>
            </w:r>
          </w:p>
        </w:tc>
        <w:tc>
          <w:tcPr>
            <w:tcW w:w="415" w:type="pct"/>
            <w:shd w:val="clear" w:color="auto" w:fill="auto"/>
            <w:noWrap/>
            <w:vAlign w:val="bottom"/>
            <w:hideMark/>
          </w:tcPr>
          <w:p w:rsidR="002A6FFF" w:rsidRPr="00160B6A" w:rsidRDefault="002A6FFF" w:rsidP="00EB3367">
            <w:pPr>
              <w:spacing w:before="0" w:line="240" w:lineRule="auto"/>
              <w:ind w:firstLine="0"/>
              <w:jc w:val="right"/>
              <w:rPr>
                <w:rFonts w:ascii="Calibri" w:hAnsi="Calibri"/>
                <w:sz w:val="20"/>
                <w:szCs w:val="20"/>
              </w:rPr>
            </w:pPr>
            <w:r w:rsidRPr="00160B6A">
              <w:rPr>
                <w:rFonts w:ascii="Calibri" w:hAnsi="Calibri"/>
                <w:sz w:val="20"/>
                <w:szCs w:val="20"/>
              </w:rPr>
              <w:t>532,90</w:t>
            </w:r>
          </w:p>
        </w:tc>
        <w:tc>
          <w:tcPr>
            <w:tcW w:w="415" w:type="pct"/>
            <w:shd w:val="clear" w:color="auto" w:fill="auto"/>
            <w:noWrap/>
            <w:vAlign w:val="bottom"/>
            <w:hideMark/>
          </w:tcPr>
          <w:p w:rsidR="002A6FFF" w:rsidRPr="00160B6A" w:rsidRDefault="002A6FFF" w:rsidP="00EB3367">
            <w:pPr>
              <w:spacing w:before="0" w:line="240" w:lineRule="auto"/>
              <w:ind w:firstLine="0"/>
              <w:jc w:val="right"/>
              <w:rPr>
                <w:rFonts w:ascii="Calibri" w:hAnsi="Calibri"/>
                <w:sz w:val="20"/>
                <w:szCs w:val="20"/>
              </w:rPr>
            </w:pPr>
            <w:r w:rsidRPr="00160B6A">
              <w:rPr>
                <w:rFonts w:ascii="Calibri" w:hAnsi="Calibri"/>
                <w:sz w:val="20"/>
                <w:szCs w:val="20"/>
              </w:rPr>
              <w:t>551,10</w:t>
            </w:r>
          </w:p>
        </w:tc>
        <w:tc>
          <w:tcPr>
            <w:tcW w:w="502" w:type="pct"/>
            <w:shd w:val="clear" w:color="auto" w:fill="auto"/>
            <w:noWrap/>
            <w:vAlign w:val="bottom"/>
            <w:hideMark/>
          </w:tcPr>
          <w:p w:rsidR="002A6FFF" w:rsidRPr="00160B6A" w:rsidRDefault="002A6FFF" w:rsidP="00EB3367">
            <w:pPr>
              <w:spacing w:before="0" w:line="240" w:lineRule="auto"/>
              <w:ind w:firstLine="0"/>
              <w:jc w:val="right"/>
              <w:rPr>
                <w:rFonts w:ascii="Calibri" w:hAnsi="Calibri"/>
                <w:sz w:val="20"/>
                <w:szCs w:val="20"/>
              </w:rPr>
            </w:pPr>
            <w:r w:rsidRPr="00160B6A">
              <w:rPr>
                <w:rFonts w:ascii="Calibri" w:hAnsi="Calibri"/>
                <w:sz w:val="20"/>
                <w:szCs w:val="20"/>
              </w:rPr>
              <w:t>619,20</w:t>
            </w:r>
          </w:p>
        </w:tc>
        <w:tc>
          <w:tcPr>
            <w:tcW w:w="510" w:type="pct"/>
            <w:shd w:val="clear" w:color="auto" w:fill="auto"/>
            <w:noWrap/>
            <w:vAlign w:val="bottom"/>
            <w:hideMark/>
          </w:tcPr>
          <w:p w:rsidR="002A6FFF" w:rsidRPr="00160B6A" w:rsidRDefault="002A6FFF" w:rsidP="00EB3367">
            <w:pPr>
              <w:spacing w:before="0" w:line="240" w:lineRule="auto"/>
              <w:ind w:firstLine="0"/>
              <w:jc w:val="right"/>
              <w:rPr>
                <w:rFonts w:ascii="Calibri" w:hAnsi="Calibri"/>
                <w:sz w:val="20"/>
                <w:szCs w:val="20"/>
              </w:rPr>
            </w:pPr>
            <w:r w:rsidRPr="00160B6A">
              <w:rPr>
                <w:rFonts w:ascii="Calibri" w:hAnsi="Calibri"/>
                <w:sz w:val="20"/>
                <w:szCs w:val="20"/>
              </w:rPr>
              <w:t>648,30</w:t>
            </w:r>
          </w:p>
        </w:tc>
        <w:tc>
          <w:tcPr>
            <w:tcW w:w="510" w:type="pct"/>
            <w:shd w:val="clear" w:color="auto" w:fill="auto"/>
            <w:noWrap/>
            <w:vAlign w:val="bottom"/>
            <w:hideMark/>
          </w:tcPr>
          <w:p w:rsidR="002A6FFF" w:rsidRPr="00160B6A" w:rsidRDefault="002A6FFF" w:rsidP="00EB3367">
            <w:pPr>
              <w:spacing w:before="0" w:line="240" w:lineRule="auto"/>
              <w:ind w:firstLine="0"/>
              <w:jc w:val="right"/>
              <w:rPr>
                <w:rFonts w:ascii="Calibri" w:hAnsi="Calibri"/>
                <w:sz w:val="20"/>
                <w:szCs w:val="20"/>
              </w:rPr>
            </w:pPr>
            <w:r w:rsidRPr="00160B6A">
              <w:rPr>
                <w:rFonts w:ascii="Calibri" w:hAnsi="Calibri"/>
                <w:sz w:val="20"/>
                <w:szCs w:val="20"/>
              </w:rPr>
              <w:t>617,50</w:t>
            </w:r>
          </w:p>
        </w:tc>
        <w:tc>
          <w:tcPr>
            <w:tcW w:w="415" w:type="pct"/>
            <w:shd w:val="clear" w:color="auto" w:fill="auto"/>
            <w:noWrap/>
            <w:vAlign w:val="bottom"/>
            <w:hideMark/>
          </w:tcPr>
          <w:p w:rsidR="002A6FFF" w:rsidRPr="00160B6A" w:rsidRDefault="002A6FFF" w:rsidP="00EB3367">
            <w:pPr>
              <w:spacing w:before="0" w:line="240" w:lineRule="auto"/>
              <w:ind w:firstLine="0"/>
              <w:jc w:val="right"/>
              <w:rPr>
                <w:rFonts w:ascii="Calibri" w:hAnsi="Calibri"/>
                <w:sz w:val="20"/>
                <w:szCs w:val="20"/>
              </w:rPr>
            </w:pPr>
            <w:r w:rsidRPr="00160B6A">
              <w:rPr>
                <w:rFonts w:ascii="Calibri" w:hAnsi="Calibri"/>
                <w:sz w:val="20"/>
                <w:szCs w:val="20"/>
              </w:rPr>
              <w:t>630,20</w:t>
            </w:r>
          </w:p>
        </w:tc>
      </w:tr>
      <w:tr w:rsidR="002A6FFF" w:rsidRPr="00160B6A" w:rsidTr="00EB3367">
        <w:trPr>
          <w:trHeight w:val="315"/>
        </w:trPr>
        <w:tc>
          <w:tcPr>
            <w:tcW w:w="1254" w:type="pct"/>
            <w:shd w:val="clear" w:color="auto" w:fill="auto"/>
            <w:noWrap/>
            <w:vAlign w:val="bottom"/>
            <w:hideMark/>
          </w:tcPr>
          <w:p w:rsidR="002A6FFF" w:rsidRPr="00160B6A" w:rsidRDefault="002A6FFF" w:rsidP="00FA44E0">
            <w:pPr>
              <w:spacing w:before="0" w:after="60" w:line="240" w:lineRule="auto"/>
              <w:ind w:firstLine="0"/>
              <w:jc w:val="left"/>
              <w:rPr>
                <w:rFonts w:ascii="Calibri" w:hAnsi="Calibri"/>
                <w:sz w:val="20"/>
                <w:szCs w:val="20"/>
              </w:rPr>
            </w:pPr>
            <w:r w:rsidRPr="00160B6A">
              <w:rPr>
                <w:rFonts w:ascii="Calibri" w:hAnsi="Calibri"/>
                <w:sz w:val="20"/>
                <w:szCs w:val="20"/>
              </w:rPr>
              <w:t>Podíl produkce členů OP/ČR</w:t>
            </w:r>
          </w:p>
        </w:tc>
        <w:tc>
          <w:tcPr>
            <w:tcW w:w="415" w:type="pct"/>
            <w:shd w:val="clear" w:color="auto" w:fill="auto"/>
            <w:noWrap/>
            <w:vAlign w:val="bottom"/>
            <w:hideMark/>
          </w:tcPr>
          <w:p w:rsidR="002A6FFF" w:rsidRPr="00160B6A" w:rsidRDefault="002A6FFF" w:rsidP="00FA44E0">
            <w:pPr>
              <w:spacing w:before="0" w:after="60" w:line="240" w:lineRule="auto"/>
              <w:ind w:firstLine="0"/>
              <w:jc w:val="left"/>
              <w:rPr>
                <w:rFonts w:ascii="Calibri" w:hAnsi="Calibri"/>
                <w:sz w:val="20"/>
                <w:szCs w:val="20"/>
              </w:rPr>
            </w:pPr>
            <w:r w:rsidRPr="00160B6A">
              <w:rPr>
                <w:rFonts w:ascii="Calibri" w:hAnsi="Calibri"/>
                <w:sz w:val="20"/>
                <w:szCs w:val="20"/>
              </w:rPr>
              <w:t>%</w:t>
            </w:r>
          </w:p>
        </w:tc>
        <w:tc>
          <w:tcPr>
            <w:tcW w:w="562" w:type="pct"/>
            <w:shd w:val="clear" w:color="auto" w:fill="auto"/>
            <w:noWrap/>
            <w:vAlign w:val="bottom"/>
            <w:hideMark/>
          </w:tcPr>
          <w:p w:rsidR="002A6FFF" w:rsidRPr="00160B6A" w:rsidRDefault="002A6FFF" w:rsidP="00FA44E0">
            <w:pPr>
              <w:spacing w:before="0" w:after="60" w:line="240" w:lineRule="auto"/>
              <w:ind w:firstLine="0"/>
              <w:jc w:val="right"/>
              <w:rPr>
                <w:rFonts w:ascii="Calibri" w:hAnsi="Calibri"/>
                <w:sz w:val="20"/>
                <w:szCs w:val="20"/>
              </w:rPr>
            </w:pPr>
            <w:r w:rsidRPr="00160B6A">
              <w:rPr>
                <w:rFonts w:ascii="Calibri" w:hAnsi="Calibri"/>
                <w:sz w:val="20"/>
                <w:szCs w:val="20"/>
              </w:rPr>
              <w:t>22,7</w:t>
            </w:r>
          </w:p>
        </w:tc>
        <w:tc>
          <w:tcPr>
            <w:tcW w:w="415" w:type="pct"/>
            <w:shd w:val="clear" w:color="auto" w:fill="auto"/>
            <w:noWrap/>
            <w:vAlign w:val="bottom"/>
            <w:hideMark/>
          </w:tcPr>
          <w:p w:rsidR="002A6FFF" w:rsidRPr="00160B6A" w:rsidRDefault="002A6FFF" w:rsidP="00FA44E0">
            <w:pPr>
              <w:spacing w:before="0" w:after="60" w:line="240" w:lineRule="auto"/>
              <w:ind w:firstLine="0"/>
              <w:jc w:val="right"/>
              <w:rPr>
                <w:rFonts w:ascii="Calibri" w:hAnsi="Calibri"/>
                <w:sz w:val="20"/>
                <w:szCs w:val="20"/>
              </w:rPr>
            </w:pPr>
            <w:r w:rsidRPr="00160B6A">
              <w:rPr>
                <w:rFonts w:ascii="Calibri" w:hAnsi="Calibri"/>
                <w:sz w:val="20"/>
                <w:szCs w:val="20"/>
              </w:rPr>
              <w:t>26,9</w:t>
            </w:r>
          </w:p>
        </w:tc>
        <w:tc>
          <w:tcPr>
            <w:tcW w:w="415" w:type="pct"/>
            <w:shd w:val="clear" w:color="auto" w:fill="auto"/>
            <w:noWrap/>
            <w:vAlign w:val="bottom"/>
            <w:hideMark/>
          </w:tcPr>
          <w:p w:rsidR="002A6FFF" w:rsidRPr="00160B6A" w:rsidRDefault="002A6FFF" w:rsidP="00FA44E0">
            <w:pPr>
              <w:spacing w:before="0" w:after="60" w:line="240" w:lineRule="auto"/>
              <w:ind w:firstLine="0"/>
              <w:jc w:val="right"/>
              <w:rPr>
                <w:rFonts w:ascii="Calibri" w:hAnsi="Calibri"/>
                <w:sz w:val="20"/>
                <w:szCs w:val="20"/>
              </w:rPr>
            </w:pPr>
            <w:r w:rsidRPr="00160B6A">
              <w:rPr>
                <w:rFonts w:ascii="Calibri" w:hAnsi="Calibri"/>
                <w:sz w:val="20"/>
                <w:szCs w:val="20"/>
              </w:rPr>
              <w:t>26,5</w:t>
            </w:r>
          </w:p>
        </w:tc>
        <w:tc>
          <w:tcPr>
            <w:tcW w:w="502" w:type="pct"/>
            <w:shd w:val="clear" w:color="auto" w:fill="auto"/>
            <w:noWrap/>
            <w:vAlign w:val="bottom"/>
            <w:hideMark/>
          </w:tcPr>
          <w:p w:rsidR="002A6FFF" w:rsidRPr="00160B6A" w:rsidRDefault="002A6FFF" w:rsidP="00FA44E0">
            <w:pPr>
              <w:spacing w:before="0" w:after="60" w:line="240" w:lineRule="auto"/>
              <w:ind w:firstLine="0"/>
              <w:jc w:val="right"/>
              <w:rPr>
                <w:rFonts w:ascii="Calibri" w:hAnsi="Calibri"/>
                <w:sz w:val="20"/>
                <w:szCs w:val="20"/>
              </w:rPr>
            </w:pPr>
            <w:r w:rsidRPr="00160B6A">
              <w:rPr>
                <w:rFonts w:ascii="Calibri" w:hAnsi="Calibri"/>
                <w:sz w:val="20"/>
                <w:szCs w:val="20"/>
              </w:rPr>
              <w:t>34,3</w:t>
            </w:r>
          </w:p>
        </w:tc>
        <w:tc>
          <w:tcPr>
            <w:tcW w:w="510" w:type="pct"/>
            <w:shd w:val="clear" w:color="auto" w:fill="auto"/>
            <w:noWrap/>
            <w:vAlign w:val="bottom"/>
            <w:hideMark/>
          </w:tcPr>
          <w:p w:rsidR="002A6FFF" w:rsidRPr="00160B6A" w:rsidRDefault="002A6FFF" w:rsidP="00FA44E0">
            <w:pPr>
              <w:spacing w:before="0" w:after="60" w:line="240" w:lineRule="auto"/>
              <w:ind w:firstLine="0"/>
              <w:jc w:val="right"/>
              <w:rPr>
                <w:rFonts w:ascii="Calibri" w:hAnsi="Calibri"/>
                <w:sz w:val="20"/>
                <w:szCs w:val="20"/>
              </w:rPr>
            </w:pPr>
            <w:r w:rsidRPr="00160B6A">
              <w:rPr>
                <w:rFonts w:ascii="Calibri" w:hAnsi="Calibri"/>
                <w:sz w:val="20"/>
                <w:szCs w:val="20"/>
              </w:rPr>
              <w:t>33,4</w:t>
            </w:r>
          </w:p>
        </w:tc>
        <w:tc>
          <w:tcPr>
            <w:tcW w:w="510" w:type="pct"/>
            <w:shd w:val="clear" w:color="auto" w:fill="auto"/>
            <w:noWrap/>
            <w:vAlign w:val="bottom"/>
            <w:hideMark/>
          </w:tcPr>
          <w:p w:rsidR="002A6FFF" w:rsidRPr="00160B6A" w:rsidRDefault="002A6FFF" w:rsidP="00FA44E0">
            <w:pPr>
              <w:spacing w:before="0" w:after="60" w:line="240" w:lineRule="auto"/>
              <w:ind w:firstLine="0"/>
              <w:jc w:val="right"/>
              <w:rPr>
                <w:rFonts w:ascii="Calibri" w:hAnsi="Calibri"/>
                <w:sz w:val="20"/>
                <w:szCs w:val="20"/>
              </w:rPr>
            </w:pPr>
            <w:r w:rsidRPr="00160B6A">
              <w:rPr>
                <w:rFonts w:ascii="Calibri" w:hAnsi="Calibri"/>
                <w:sz w:val="20"/>
                <w:szCs w:val="20"/>
              </w:rPr>
              <w:t>39,5</w:t>
            </w:r>
          </w:p>
        </w:tc>
        <w:tc>
          <w:tcPr>
            <w:tcW w:w="415" w:type="pct"/>
            <w:shd w:val="clear" w:color="auto" w:fill="auto"/>
            <w:noWrap/>
            <w:vAlign w:val="bottom"/>
            <w:hideMark/>
          </w:tcPr>
          <w:p w:rsidR="002A6FFF" w:rsidRPr="00160B6A" w:rsidRDefault="002A6FFF" w:rsidP="00FA44E0">
            <w:pPr>
              <w:spacing w:before="0" w:after="60" w:line="240" w:lineRule="auto"/>
              <w:ind w:firstLine="0"/>
              <w:jc w:val="right"/>
              <w:rPr>
                <w:rFonts w:ascii="Calibri" w:hAnsi="Calibri"/>
                <w:sz w:val="20"/>
                <w:szCs w:val="20"/>
              </w:rPr>
            </w:pPr>
            <w:r w:rsidRPr="00160B6A">
              <w:rPr>
                <w:rFonts w:ascii="Calibri" w:hAnsi="Calibri"/>
                <w:sz w:val="20"/>
                <w:szCs w:val="20"/>
              </w:rPr>
              <w:t>39,2</w:t>
            </w:r>
          </w:p>
        </w:tc>
      </w:tr>
    </w:tbl>
    <w:p w:rsidR="002A6FFF" w:rsidRDefault="002A6FFF" w:rsidP="00FA44E0">
      <w:pPr>
        <w:spacing w:line="240" w:lineRule="atLeast"/>
        <w:ind w:firstLine="0"/>
        <w:rPr>
          <w:rFonts w:asciiTheme="minorHAnsi" w:hAnsiTheme="minorHAnsi"/>
          <w:sz w:val="18"/>
          <w:szCs w:val="18"/>
        </w:rPr>
      </w:pPr>
      <w:r w:rsidRPr="00160B6A">
        <w:rPr>
          <w:rFonts w:asciiTheme="minorHAnsi" w:hAnsiTheme="minorHAnsi"/>
          <w:sz w:val="18"/>
          <w:szCs w:val="18"/>
        </w:rPr>
        <w:t>Pramen: výpočty ÚZEI dle SZIF</w:t>
      </w:r>
    </w:p>
    <w:p w:rsidR="002B44EF" w:rsidRPr="002C1A6F" w:rsidRDefault="002B44EF" w:rsidP="002B44EF">
      <w:pPr>
        <w:tabs>
          <w:tab w:val="left" w:pos="0"/>
        </w:tabs>
        <w:spacing w:before="120"/>
        <w:ind w:firstLine="0"/>
        <w:rPr>
          <w:rFonts w:asciiTheme="minorHAnsi" w:hAnsiTheme="minorHAnsi"/>
          <w:b/>
          <w:sz w:val="22"/>
          <w:szCs w:val="22"/>
        </w:rPr>
      </w:pPr>
      <w:r>
        <w:rPr>
          <w:rFonts w:asciiTheme="minorHAnsi" w:hAnsiTheme="minorHAnsi"/>
          <w:b/>
          <w:sz w:val="22"/>
          <w:szCs w:val="22"/>
        </w:rPr>
        <w:t>Chov skotu - h</w:t>
      </w:r>
      <w:r w:rsidRPr="002C1A6F">
        <w:rPr>
          <w:rFonts w:asciiTheme="minorHAnsi" w:hAnsiTheme="minorHAnsi"/>
          <w:b/>
          <w:sz w:val="22"/>
          <w:szCs w:val="22"/>
        </w:rPr>
        <w:t>ovězí maso</w:t>
      </w:r>
    </w:p>
    <w:p w:rsidR="002B44EF" w:rsidRPr="00D050B3" w:rsidRDefault="002B44EF" w:rsidP="002B44EF">
      <w:pPr>
        <w:tabs>
          <w:tab w:val="left" w:pos="0"/>
        </w:tabs>
        <w:spacing w:after="120"/>
        <w:ind w:firstLine="0"/>
        <w:rPr>
          <w:rFonts w:asciiTheme="minorHAnsi" w:hAnsiTheme="minorHAnsi" w:cs="Arial"/>
          <w:sz w:val="22"/>
          <w:szCs w:val="22"/>
        </w:rPr>
      </w:pPr>
      <w:r>
        <w:rPr>
          <w:rFonts w:asciiTheme="minorHAnsi" w:hAnsiTheme="minorHAnsi" w:cs="Arial"/>
          <w:sz w:val="22"/>
          <w:szCs w:val="22"/>
        </w:rPr>
        <w:t>Přestože n</w:t>
      </w:r>
      <w:r w:rsidRPr="0059439F">
        <w:rPr>
          <w:rFonts w:asciiTheme="minorHAnsi" w:hAnsiTheme="minorHAnsi" w:cs="Arial"/>
          <w:sz w:val="22"/>
          <w:szCs w:val="22"/>
        </w:rPr>
        <w:t>ejvětší počty zvířat z celkového počtu chovaného skotu v ČR jsou evidovány v podnicích s chovy čítající</w:t>
      </w:r>
      <w:r>
        <w:rPr>
          <w:rFonts w:asciiTheme="minorHAnsi" w:hAnsiTheme="minorHAnsi" w:cs="Arial"/>
          <w:sz w:val="22"/>
          <w:szCs w:val="22"/>
        </w:rPr>
        <w:t>mi</w:t>
      </w:r>
      <w:r w:rsidRPr="0059439F">
        <w:rPr>
          <w:rFonts w:asciiTheme="minorHAnsi" w:hAnsiTheme="minorHAnsi" w:cs="Arial"/>
          <w:sz w:val="22"/>
          <w:szCs w:val="22"/>
        </w:rPr>
        <w:t xml:space="preserve"> více než 1 000 ks (tj. více než 45 % zvířat)</w:t>
      </w:r>
      <w:r>
        <w:rPr>
          <w:rFonts w:asciiTheme="minorHAnsi" w:hAnsiTheme="minorHAnsi" w:cs="Arial"/>
          <w:sz w:val="22"/>
          <w:szCs w:val="22"/>
        </w:rPr>
        <w:t xml:space="preserve">, </w:t>
      </w:r>
      <w:r w:rsidRPr="00D050B3">
        <w:rPr>
          <w:rFonts w:asciiTheme="minorHAnsi" w:hAnsiTheme="minorHAnsi" w:cs="Arial"/>
          <w:sz w:val="22"/>
          <w:szCs w:val="22"/>
        </w:rPr>
        <w:t xml:space="preserve">HHI ukazuje, že koncentrace chovu skotu je velmi nízká. Koncentrace zpracovatelských podniků s porážkou skotu byla v roce 2010 velmi nízká. Do roku 2015 se hodnota HH indexu sice </w:t>
      </w:r>
      <w:r>
        <w:rPr>
          <w:rFonts w:asciiTheme="minorHAnsi" w:hAnsiTheme="minorHAnsi" w:cs="Arial"/>
          <w:sz w:val="22"/>
          <w:szCs w:val="22"/>
        </w:rPr>
        <w:t xml:space="preserve">mírně </w:t>
      </w:r>
      <w:r w:rsidRPr="00D050B3">
        <w:rPr>
          <w:rFonts w:asciiTheme="minorHAnsi" w:hAnsiTheme="minorHAnsi" w:cs="Arial"/>
          <w:sz w:val="22"/>
          <w:szCs w:val="22"/>
        </w:rPr>
        <w:t>zvýšila, ale stále se nacházela hluboko pod hranicí 1000. To znamená, že dosud není v ČR žádný subjekt s výraznou převahou počtu poráženého skotu, a </w:t>
      </w:r>
      <w:r>
        <w:rPr>
          <w:rFonts w:asciiTheme="minorHAnsi" w:hAnsiTheme="minorHAnsi" w:cs="Arial"/>
          <w:sz w:val="22"/>
          <w:szCs w:val="22"/>
        </w:rPr>
        <w:t>ani v odvětví hovězího masa nee</w:t>
      </w:r>
      <w:r w:rsidRPr="00D050B3">
        <w:rPr>
          <w:rFonts w:asciiTheme="minorHAnsi" w:hAnsiTheme="minorHAnsi" w:cs="Arial"/>
          <w:sz w:val="22"/>
          <w:szCs w:val="22"/>
        </w:rPr>
        <w:t>xistuje vyvažující síla vůči maloobchodu. N</w:t>
      </w:r>
      <w:r w:rsidRPr="00D050B3">
        <w:rPr>
          <w:rFonts w:asciiTheme="minorHAnsi" w:hAnsiTheme="minorHAnsi"/>
          <w:sz w:val="22"/>
          <w:szCs w:val="22"/>
        </w:rPr>
        <w:t>ízké hodnoty HHI u</w:t>
      </w:r>
      <w:r>
        <w:rPr>
          <w:rFonts w:asciiTheme="minorHAnsi" w:hAnsiTheme="minorHAnsi"/>
          <w:sz w:val="22"/>
          <w:szCs w:val="22"/>
        </w:rPr>
        <w:t> </w:t>
      </w:r>
      <w:r w:rsidRPr="00D050B3">
        <w:rPr>
          <w:rFonts w:asciiTheme="minorHAnsi" w:hAnsiTheme="minorHAnsi"/>
          <w:sz w:val="22"/>
          <w:szCs w:val="22"/>
        </w:rPr>
        <w:t xml:space="preserve">zpracovatelů odrážejí „neusazenou“ tržní pozici potravinářů. Nejsou velcí ani malí, velké maloobchodní řetězce mají nad nimi vyjednávací převahu a na jiné/malé tržní kanály rychleji nereagují. Malé tržní kanály jsou často rychleji obsazovány KDŘ. </w:t>
      </w:r>
    </w:p>
    <w:p w:rsidR="002B44EF" w:rsidRPr="002B44EF" w:rsidRDefault="002B44EF" w:rsidP="002B44EF">
      <w:pPr>
        <w:tabs>
          <w:tab w:val="left" w:pos="709"/>
        </w:tabs>
        <w:spacing w:before="240" w:line="240" w:lineRule="atLeast"/>
        <w:ind w:left="709" w:hanging="709"/>
        <w:rPr>
          <w:rFonts w:asciiTheme="minorHAnsi" w:hAnsiTheme="minorHAnsi"/>
          <w:b/>
          <w:sz w:val="22"/>
          <w:szCs w:val="22"/>
        </w:rPr>
      </w:pPr>
      <w:r w:rsidRPr="002B44EF">
        <w:rPr>
          <w:rFonts w:asciiTheme="minorHAnsi" w:hAnsiTheme="minorHAnsi"/>
          <w:b/>
          <w:sz w:val="22"/>
          <w:szCs w:val="22"/>
        </w:rPr>
        <w:t>Vývoj koncentrace chovu skotu a jatek, počet poraženého skotu podle indexu HHI</w:t>
      </w:r>
    </w:p>
    <w:tbl>
      <w:tblPr>
        <w:tblW w:w="9042" w:type="dxa"/>
        <w:tblCellMar>
          <w:left w:w="70" w:type="dxa"/>
          <w:right w:w="70" w:type="dxa"/>
        </w:tblCellMar>
        <w:tblLook w:val="04A0"/>
      </w:tblPr>
      <w:tblGrid>
        <w:gridCol w:w="2284"/>
        <w:gridCol w:w="1106"/>
        <w:gridCol w:w="1106"/>
        <w:gridCol w:w="1106"/>
        <w:gridCol w:w="1130"/>
        <w:gridCol w:w="1155"/>
        <w:gridCol w:w="1155"/>
      </w:tblGrid>
      <w:tr w:rsidR="002B44EF" w:rsidRPr="00E7721E" w:rsidTr="00011676">
        <w:trPr>
          <w:trHeight w:val="840"/>
        </w:trPr>
        <w:tc>
          <w:tcPr>
            <w:tcW w:w="2284" w:type="dxa"/>
            <w:vMerge w:val="restart"/>
            <w:tcBorders>
              <w:top w:val="single" w:sz="12" w:space="0" w:color="auto"/>
              <w:left w:val="single" w:sz="12" w:space="0" w:color="auto"/>
              <w:bottom w:val="single" w:sz="8" w:space="0" w:color="000000"/>
              <w:right w:val="single" w:sz="4" w:space="0" w:color="auto"/>
            </w:tcBorders>
            <w:shd w:val="clear" w:color="auto" w:fill="auto"/>
            <w:noWrap/>
            <w:vAlign w:val="center"/>
            <w:hideMark/>
          </w:tcPr>
          <w:p w:rsidR="002B44EF" w:rsidRPr="009E12AB" w:rsidRDefault="002B44EF" w:rsidP="00011676">
            <w:pPr>
              <w:ind w:firstLine="54"/>
              <w:rPr>
                <w:rFonts w:ascii="Calibri" w:hAnsi="Calibri"/>
                <w:color w:val="000000"/>
                <w:sz w:val="20"/>
                <w:szCs w:val="20"/>
              </w:rPr>
            </w:pPr>
            <w:r w:rsidRPr="009E12AB">
              <w:rPr>
                <w:rFonts w:ascii="Calibri" w:hAnsi="Calibri"/>
                <w:color w:val="000000"/>
                <w:sz w:val="20"/>
                <w:szCs w:val="20"/>
              </w:rPr>
              <w:t>Ukazatel</w:t>
            </w:r>
          </w:p>
        </w:tc>
        <w:tc>
          <w:tcPr>
            <w:tcW w:w="2212" w:type="dxa"/>
            <w:gridSpan w:val="2"/>
            <w:tcBorders>
              <w:top w:val="single" w:sz="12" w:space="0" w:color="auto"/>
              <w:left w:val="nil"/>
              <w:bottom w:val="single" w:sz="4" w:space="0" w:color="auto"/>
              <w:right w:val="single" w:sz="4" w:space="0" w:color="auto"/>
            </w:tcBorders>
            <w:shd w:val="clear" w:color="auto" w:fill="D9D9D9" w:themeFill="background1" w:themeFillShade="D9"/>
            <w:vAlign w:val="center"/>
            <w:hideMark/>
          </w:tcPr>
          <w:p w:rsidR="002B44EF" w:rsidRPr="009E12AB" w:rsidRDefault="002B44EF" w:rsidP="00011676">
            <w:pPr>
              <w:ind w:firstLine="0"/>
              <w:jc w:val="center"/>
              <w:rPr>
                <w:rFonts w:ascii="Calibri" w:hAnsi="Calibri"/>
                <w:bCs/>
                <w:color w:val="000000"/>
                <w:sz w:val="20"/>
                <w:szCs w:val="20"/>
              </w:rPr>
            </w:pPr>
            <w:r w:rsidRPr="009E12AB">
              <w:rPr>
                <w:rFonts w:ascii="Calibri" w:hAnsi="Calibri"/>
                <w:bCs/>
                <w:color w:val="000000"/>
                <w:sz w:val="20"/>
                <w:szCs w:val="20"/>
              </w:rPr>
              <w:t>HHI</w:t>
            </w:r>
            <w:r w:rsidRPr="009E12AB">
              <w:rPr>
                <w:rFonts w:ascii="Calibri" w:hAnsi="Calibri"/>
                <w:bCs/>
                <w:color w:val="000000"/>
                <w:sz w:val="20"/>
                <w:szCs w:val="20"/>
              </w:rPr>
              <w:br/>
              <w:t xml:space="preserve">index v % </w:t>
            </w:r>
            <w:r w:rsidRPr="009E12AB">
              <w:rPr>
                <w:rFonts w:ascii="Calibri" w:hAnsi="Calibri"/>
                <w:bCs/>
                <w:color w:val="000000"/>
                <w:sz w:val="20"/>
                <w:szCs w:val="20"/>
                <w:vertAlign w:val="superscript"/>
              </w:rPr>
              <w:t>1)</w:t>
            </w:r>
          </w:p>
        </w:tc>
        <w:tc>
          <w:tcPr>
            <w:tcW w:w="2236" w:type="dxa"/>
            <w:gridSpan w:val="2"/>
            <w:tcBorders>
              <w:top w:val="single" w:sz="12" w:space="0" w:color="auto"/>
              <w:left w:val="nil"/>
              <w:bottom w:val="single" w:sz="4" w:space="0" w:color="auto"/>
              <w:right w:val="single" w:sz="4" w:space="0" w:color="auto"/>
            </w:tcBorders>
            <w:shd w:val="clear" w:color="auto" w:fill="auto"/>
            <w:noWrap/>
            <w:vAlign w:val="center"/>
            <w:hideMark/>
          </w:tcPr>
          <w:p w:rsidR="002B44EF" w:rsidRPr="009E12AB" w:rsidRDefault="002B44EF" w:rsidP="00011676">
            <w:pPr>
              <w:ind w:hanging="46"/>
              <w:jc w:val="center"/>
              <w:rPr>
                <w:rFonts w:ascii="Calibri" w:hAnsi="Calibri"/>
                <w:bCs/>
                <w:color w:val="000000"/>
                <w:sz w:val="20"/>
                <w:szCs w:val="20"/>
              </w:rPr>
            </w:pPr>
            <w:r w:rsidRPr="009E12AB">
              <w:rPr>
                <w:rFonts w:ascii="Calibri" w:hAnsi="Calibri"/>
                <w:bCs/>
                <w:color w:val="000000"/>
                <w:sz w:val="20"/>
                <w:szCs w:val="20"/>
              </w:rPr>
              <w:t xml:space="preserve">Počet subjektů  </w:t>
            </w:r>
            <w:r>
              <w:rPr>
                <w:rFonts w:ascii="Calibri" w:hAnsi="Calibri"/>
                <w:bCs/>
                <w:color w:val="000000"/>
                <w:sz w:val="20"/>
                <w:szCs w:val="20"/>
              </w:rPr>
              <w:t xml:space="preserve">                   </w:t>
            </w:r>
            <w:r w:rsidRPr="009E12AB">
              <w:rPr>
                <w:rFonts w:ascii="Calibri" w:hAnsi="Calibri"/>
                <w:bCs/>
                <w:color w:val="000000"/>
                <w:sz w:val="20"/>
                <w:szCs w:val="20"/>
              </w:rPr>
              <w:t>(chovů resp. jatek)</w:t>
            </w:r>
            <w:r>
              <w:rPr>
                <w:rFonts w:ascii="Calibri" w:hAnsi="Calibri"/>
                <w:bCs/>
                <w:color w:val="000000"/>
                <w:sz w:val="20"/>
                <w:szCs w:val="20"/>
              </w:rPr>
              <w:t xml:space="preserve"> </w:t>
            </w:r>
            <w:r w:rsidRPr="009E12AB">
              <w:rPr>
                <w:rFonts w:ascii="Calibri" w:hAnsi="Calibri"/>
                <w:bCs/>
                <w:color w:val="000000"/>
                <w:sz w:val="20"/>
                <w:szCs w:val="20"/>
              </w:rPr>
              <w:t>(n)</w:t>
            </w:r>
          </w:p>
        </w:tc>
        <w:tc>
          <w:tcPr>
            <w:tcW w:w="2310" w:type="dxa"/>
            <w:gridSpan w:val="2"/>
            <w:tcBorders>
              <w:top w:val="single" w:sz="12" w:space="0" w:color="auto"/>
              <w:left w:val="nil"/>
              <w:bottom w:val="single" w:sz="4" w:space="0" w:color="auto"/>
              <w:right w:val="single" w:sz="12" w:space="0" w:color="auto"/>
            </w:tcBorders>
            <w:shd w:val="clear" w:color="auto" w:fill="auto"/>
            <w:vAlign w:val="bottom"/>
            <w:hideMark/>
          </w:tcPr>
          <w:p w:rsidR="002B44EF" w:rsidRPr="009E12AB" w:rsidRDefault="002B44EF" w:rsidP="00011676">
            <w:pPr>
              <w:ind w:firstLine="0"/>
              <w:jc w:val="center"/>
              <w:rPr>
                <w:rFonts w:ascii="Calibri" w:hAnsi="Calibri"/>
                <w:bCs/>
                <w:color w:val="000000"/>
                <w:sz w:val="20"/>
                <w:szCs w:val="20"/>
              </w:rPr>
            </w:pPr>
            <w:r w:rsidRPr="009E12AB">
              <w:rPr>
                <w:rFonts w:ascii="Calibri" w:hAnsi="Calibri"/>
                <w:bCs/>
                <w:color w:val="000000"/>
                <w:sz w:val="20"/>
                <w:szCs w:val="20"/>
              </w:rPr>
              <w:t>Počet</w:t>
            </w:r>
            <w:r>
              <w:rPr>
                <w:rFonts w:ascii="Calibri" w:hAnsi="Calibri"/>
                <w:bCs/>
                <w:color w:val="000000"/>
                <w:sz w:val="20"/>
                <w:szCs w:val="20"/>
              </w:rPr>
              <w:t xml:space="preserve"> </w:t>
            </w:r>
            <w:r w:rsidRPr="009E12AB">
              <w:rPr>
                <w:rFonts w:ascii="Calibri" w:hAnsi="Calibri"/>
                <w:bCs/>
                <w:color w:val="000000"/>
                <w:sz w:val="20"/>
                <w:szCs w:val="20"/>
              </w:rPr>
              <w:t>chovaných</w:t>
            </w:r>
            <w:r>
              <w:rPr>
                <w:rFonts w:ascii="Calibri" w:hAnsi="Calibri"/>
                <w:bCs/>
                <w:color w:val="000000"/>
                <w:sz w:val="20"/>
                <w:szCs w:val="20"/>
              </w:rPr>
              <w:t xml:space="preserve"> </w:t>
            </w:r>
            <w:r w:rsidRPr="009E12AB">
              <w:rPr>
                <w:rFonts w:ascii="Calibri" w:hAnsi="Calibri"/>
                <w:bCs/>
                <w:color w:val="000000"/>
                <w:sz w:val="20"/>
                <w:szCs w:val="20"/>
              </w:rPr>
              <w:t>resp. poražených zvířat v ks</w:t>
            </w:r>
          </w:p>
        </w:tc>
      </w:tr>
      <w:tr w:rsidR="002B44EF" w:rsidRPr="00E7721E" w:rsidTr="00011676">
        <w:trPr>
          <w:trHeight w:val="352"/>
        </w:trPr>
        <w:tc>
          <w:tcPr>
            <w:tcW w:w="2284" w:type="dxa"/>
            <w:vMerge/>
            <w:tcBorders>
              <w:top w:val="single" w:sz="8" w:space="0" w:color="auto"/>
              <w:left w:val="single" w:sz="12" w:space="0" w:color="auto"/>
              <w:bottom w:val="single" w:sz="8" w:space="0" w:color="000000"/>
              <w:right w:val="single" w:sz="4" w:space="0" w:color="auto"/>
            </w:tcBorders>
            <w:vAlign w:val="center"/>
            <w:hideMark/>
          </w:tcPr>
          <w:p w:rsidR="002B44EF" w:rsidRPr="009E12AB" w:rsidRDefault="002B44EF" w:rsidP="00011676">
            <w:pPr>
              <w:ind w:firstLine="54"/>
              <w:rPr>
                <w:rFonts w:ascii="Calibri" w:hAnsi="Calibri"/>
                <w:color w:val="000000"/>
                <w:sz w:val="20"/>
                <w:szCs w:val="20"/>
              </w:rPr>
            </w:pPr>
          </w:p>
        </w:tc>
        <w:tc>
          <w:tcPr>
            <w:tcW w:w="1106" w:type="dxa"/>
            <w:tcBorders>
              <w:top w:val="nil"/>
              <w:left w:val="single" w:sz="4" w:space="0" w:color="auto"/>
              <w:bottom w:val="single" w:sz="8" w:space="0" w:color="auto"/>
              <w:right w:val="single" w:sz="4" w:space="0" w:color="auto"/>
            </w:tcBorders>
            <w:shd w:val="clear" w:color="auto" w:fill="D9D9D9" w:themeFill="background1" w:themeFillShade="D9"/>
            <w:noWrap/>
            <w:vAlign w:val="bottom"/>
            <w:hideMark/>
          </w:tcPr>
          <w:p w:rsidR="002B44EF" w:rsidRPr="009E12AB" w:rsidRDefault="002B44EF" w:rsidP="00011676">
            <w:pPr>
              <w:ind w:firstLine="27"/>
              <w:jc w:val="center"/>
              <w:rPr>
                <w:rFonts w:ascii="Calibri" w:hAnsi="Calibri"/>
                <w:bCs/>
                <w:color w:val="000000"/>
                <w:sz w:val="20"/>
                <w:szCs w:val="20"/>
              </w:rPr>
            </w:pPr>
            <w:r w:rsidRPr="009E12AB">
              <w:rPr>
                <w:rFonts w:ascii="Calibri" w:hAnsi="Calibri"/>
                <w:bCs/>
                <w:color w:val="000000"/>
                <w:sz w:val="20"/>
                <w:szCs w:val="20"/>
              </w:rPr>
              <w:t>2010</w:t>
            </w:r>
          </w:p>
        </w:tc>
        <w:tc>
          <w:tcPr>
            <w:tcW w:w="1106" w:type="dxa"/>
            <w:tcBorders>
              <w:top w:val="nil"/>
              <w:left w:val="nil"/>
              <w:bottom w:val="single" w:sz="8" w:space="0" w:color="auto"/>
              <w:right w:val="single" w:sz="4" w:space="0" w:color="auto"/>
            </w:tcBorders>
            <w:shd w:val="clear" w:color="auto" w:fill="D9D9D9" w:themeFill="background1" w:themeFillShade="D9"/>
            <w:noWrap/>
            <w:vAlign w:val="bottom"/>
            <w:hideMark/>
          </w:tcPr>
          <w:p w:rsidR="002B44EF" w:rsidRPr="009E12AB" w:rsidRDefault="002B44EF" w:rsidP="00011676">
            <w:pPr>
              <w:ind w:firstLine="27"/>
              <w:jc w:val="center"/>
              <w:rPr>
                <w:rFonts w:ascii="Calibri" w:hAnsi="Calibri"/>
                <w:bCs/>
                <w:color w:val="000000"/>
                <w:sz w:val="20"/>
                <w:szCs w:val="20"/>
              </w:rPr>
            </w:pPr>
            <w:r w:rsidRPr="009E12AB">
              <w:rPr>
                <w:rFonts w:ascii="Calibri" w:hAnsi="Calibri"/>
                <w:bCs/>
                <w:color w:val="000000"/>
                <w:sz w:val="20"/>
                <w:szCs w:val="20"/>
              </w:rPr>
              <w:t>2016</w:t>
            </w:r>
          </w:p>
        </w:tc>
        <w:tc>
          <w:tcPr>
            <w:tcW w:w="1106" w:type="dxa"/>
            <w:tcBorders>
              <w:top w:val="nil"/>
              <w:left w:val="nil"/>
              <w:bottom w:val="single" w:sz="8" w:space="0" w:color="auto"/>
              <w:right w:val="single" w:sz="4" w:space="0" w:color="auto"/>
            </w:tcBorders>
            <w:shd w:val="clear" w:color="auto" w:fill="auto"/>
            <w:noWrap/>
            <w:vAlign w:val="bottom"/>
            <w:hideMark/>
          </w:tcPr>
          <w:p w:rsidR="002B44EF" w:rsidRPr="009E12AB" w:rsidRDefault="002B44EF" w:rsidP="00011676">
            <w:pPr>
              <w:ind w:firstLine="27"/>
              <w:jc w:val="center"/>
              <w:rPr>
                <w:rFonts w:ascii="Calibri" w:hAnsi="Calibri"/>
                <w:bCs/>
                <w:color w:val="000000"/>
                <w:sz w:val="20"/>
                <w:szCs w:val="20"/>
              </w:rPr>
            </w:pPr>
            <w:r w:rsidRPr="009E12AB">
              <w:rPr>
                <w:rFonts w:ascii="Calibri" w:hAnsi="Calibri"/>
                <w:bCs/>
                <w:color w:val="000000"/>
                <w:sz w:val="20"/>
                <w:szCs w:val="20"/>
              </w:rPr>
              <w:t>2010</w:t>
            </w:r>
          </w:p>
        </w:tc>
        <w:tc>
          <w:tcPr>
            <w:tcW w:w="1130" w:type="dxa"/>
            <w:tcBorders>
              <w:top w:val="nil"/>
              <w:left w:val="nil"/>
              <w:bottom w:val="single" w:sz="8" w:space="0" w:color="auto"/>
              <w:right w:val="single" w:sz="4" w:space="0" w:color="auto"/>
            </w:tcBorders>
            <w:shd w:val="clear" w:color="auto" w:fill="auto"/>
            <w:noWrap/>
            <w:vAlign w:val="bottom"/>
            <w:hideMark/>
          </w:tcPr>
          <w:p w:rsidR="002B44EF" w:rsidRPr="009E12AB" w:rsidRDefault="002B44EF" w:rsidP="00011676">
            <w:pPr>
              <w:ind w:firstLine="27"/>
              <w:jc w:val="center"/>
              <w:rPr>
                <w:rFonts w:ascii="Calibri" w:hAnsi="Calibri"/>
                <w:bCs/>
                <w:color w:val="000000"/>
                <w:sz w:val="20"/>
                <w:szCs w:val="20"/>
              </w:rPr>
            </w:pPr>
            <w:r w:rsidRPr="009E12AB">
              <w:rPr>
                <w:rFonts w:ascii="Calibri" w:hAnsi="Calibri"/>
                <w:bCs/>
                <w:color w:val="000000"/>
                <w:sz w:val="20"/>
                <w:szCs w:val="20"/>
              </w:rPr>
              <w:t>2016</w:t>
            </w:r>
          </w:p>
        </w:tc>
        <w:tc>
          <w:tcPr>
            <w:tcW w:w="1155" w:type="dxa"/>
            <w:tcBorders>
              <w:top w:val="nil"/>
              <w:left w:val="nil"/>
              <w:bottom w:val="single" w:sz="8" w:space="0" w:color="auto"/>
              <w:right w:val="single" w:sz="4" w:space="0" w:color="auto"/>
            </w:tcBorders>
            <w:shd w:val="clear" w:color="auto" w:fill="auto"/>
            <w:noWrap/>
            <w:vAlign w:val="bottom"/>
            <w:hideMark/>
          </w:tcPr>
          <w:p w:rsidR="002B44EF" w:rsidRPr="009E12AB" w:rsidRDefault="002B44EF" w:rsidP="00011676">
            <w:pPr>
              <w:ind w:firstLine="27"/>
              <w:jc w:val="center"/>
              <w:rPr>
                <w:rFonts w:ascii="Calibri" w:hAnsi="Calibri"/>
                <w:bCs/>
                <w:color w:val="000000"/>
                <w:sz w:val="20"/>
                <w:szCs w:val="20"/>
              </w:rPr>
            </w:pPr>
            <w:r w:rsidRPr="009E12AB">
              <w:rPr>
                <w:rFonts w:ascii="Calibri" w:hAnsi="Calibri"/>
                <w:bCs/>
                <w:color w:val="000000"/>
                <w:sz w:val="20"/>
                <w:szCs w:val="20"/>
              </w:rPr>
              <w:t>2010</w:t>
            </w:r>
          </w:p>
        </w:tc>
        <w:tc>
          <w:tcPr>
            <w:tcW w:w="1155" w:type="dxa"/>
            <w:tcBorders>
              <w:top w:val="nil"/>
              <w:left w:val="nil"/>
              <w:bottom w:val="single" w:sz="8" w:space="0" w:color="auto"/>
              <w:right w:val="single" w:sz="12" w:space="0" w:color="auto"/>
            </w:tcBorders>
            <w:shd w:val="clear" w:color="auto" w:fill="auto"/>
            <w:noWrap/>
            <w:vAlign w:val="bottom"/>
            <w:hideMark/>
          </w:tcPr>
          <w:p w:rsidR="002B44EF" w:rsidRPr="009E12AB" w:rsidRDefault="002B44EF" w:rsidP="00011676">
            <w:pPr>
              <w:ind w:firstLine="27"/>
              <w:jc w:val="center"/>
              <w:rPr>
                <w:rFonts w:ascii="Calibri" w:hAnsi="Calibri"/>
                <w:bCs/>
                <w:color w:val="000000"/>
                <w:sz w:val="20"/>
                <w:szCs w:val="20"/>
              </w:rPr>
            </w:pPr>
            <w:r w:rsidRPr="009E12AB">
              <w:rPr>
                <w:rFonts w:ascii="Calibri" w:hAnsi="Calibri"/>
                <w:bCs/>
                <w:color w:val="000000"/>
                <w:sz w:val="20"/>
                <w:szCs w:val="20"/>
              </w:rPr>
              <w:t>2016</w:t>
            </w:r>
          </w:p>
        </w:tc>
      </w:tr>
      <w:tr w:rsidR="002B44EF" w:rsidRPr="00E7721E" w:rsidTr="00011676">
        <w:trPr>
          <w:trHeight w:val="329"/>
        </w:trPr>
        <w:tc>
          <w:tcPr>
            <w:tcW w:w="2284" w:type="dxa"/>
            <w:tcBorders>
              <w:top w:val="nil"/>
              <w:left w:val="single" w:sz="12" w:space="0" w:color="auto"/>
              <w:bottom w:val="single" w:sz="4" w:space="0" w:color="auto"/>
              <w:right w:val="single" w:sz="4" w:space="0" w:color="auto"/>
            </w:tcBorders>
            <w:shd w:val="clear" w:color="auto" w:fill="auto"/>
            <w:noWrap/>
            <w:vAlign w:val="bottom"/>
          </w:tcPr>
          <w:p w:rsidR="002B44EF" w:rsidRPr="009E12AB" w:rsidRDefault="002B44EF" w:rsidP="00011676">
            <w:pPr>
              <w:ind w:firstLine="54"/>
              <w:rPr>
                <w:rFonts w:ascii="Calibri" w:hAnsi="Calibri"/>
                <w:color w:val="000000"/>
                <w:sz w:val="20"/>
                <w:szCs w:val="20"/>
              </w:rPr>
            </w:pPr>
            <w:r w:rsidRPr="009E12AB">
              <w:rPr>
                <w:rFonts w:ascii="Calibri" w:hAnsi="Calibri"/>
                <w:color w:val="000000"/>
                <w:sz w:val="20"/>
                <w:szCs w:val="20"/>
              </w:rPr>
              <w:t>Koncentrace chovu</w:t>
            </w:r>
          </w:p>
        </w:tc>
        <w:tc>
          <w:tcPr>
            <w:tcW w:w="1106" w:type="dxa"/>
            <w:tcBorders>
              <w:top w:val="nil"/>
              <w:left w:val="nil"/>
              <w:bottom w:val="single" w:sz="4" w:space="0" w:color="auto"/>
              <w:right w:val="single" w:sz="4" w:space="0" w:color="auto"/>
            </w:tcBorders>
            <w:shd w:val="clear" w:color="auto" w:fill="D9D9D9" w:themeFill="background1" w:themeFillShade="D9"/>
            <w:noWrap/>
            <w:vAlign w:val="bottom"/>
          </w:tcPr>
          <w:p w:rsidR="002B44EF" w:rsidRPr="009E12AB" w:rsidRDefault="002B44EF" w:rsidP="00011676">
            <w:pPr>
              <w:ind w:firstLine="27"/>
              <w:jc w:val="center"/>
              <w:rPr>
                <w:rFonts w:ascii="Calibri" w:hAnsi="Calibri"/>
                <w:color w:val="000000"/>
                <w:sz w:val="20"/>
                <w:szCs w:val="20"/>
              </w:rPr>
            </w:pPr>
            <w:r w:rsidRPr="009E12AB">
              <w:rPr>
                <w:rFonts w:ascii="Calibri" w:hAnsi="Calibri"/>
                <w:color w:val="000000"/>
                <w:sz w:val="20"/>
                <w:szCs w:val="20"/>
              </w:rPr>
              <w:t>6,5</w:t>
            </w:r>
          </w:p>
        </w:tc>
        <w:tc>
          <w:tcPr>
            <w:tcW w:w="1106" w:type="dxa"/>
            <w:tcBorders>
              <w:top w:val="nil"/>
              <w:left w:val="nil"/>
              <w:bottom w:val="single" w:sz="4" w:space="0" w:color="auto"/>
              <w:right w:val="single" w:sz="4" w:space="0" w:color="auto"/>
            </w:tcBorders>
            <w:shd w:val="clear" w:color="auto" w:fill="D9D9D9" w:themeFill="background1" w:themeFillShade="D9"/>
            <w:noWrap/>
            <w:vAlign w:val="bottom"/>
          </w:tcPr>
          <w:p w:rsidR="002B44EF" w:rsidRPr="009E12AB" w:rsidRDefault="002B44EF" w:rsidP="00011676">
            <w:pPr>
              <w:ind w:firstLine="27"/>
              <w:jc w:val="center"/>
              <w:rPr>
                <w:rFonts w:ascii="Calibri" w:hAnsi="Calibri"/>
                <w:color w:val="000000"/>
                <w:sz w:val="20"/>
                <w:szCs w:val="20"/>
              </w:rPr>
            </w:pPr>
            <w:r w:rsidRPr="009E12AB">
              <w:rPr>
                <w:rFonts w:ascii="Calibri" w:hAnsi="Calibri"/>
                <w:color w:val="000000"/>
                <w:sz w:val="20"/>
                <w:szCs w:val="20"/>
              </w:rPr>
              <w:t>6,0</w:t>
            </w:r>
          </w:p>
        </w:tc>
        <w:tc>
          <w:tcPr>
            <w:tcW w:w="1106" w:type="dxa"/>
            <w:tcBorders>
              <w:top w:val="nil"/>
              <w:left w:val="nil"/>
              <w:bottom w:val="single" w:sz="4" w:space="0" w:color="auto"/>
              <w:right w:val="single" w:sz="4" w:space="0" w:color="auto"/>
            </w:tcBorders>
            <w:shd w:val="clear" w:color="auto" w:fill="auto"/>
            <w:noWrap/>
            <w:vAlign w:val="bottom"/>
          </w:tcPr>
          <w:p w:rsidR="002B44EF" w:rsidRPr="009E12AB" w:rsidRDefault="002B44EF" w:rsidP="00011676">
            <w:pPr>
              <w:ind w:firstLine="27"/>
              <w:jc w:val="center"/>
              <w:rPr>
                <w:rFonts w:ascii="Calibri" w:hAnsi="Calibri"/>
                <w:color w:val="000000"/>
                <w:sz w:val="20"/>
                <w:szCs w:val="20"/>
              </w:rPr>
            </w:pPr>
            <w:r w:rsidRPr="009E12AB">
              <w:rPr>
                <w:rFonts w:ascii="Calibri" w:hAnsi="Calibri"/>
                <w:color w:val="000000"/>
                <w:sz w:val="20"/>
                <w:szCs w:val="20"/>
              </w:rPr>
              <w:t>17 204</w:t>
            </w:r>
          </w:p>
        </w:tc>
        <w:tc>
          <w:tcPr>
            <w:tcW w:w="1130" w:type="dxa"/>
            <w:tcBorders>
              <w:top w:val="nil"/>
              <w:left w:val="nil"/>
              <w:bottom w:val="single" w:sz="4" w:space="0" w:color="auto"/>
              <w:right w:val="single" w:sz="4" w:space="0" w:color="auto"/>
            </w:tcBorders>
            <w:shd w:val="clear" w:color="auto" w:fill="auto"/>
            <w:noWrap/>
            <w:vAlign w:val="bottom"/>
          </w:tcPr>
          <w:p w:rsidR="002B44EF" w:rsidRPr="009E12AB" w:rsidRDefault="002B44EF" w:rsidP="00011676">
            <w:pPr>
              <w:ind w:firstLine="27"/>
              <w:jc w:val="center"/>
              <w:rPr>
                <w:rFonts w:ascii="Calibri" w:hAnsi="Calibri"/>
                <w:color w:val="000000"/>
                <w:sz w:val="20"/>
                <w:szCs w:val="20"/>
              </w:rPr>
            </w:pPr>
            <w:r w:rsidRPr="009E12AB">
              <w:rPr>
                <w:rFonts w:ascii="Calibri" w:hAnsi="Calibri"/>
                <w:color w:val="000000"/>
                <w:sz w:val="20"/>
                <w:szCs w:val="20"/>
              </w:rPr>
              <w:t>18 564</w:t>
            </w:r>
          </w:p>
        </w:tc>
        <w:tc>
          <w:tcPr>
            <w:tcW w:w="1155" w:type="dxa"/>
            <w:tcBorders>
              <w:top w:val="nil"/>
              <w:left w:val="nil"/>
              <w:bottom w:val="single" w:sz="4" w:space="0" w:color="auto"/>
              <w:right w:val="single" w:sz="4" w:space="0" w:color="auto"/>
            </w:tcBorders>
            <w:shd w:val="clear" w:color="auto" w:fill="auto"/>
            <w:noWrap/>
            <w:vAlign w:val="bottom"/>
          </w:tcPr>
          <w:p w:rsidR="002B44EF" w:rsidRPr="009E12AB" w:rsidRDefault="002B44EF" w:rsidP="00011676">
            <w:pPr>
              <w:ind w:firstLine="27"/>
              <w:jc w:val="right"/>
              <w:rPr>
                <w:rFonts w:ascii="Calibri" w:hAnsi="Calibri"/>
                <w:color w:val="000000"/>
                <w:sz w:val="20"/>
                <w:szCs w:val="20"/>
              </w:rPr>
            </w:pPr>
            <w:r w:rsidRPr="009E12AB">
              <w:rPr>
                <w:rFonts w:ascii="Calibri" w:hAnsi="Calibri"/>
                <w:color w:val="000000"/>
                <w:sz w:val="20"/>
                <w:szCs w:val="20"/>
              </w:rPr>
              <w:t>1 517 198</w:t>
            </w:r>
          </w:p>
        </w:tc>
        <w:tc>
          <w:tcPr>
            <w:tcW w:w="1155" w:type="dxa"/>
            <w:tcBorders>
              <w:top w:val="nil"/>
              <w:left w:val="nil"/>
              <w:bottom w:val="single" w:sz="4" w:space="0" w:color="auto"/>
              <w:right w:val="single" w:sz="12" w:space="0" w:color="auto"/>
            </w:tcBorders>
            <w:shd w:val="clear" w:color="auto" w:fill="auto"/>
            <w:noWrap/>
            <w:vAlign w:val="bottom"/>
          </w:tcPr>
          <w:p w:rsidR="002B44EF" w:rsidRPr="009E12AB" w:rsidRDefault="002B44EF" w:rsidP="00011676">
            <w:pPr>
              <w:ind w:firstLine="27"/>
              <w:jc w:val="right"/>
              <w:rPr>
                <w:rFonts w:ascii="Calibri" w:hAnsi="Calibri"/>
                <w:color w:val="000000"/>
                <w:sz w:val="20"/>
                <w:szCs w:val="20"/>
              </w:rPr>
            </w:pPr>
            <w:r w:rsidRPr="009E12AB">
              <w:rPr>
                <w:rFonts w:ascii="Calibri" w:hAnsi="Calibri"/>
                <w:color w:val="000000"/>
                <w:sz w:val="20"/>
                <w:szCs w:val="20"/>
              </w:rPr>
              <w:t>1 655 567</w:t>
            </w:r>
          </w:p>
        </w:tc>
      </w:tr>
      <w:tr w:rsidR="002B44EF" w:rsidRPr="00DD4650" w:rsidTr="00011676">
        <w:trPr>
          <w:trHeight w:val="290"/>
        </w:trPr>
        <w:tc>
          <w:tcPr>
            <w:tcW w:w="2284" w:type="dxa"/>
            <w:tcBorders>
              <w:top w:val="nil"/>
              <w:left w:val="single" w:sz="12" w:space="0" w:color="auto"/>
              <w:bottom w:val="single" w:sz="12" w:space="0" w:color="auto"/>
              <w:right w:val="single" w:sz="4" w:space="0" w:color="auto"/>
            </w:tcBorders>
            <w:shd w:val="clear" w:color="auto" w:fill="auto"/>
            <w:noWrap/>
            <w:vAlign w:val="bottom"/>
            <w:hideMark/>
          </w:tcPr>
          <w:p w:rsidR="002B44EF" w:rsidRPr="009E12AB" w:rsidRDefault="002B44EF" w:rsidP="00011676">
            <w:pPr>
              <w:ind w:firstLine="54"/>
              <w:rPr>
                <w:rFonts w:ascii="Calibri" w:hAnsi="Calibri"/>
                <w:color w:val="000000"/>
                <w:sz w:val="20"/>
                <w:szCs w:val="20"/>
              </w:rPr>
            </w:pPr>
            <w:r w:rsidRPr="009E12AB">
              <w:rPr>
                <w:rFonts w:ascii="Calibri" w:hAnsi="Calibri"/>
                <w:color w:val="000000"/>
                <w:sz w:val="20"/>
                <w:szCs w:val="20"/>
              </w:rPr>
              <w:t>Porážka jatečného skotu</w:t>
            </w:r>
          </w:p>
        </w:tc>
        <w:tc>
          <w:tcPr>
            <w:tcW w:w="1106" w:type="dxa"/>
            <w:tcBorders>
              <w:top w:val="nil"/>
              <w:left w:val="nil"/>
              <w:bottom w:val="single" w:sz="12" w:space="0" w:color="auto"/>
              <w:right w:val="single" w:sz="4" w:space="0" w:color="auto"/>
            </w:tcBorders>
            <w:shd w:val="clear" w:color="auto" w:fill="D9D9D9" w:themeFill="background1" w:themeFillShade="D9"/>
            <w:noWrap/>
            <w:vAlign w:val="bottom"/>
            <w:hideMark/>
          </w:tcPr>
          <w:p w:rsidR="002B44EF" w:rsidRPr="009E12AB" w:rsidRDefault="002B44EF" w:rsidP="00011676">
            <w:pPr>
              <w:ind w:firstLine="27"/>
              <w:jc w:val="center"/>
              <w:rPr>
                <w:rFonts w:ascii="Calibri" w:hAnsi="Calibri"/>
                <w:color w:val="000000"/>
                <w:sz w:val="20"/>
                <w:szCs w:val="20"/>
              </w:rPr>
            </w:pPr>
            <w:r w:rsidRPr="009E12AB">
              <w:rPr>
                <w:rFonts w:ascii="Calibri" w:hAnsi="Calibri"/>
                <w:color w:val="000000"/>
                <w:sz w:val="20"/>
                <w:szCs w:val="20"/>
              </w:rPr>
              <w:t>363</w:t>
            </w:r>
          </w:p>
        </w:tc>
        <w:tc>
          <w:tcPr>
            <w:tcW w:w="1106" w:type="dxa"/>
            <w:tcBorders>
              <w:top w:val="nil"/>
              <w:left w:val="nil"/>
              <w:bottom w:val="single" w:sz="12" w:space="0" w:color="auto"/>
              <w:right w:val="single" w:sz="4" w:space="0" w:color="auto"/>
            </w:tcBorders>
            <w:shd w:val="clear" w:color="auto" w:fill="D9D9D9" w:themeFill="background1" w:themeFillShade="D9"/>
            <w:noWrap/>
            <w:vAlign w:val="bottom"/>
            <w:hideMark/>
          </w:tcPr>
          <w:p w:rsidR="002B44EF" w:rsidRPr="009E12AB" w:rsidRDefault="002B44EF" w:rsidP="00011676">
            <w:pPr>
              <w:ind w:firstLine="27"/>
              <w:jc w:val="center"/>
              <w:rPr>
                <w:rFonts w:ascii="Calibri" w:hAnsi="Calibri"/>
                <w:color w:val="000000"/>
                <w:sz w:val="20"/>
                <w:szCs w:val="20"/>
              </w:rPr>
            </w:pPr>
            <w:r w:rsidRPr="009E12AB">
              <w:rPr>
                <w:rFonts w:ascii="Calibri" w:hAnsi="Calibri"/>
                <w:color w:val="000000"/>
                <w:sz w:val="20"/>
                <w:szCs w:val="20"/>
              </w:rPr>
              <w:t>455</w:t>
            </w:r>
          </w:p>
        </w:tc>
        <w:tc>
          <w:tcPr>
            <w:tcW w:w="1106" w:type="dxa"/>
            <w:tcBorders>
              <w:top w:val="nil"/>
              <w:left w:val="nil"/>
              <w:bottom w:val="single" w:sz="12" w:space="0" w:color="auto"/>
              <w:right w:val="single" w:sz="4" w:space="0" w:color="auto"/>
            </w:tcBorders>
            <w:shd w:val="clear" w:color="auto" w:fill="auto"/>
            <w:noWrap/>
            <w:vAlign w:val="bottom"/>
            <w:hideMark/>
          </w:tcPr>
          <w:p w:rsidR="002B44EF" w:rsidRPr="009E12AB" w:rsidRDefault="002B44EF" w:rsidP="00011676">
            <w:pPr>
              <w:ind w:firstLine="27"/>
              <w:jc w:val="center"/>
              <w:rPr>
                <w:rFonts w:ascii="Calibri" w:hAnsi="Calibri"/>
                <w:color w:val="000000"/>
                <w:sz w:val="20"/>
                <w:szCs w:val="20"/>
              </w:rPr>
            </w:pPr>
            <w:r w:rsidRPr="009E12AB">
              <w:rPr>
                <w:rFonts w:ascii="Calibri" w:hAnsi="Calibri"/>
                <w:color w:val="000000"/>
                <w:sz w:val="20"/>
                <w:szCs w:val="20"/>
              </w:rPr>
              <w:t>191</w:t>
            </w:r>
          </w:p>
        </w:tc>
        <w:tc>
          <w:tcPr>
            <w:tcW w:w="1130" w:type="dxa"/>
            <w:tcBorders>
              <w:top w:val="nil"/>
              <w:left w:val="nil"/>
              <w:bottom w:val="single" w:sz="12" w:space="0" w:color="auto"/>
              <w:right w:val="single" w:sz="4" w:space="0" w:color="auto"/>
            </w:tcBorders>
            <w:shd w:val="clear" w:color="auto" w:fill="auto"/>
            <w:noWrap/>
            <w:vAlign w:val="bottom"/>
            <w:hideMark/>
          </w:tcPr>
          <w:p w:rsidR="002B44EF" w:rsidRPr="009E12AB" w:rsidRDefault="002B44EF" w:rsidP="00011676">
            <w:pPr>
              <w:ind w:firstLine="27"/>
              <w:jc w:val="center"/>
              <w:rPr>
                <w:rFonts w:ascii="Calibri" w:hAnsi="Calibri"/>
                <w:sz w:val="20"/>
                <w:szCs w:val="20"/>
              </w:rPr>
            </w:pPr>
            <w:r w:rsidRPr="009E12AB">
              <w:rPr>
                <w:rFonts w:ascii="Calibri" w:hAnsi="Calibri"/>
                <w:sz w:val="20"/>
                <w:szCs w:val="20"/>
              </w:rPr>
              <w:t>184</w:t>
            </w:r>
          </w:p>
        </w:tc>
        <w:tc>
          <w:tcPr>
            <w:tcW w:w="1155" w:type="dxa"/>
            <w:tcBorders>
              <w:top w:val="nil"/>
              <w:left w:val="nil"/>
              <w:bottom w:val="single" w:sz="12" w:space="0" w:color="auto"/>
              <w:right w:val="single" w:sz="4" w:space="0" w:color="auto"/>
            </w:tcBorders>
            <w:shd w:val="clear" w:color="auto" w:fill="auto"/>
            <w:noWrap/>
            <w:vAlign w:val="bottom"/>
            <w:hideMark/>
          </w:tcPr>
          <w:p w:rsidR="002B44EF" w:rsidRPr="009E12AB" w:rsidRDefault="002B44EF" w:rsidP="00011676">
            <w:pPr>
              <w:ind w:firstLine="27"/>
              <w:jc w:val="right"/>
              <w:rPr>
                <w:rFonts w:ascii="Calibri" w:hAnsi="Calibri"/>
                <w:sz w:val="20"/>
                <w:szCs w:val="20"/>
              </w:rPr>
            </w:pPr>
            <w:r w:rsidRPr="009E12AB">
              <w:rPr>
                <w:rFonts w:ascii="Calibri" w:hAnsi="Calibri"/>
                <w:sz w:val="20"/>
                <w:szCs w:val="20"/>
              </w:rPr>
              <w:t>277 987</w:t>
            </w:r>
          </w:p>
        </w:tc>
        <w:tc>
          <w:tcPr>
            <w:tcW w:w="1155" w:type="dxa"/>
            <w:tcBorders>
              <w:top w:val="nil"/>
              <w:left w:val="nil"/>
              <w:bottom w:val="single" w:sz="12" w:space="0" w:color="auto"/>
              <w:right w:val="single" w:sz="12" w:space="0" w:color="auto"/>
            </w:tcBorders>
            <w:shd w:val="clear" w:color="auto" w:fill="auto"/>
            <w:noWrap/>
            <w:vAlign w:val="bottom"/>
            <w:hideMark/>
          </w:tcPr>
          <w:p w:rsidR="002B44EF" w:rsidRPr="009E12AB" w:rsidRDefault="002B44EF" w:rsidP="00011676">
            <w:pPr>
              <w:ind w:firstLine="27"/>
              <w:jc w:val="right"/>
              <w:rPr>
                <w:rFonts w:ascii="Calibri" w:hAnsi="Calibri"/>
                <w:sz w:val="20"/>
                <w:szCs w:val="20"/>
              </w:rPr>
            </w:pPr>
            <w:r w:rsidRPr="009E12AB">
              <w:rPr>
                <w:rFonts w:ascii="Calibri" w:hAnsi="Calibri"/>
                <w:sz w:val="20"/>
                <w:szCs w:val="20"/>
              </w:rPr>
              <w:t>260 551</w:t>
            </w:r>
          </w:p>
        </w:tc>
      </w:tr>
    </w:tbl>
    <w:p w:rsidR="002B44EF" w:rsidRPr="009E12AB" w:rsidRDefault="002B44EF" w:rsidP="00036D58">
      <w:pPr>
        <w:pStyle w:val="Odstavecseseznamem"/>
        <w:numPr>
          <w:ilvl w:val="0"/>
          <w:numId w:val="12"/>
        </w:numPr>
        <w:tabs>
          <w:tab w:val="left" w:pos="426"/>
        </w:tabs>
        <w:spacing w:before="0" w:line="240" w:lineRule="atLeast"/>
        <w:ind w:left="142" w:firstLine="0"/>
        <w:contextualSpacing w:val="0"/>
        <w:rPr>
          <w:rFonts w:asciiTheme="minorHAnsi" w:hAnsiTheme="minorHAnsi"/>
          <w:i/>
          <w:color w:val="000000"/>
          <w:sz w:val="18"/>
          <w:szCs w:val="18"/>
        </w:rPr>
      </w:pPr>
      <w:r w:rsidRPr="009E12AB">
        <w:rPr>
          <w:rFonts w:asciiTheme="minorHAnsi" w:hAnsiTheme="minorHAnsi"/>
          <w:sz w:val="18"/>
          <w:szCs w:val="18"/>
        </w:rPr>
        <w:t>Pomocný výpočet na základě velikostních skupin.</w:t>
      </w:r>
    </w:p>
    <w:p w:rsidR="002B44EF" w:rsidRPr="009E12AB" w:rsidRDefault="002B44EF" w:rsidP="001C5C4B">
      <w:pPr>
        <w:spacing w:before="0" w:line="240" w:lineRule="atLeast"/>
        <w:ind w:firstLine="142"/>
        <w:rPr>
          <w:rFonts w:asciiTheme="minorHAnsi" w:hAnsiTheme="minorHAnsi"/>
          <w:i/>
          <w:color w:val="000000"/>
          <w:sz w:val="18"/>
          <w:szCs w:val="18"/>
        </w:rPr>
      </w:pPr>
      <w:r w:rsidRPr="009E12AB">
        <w:rPr>
          <w:rFonts w:asciiTheme="minorHAnsi" w:hAnsiTheme="minorHAnsi"/>
          <w:i/>
          <w:color w:val="000000"/>
          <w:sz w:val="18"/>
          <w:szCs w:val="18"/>
        </w:rPr>
        <w:t xml:space="preserve">Pramen: výpočet ÚZEI podle dat ČSÚ – porážky hospodářských zvířat, </w:t>
      </w:r>
    </w:p>
    <w:p w:rsidR="002B44EF" w:rsidRPr="002B44EF" w:rsidRDefault="002B44EF" w:rsidP="001C5C4B">
      <w:pPr>
        <w:tabs>
          <w:tab w:val="left" w:pos="709"/>
        </w:tabs>
        <w:spacing w:before="120" w:line="240" w:lineRule="atLeast"/>
        <w:ind w:left="709" w:hanging="709"/>
        <w:rPr>
          <w:rFonts w:asciiTheme="minorHAnsi" w:hAnsiTheme="minorHAnsi"/>
          <w:b/>
          <w:sz w:val="22"/>
          <w:szCs w:val="22"/>
        </w:rPr>
      </w:pPr>
      <w:r w:rsidRPr="002B44EF">
        <w:rPr>
          <w:rFonts w:asciiTheme="minorHAnsi" w:hAnsiTheme="minorHAnsi"/>
          <w:b/>
          <w:sz w:val="22"/>
          <w:szCs w:val="22"/>
        </w:rPr>
        <w:t>Struktura podniků s chovem skotu celkem v ČR v roce 2016 (údaje k 31.12.)</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1482"/>
        <w:gridCol w:w="1042"/>
        <w:gridCol w:w="1934"/>
        <w:gridCol w:w="1188"/>
        <w:gridCol w:w="1783"/>
        <w:gridCol w:w="1783"/>
      </w:tblGrid>
      <w:tr w:rsidR="002B44EF" w:rsidRPr="00BD5897" w:rsidTr="00011676">
        <w:trPr>
          <w:trHeight w:val="170"/>
        </w:trPr>
        <w:tc>
          <w:tcPr>
            <w:tcW w:w="804" w:type="pct"/>
            <w:tcBorders>
              <w:top w:val="single" w:sz="12" w:space="0" w:color="auto"/>
              <w:bottom w:val="single" w:sz="12" w:space="0" w:color="auto"/>
            </w:tcBorders>
            <w:shd w:val="clear" w:color="auto" w:fill="auto"/>
            <w:noWrap/>
            <w:vAlign w:val="center"/>
            <w:hideMark/>
          </w:tcPr>
          <w:p w:rsidR="002B44EF" w:rsidRPr="00E3412A" w:rsidRDefault="002B44EF" w:rsidP="00011676">
            <w:pPr>
              <w:ind w:firstLine="60"/>
              <w:jc w:val="center"/>
              <w:rPr>
                <w:rFonts w:asciiTheme="minorHAnsi" w:hAnsiTheme="minorHAnsi" w:cs="Arial"/>
                <w:b/>
                <w:bCs/>
                <w:sz w:val="20"/>
                <w:szCs w:val="20"/>
              </w:rPr>
            </w:pPr>
            <w:r w:rsidRPr="00E3412A">
              <w:rPr>
                <w:rFonts w:asciiTheme="minorHAnsi" w:hAnsiTheme="minorHAnsi" w:cs="Arial"/>
                <w:b/>
                <w:bCs/>
                <w:sz w:val="20"/>
                <w:szCs w:val="20"/>
              </w:rPr>
              <w:t>Chovatel</w:t>
            </w:r>
          </w:p>
        </w:tc>
        <w:tc>
          <w:tcPr>
            <w:tcW w:w="565" w:type="pct"/>
            <w:tcBorders>
              <w:top w:val="single" w:sz="12" w:space="0" w:color="auto"/>
              <w:bottom w:val="single" w:sz="12" w:space="0" w:color="auto"/>
            </w:tcBorders>
            <w:shd w:val="clear" w:color="auto" w:fill="auto"/>
            <w:vAlign w:val="center"/>
            <w:hideMark/>
          </w:tcPr>
          <w:p w:rsidR="002B44EF" w:rsidRPr="00E3412A" w:rsidRDefault="002B44EF" w:rsidP="00011676">
            <w:pPr>
              <w:spacing w:before="0" w:line="240" w:lineRule="atLeast"/>
              <w:ind w:firstLine="0"/>
              <w:jc w:val="center"/>
              <w:rPr>
                <w:rFonts w:asciiTheme="minorHAnsi" w:hAnsiTheme="minorHAnsi" w:cs="Arial"/>
                <w:b/>
                <w:bCs/>
                <w:sz w:val="20"/>
                <w:szCs w:val="20"/>
              </w:rPr>
            </w:pPr>
            <w:r w:rsidRPr="00E3412A">
              <w:rPr>
                <w:rFonts w:asciiTheme="minorHAnsi" w:hAnsiTheme="minorHAnsi" w:cs="Arial"/>
                <w:b/>
                <w:bCs/>
                <w:sz w:val="20"/>
                <w:szCs w:val="20"/>
              </w:rPr>
              <w:t>Počet chovatelů</w:t>
            </w:r>
          </w:p>
        </w:tc>
        <w:tc>
          <w:tcPr>
            <w:tcW w:w="1049" w:type="pct"/>
            <w:tcBorders>
              <w:top w:val="single" w:sz="12" w:space="0" w:color="auto"/>
              <w:bottom w:val="single" w:sz="12" w:space="0" w:color="auto"/>
            </w:tcBorders>
            <w:shd w:val="clear" w:color="auto" w:fill="auto"/>
            <w:vAlign w:val="center"/>
            <w:hideMark/>
          </w:tcPr>
          <w:p w:rsidR="002B44EF" w:rsidRPr="00E3412A" w:rsidRDefault="002B44EF" w:rsidP="00011676">
            <w:pPr>
              <w:spacing w:before="0" w:line="240" w:lineRule="atLeast"/>
              <w:ind w:firstLine="0"/>
              <w:jc w:val="center"/>
              <w:rPr>
                <w:rFonts w:asciiTheme="minorHAnsi" w:hAnsiTheme="minorHAnsi" w:cs="Arial"/>
                <w:b/>
                <w:bCs/>
                <w:sz w:val="20"/>
                <w:szCs w:val="20"/>
              </w:rPr>
            </w:pPr>
            <w:r w:rsidRPr="00E3412A">
              <w:rPr>
                <w:rFonts w:asciiTheme="minorHAnsi" w:hAnsiTheme="minorHAnsi" w:cs="Arial"/>
                <w:b/>
                <w:bCs/>
                <w:sz w:val="20"/>
                <w:szCs w:val="20"/>
              </w:rPr>
              <w:t>Stavy skotu celkem</w:t>
            </w:r>
          </w:p>
          <w:p w:rsidR="002B44EF" w:rsidRPr="00E3412A" w:rsidRDefault="002B44EF" w:rsidP="00011676">
            <w:pPr>
              <w:spacing w:before="0" w:line="240" w:lineRule="atLeast"/>
              <w:ind w:firstLine="0"/>
              <w:jc w:val="center"/>
              <w:rPr>
                <w:rFonts w:asciiTheme="minorHAnsi" w:hAnsiTheme="minorHAnsi" w:cs="Arial"/>
                <w:b/>
                <w:bCs/>
                <w:sz w:val="20"/>
                <w:szCs w:val="20"/>
              </w:rPr>
            </w:pPr>
            <w:r w:rsidRPr="00E3412A">
              <w:rPr>
                <w:rFonts w:asciiTheme="minorHAnsi" w:hAnsiTheme="minorHAnsi" w:cs="Arial"/>
                <w:b/>
                <w:bCs/>
                <w:sz w:val="20"/>
                <w:szCs w:val="20"/>
              </w:rPr>
              <w:t>za skupinu ks</w:t>
            </w:r>
          </w:p>
        </w:tc>
        <w:tc>
          <w:tcPr>
            <w:tcW w:w="645" w:type="pct"/>
            <w:tcBorders>
              <w:top w:val="single" w:sz="12" w:space="0" w:color="auto"/>
              <w:bottom w:val="single" w:sz="12" w:space="0" w:color="auto"/>
            </w:tcBorders>
            <w:shd w:val="clear" w:color="auto" w:fill="auto"/>
            <w:vAlign w:val="center"/>
            <w:hideMark/>
          </w:tcPr>
          <w:p w:rsidR="002B44EF" w:rsidRPr="00E3412A" w:rsidRDefault="002B44EF" w:rsidP="00011676">
            <w:pPr>
              <w:spacing w:before="0" w:line="240" w:lineRule="atLeast"/>
              <w:ind w:firstLine="0"/>
              <w:jc w:val="center"/>
              <w:rPr>
                <w:rFonts w:asciiTheme="minorHAnsi" w:hAnsiTheme="minorHAnsi" w:cs="Arial"/>
                <w:b/>
                <w:bCs/>
                <w:sz w:val="20"/>
                <w:szCs w:val="20"/>
              </w:rPr>
            </w:pPr>
            <w:r w:rsidRPr="00E3412A">
              <w:rPr>
                <w:rFonts w:asciiTheme="minorHAnsi" w:hAnsiTheme="minorHAnsi" w:cs="Arial"/>
                <w:b/>
                <w:bCs/>
                <w:sz w:val="20"/>
                <w:szCs w:val="20"/>
              </w:rPr>
              <w:t xml:space="preserve">Počet skotu na podnik </w:t>
            </w:r>
            <w:r w:rsidRPr="00E3412A">
              <w:rPr>
                <w:rFonts w:asciiTheme="minorHAnsi" w:hAnsiTheme="minorHAnsi" w:cs="Arial"/>
                <w:b/>
                <w:bCs/>
                <w:sz w:val="20"/>
                <w:szCs w:val="20"/>
              </w:rPr>
              <w:br/>
              <w:t>v ks</w:t>
            </w:r>
          </w:p>
        </w:tc>
        <w:tc>
          <w:tcPr>
            <w:tcW w:w="968" w:type="pct"/>
            <w:tcBorders>
              <w:top w:val="single" w:sz="12" w:space="0" w:color="auto"/>
              <w:bottom w:val="single" w:sz="12" w:space="0" w:color="auto"/>
            </w:tcBorders>
            <w:shd w:val="clear" w:color="auto" w:fill="auto"/>
            <w:vAlign w:val="center"/>
            <w:hideMark/>
          </w:tcPr>
          <w:p w:rsidR="002B44EF" w:rsidRPr="00E3412A" w:rsidRDefault="002B44EF" w:rsidP="00011676">
            <w:pPr>
              <w:spacing w:before="0" w:line="240" w:lineRule="atLeast"/>
              <w:ind w:firstLine="0"/>
              <w:jc w:val="center"/>
              <w:rPr>
                <w:rFonts w:asciiTheme="minorHAnsi" w:hAnsiTheme="minorHAnsi" w:cs="Arial"/>
                <w:b/>
                <w:bCs/>
                <w:sz w:val="20"/>
                <w:szCs w:val="20"/>
              </w:rPr>
            </w:pPr>
            <w:r w:rsidRPr="00E3412A">
              <w:rPr>
                <w:rFonts w:asciiTheme="minorHAnsi" w:hAnsiTheme="minorHAnsi" w:cs="Arial"/>
                <w:b/>
                <w:bCs/>
                <w:sz w:val="20"/>
                <w:szCs w:val="20"/>
              </w:rPr>
              <w:t>Podíl skotu na chovatele</w:t>
            </w:r>
            <w:r w:rsidRPr="00E3412A">
              <w:rPr>
                <w:rFonts w:asciiTheme="minorHAnsi" w:hAnsiTheme="minorHAnsi" w:cs="Arial"/>
                <w:b/>
                <w:bCs/>
                <w:sz w:val="20"/>
                <w:szCs w:val="20"/>
              </w:rPr>
              <w:br/>
              <w:t xml:space="preserve"> z celkového počtu </w:t>
            </w:r>
          </w:p>
          <w:p w:rsidR="002B44EF" w:rsidRPr="00E3412A" w:rsidRDefault="002B44EF" w:rsidP="00011676">
            <w:pPr>
              <w:spacing w:before="0" w:line="240" w:lineRule="atLeast"/>
              <w:ind w:firstLine="0"/>
              <w:jc w:val="center"/>
              <w:rPr>
                <w:rFonts w:asciiTheme="minorHAnsi" w:hAnsiTheme="minorHAnsi" w:cs="Arial"/>
                <w:b/>
                <w:bCs/>
                <w:sz w:val="20"/>
                <w:szCs w:val="20"/>
              </w:rPr>
            </w:pPr>
            <w:r w:rsidRPr="00E3412A">
              <w:rPr>
                <w:rFonts w:asciiTheme="minorHAnsi" w:hAnsiTheme="minorHAnsi" w:cs="Arial"/>
                <w:b/>
                <w:bCs/>
                <w:sz w:val="20"/>
                <w:szCs w:val="20"/>
              </w:rPr>
              <w:t>v %</w:t>
            </w:r>
          </w:p>
        </w:tc>
        <w:tc>
          <w:tcPr>
            <w:tcW w:w="968" w:type="pct"/>
            <w:tcBorders>
              <w:top w:val="single" w:sz="12" w:space="0" w:color="auto"/>
              <w:bottom w:val="single" w:sz="12" w:space="0" w:color="auto"/>
            </w:tcBorders>
            <w:shd w:val="clear" w:color="auto" w:fill="auto"/>
            <w:vAlign w:val="center"/>
            <w:hideMark/>
          </w:tcPr>
          <w:p w:rsidR="002B44EF" w:rsidRPr="00E3412A" w:rsidRDefault="002B44EF" w:rsidP="00011676">
            <w:pPr>
              <w:spacing w:before="0" w:line="240" w:lineRule="atLeast"/>
              <w:ind w:firstLine="0"/>
              <w:jc w:val="center"/>
              <w:rPr>
                <w:rFonts w:asciiTheme="minorHAnsi" w:hAnsiTheme="minorHAnsi" w:cs="Arial"/>
                <w:b/>
                <w:bCs/>
                <w:sz w:val="20"/>
                <w:szCs w:val="20"/>
              </w:rPr>
            </w:pPr>
            <w:r w:rsidRPr="00E3412A">
              <w:rPr>
                <w:rFonts w:asciiTheme="minorHAnsi" w:hAnsiTheme="minorHAnsi" w:cs="Arial"/>
                <w:b/>
                <w:bCs/>
                <w:sz w:val="20"/>
                <w:szCs w:val="20"/>
              </w:rPr>
              <w:t xml:space="preserve">Podíl chovatelů z celkového počtu </w:t>
            </w:r>
          </w:p>
          <w:p w:rsidR="002B44EF" w:rsidRPr="00E3412A" w:rsidRDefault="002B44EF" w:rsidP="00011676">
            <w:pPr>
              <w:spacing w:before="0" w:line="240" w:lineRule="atLeast"/>
              <w:ind w:firstLine="0"/>
              <w:jc w:val="center"/>
              <w:rPr>
                <w:rFonts w:asciiTheme="minorHAnsi" w:hAnsiTheme="minorHAnsi" w:cs="Arial"/>
                <w:b/>
                <w:bCs/>
                <w:sz w:val="20"/>
                <w:szCs w:val="20"/>
              </w:rPr>
            </w:pPr>
            <w:r w:rsidRPr="00E3412A">
              <w:rPr>
                <w:rFonts w:asciiTheme="minorHAnsi" w:hAnsiTheme="minorHAnsi" w:cs="Arial"/>
                <w:b/>
                <w:bCs/>
                <w:sz w:val="20"/>
                <w:szCs w:val="20"/>
              </w:rPr>
              <w:t>v %</w:t>
            </w:r>
          </w:p>
        </w:tc>
      </w:tr>
      <w:tr w:rsidR="002B44EF" w:rsidRPr="00BD5897" w:rsidTr="00011676">
        <w:trPr>
          <w:trHeight w:val="170"/>
        </w:trPr>
        <w:tc>
          <w:tcPr>
            <w:tcW w:w="804" w:type="pct"/>
            <w:tcBorders>
              <w:top w:val="single" w:sz="12" w:space="0" w:color="auto"/>
            </w:tcBorders>
            <w:shd w:val="clear" w:color="auto" w:fill="auto"/>
            <w:noWrap/>
            <w:vAlign w:val="center"/>
            <w:hideMark/>
          </w:tcPr>
          <w:p w:rsidR="002B44EF" w:rsidRPr="00E3412A" w:rsidRDefault="002B44EF" w:rsidP="00011676">
            <w:pPr>
              <w:spacing w:before="0" w:line="240" w:lineRule="atLeast"/>
              <w:ind w:firstLine="60"/>
              <w:jc w:val="left"/>
              <w:rPr>
                <w:rFonts w:asciiTheme="minorHAnsi" w:hAnsiTheme="minorHAnsi" w:cs="Arial"/>
                <w:sz w:val="20"/>
                <w:szCs w:val="20"/>
              </w:rPr>
            </w:pPr>
            <w:r w:rsidRPr="00E3412A">
              <w:rPr>
                <w:rFonts w:asciiTheme="minorHAnsi" w:hAnsiTheme="minorHAnsi" w:cs="Arial"/>
                <w:sz w:val="20"/>
                <w:szCs w:val="20"/>
              </w:rPr>
              <w:t>1 - 10 ks</w:t>
            </w:r>
          </w:p>
        </w:tc>
        <w:tc>
          <w:tcPr>
            <w:tcW w:w="565" w:type="pct"/>
            <w:tcBorders>
              <w:top w:val="single" w:sz="12" w:space="0" w:color="auto"/>
            </w:tcBorders>
            <w:shd w:val="clear" w:color="auto" w:fill="auto"/>
            <w:noWrap/>
            <w:vAlign w:val="center"/>
            <w:hideMark/>
          </w:tcPr>
          <w:p w:rsidR="002B44EF" w:rsidRPr="00E3412A" w:rsidRDefault="002B44EF" w:rsidP="00011676">
            <w:pPr>
              <w:spacing w:before="0" w:line="240" w:lineRule="atLeast"/>
              <w:ind w:right="231" w:firstLine="0"/>
              <w:jc w:val="right"/>
              <w:rPr>
                <w:rFonts w:asciiTheme="minorHAnsi" w:hAnsiTheme="minorHAnsi" w:cs="Arial"/>
                <w:sz w:val="20"/>
                <w:szCs w:val="20"/>
              </w:rPr>
            </w:pPr>
            <w:r w:rsidRPr="00E3412A">
              <w:rPr>
                <w:rFonts w:asciiTheme="minorHAnsi" w:hAnsiTheme="minorHAnsi" w:cs="Arial"/>
                <w:sz w:val="20"/>
                <w:szCs w:val="20"/>
              </w:rPr>
              <w:t>10 291</w:t>
            </w:r>
          </w:p>
        </w:tc>
        <w:tc>
          <w:tcPr>
            <w:tcW w:w="1049" w:type="pct"/>
            <w:tcBorders>
              <w:top w:val="single" w:sz="12" w:space="0" w:color="auto"/>
            </w:tcBorders>
            <w:shd w:val="clear" w:color="auto" w:fill="auto"/>
            <w:noWrap/>
            <w:vAlign w:val="center"/>
            <w:hideMark/>
          </w:tcPr>
          <w:p w:rsidR="002B44EF" w:rsidRPr="00E3412A" w:rsidRDefault="002B44EF" w:rsidP="00011676">
            <w:pPr>
              <w:spacing w:before="0" w:line="240" w:lineRule="atLeast"/>
              <w:ind w:right="254" w:firstLine="0"/>
              <w:jc w:val="right"/>
              <w:rPr>
                <w:rFonts w:asciiTheme="minorHAnsi" w:hAnsiTheme="minorHAnsi" w:cs="Arial"/>
                <w:sz w:val="20"/>
                <w:szCs w:val="20"/>
              </w:rPr>
            </w:pPr>
            <w:r w:rsidRPr="00E3412A">
              <w:rPr>
                <w:rFonts w:asciiTheme="minorHAnsi" w:hAnsiTheme="minorHAnsi" w:cs="Arial"/>
                <w:sz w:val="20"/>
                <w:szCs w:val="20"/>
              </w:rPr>
              <w:t>37 359</w:t>
            </w:r>
          </w:p>
        </w:tc>
        <w:tc>
          <w:tcPr>
            <w:tcW w:w="645" w:type="pct"/>
            <w:tcBorders>
              <w:top w:val="single" w:sz="12" w:space="0" w:color="auto"/>
            </w:tcBorders>
            <w:shd w:val="clear" w:color="auto" w:fill="auto"/>
            <w:noWrap/>
            <w:vAlign w:val="center"/>
            <w:hideMark/>
          </w:tcPr>
          <w:p w:rsidR="002B44EF" w:rsidRPr="00E3412A" w:rsidRDefault="002B44EF" w:rsidP="00011676">
            <w:pPr>
              <w:spacing w:before="0" w:line="240" w:lineRule="atLeast"/>
              <w:ind w:right="291" w:firstLine="0"/>
              <w:jc w:val="right"/>
              <w:rPr>
                <w:rFonts w:asciiTheme="minorHAnsi" w:hAnsiTheme="minorHAnsi" w:cs="Arial"/>
                <w:sz w:val="20"/>
                <w:szCs w:val="20"/>
              </w:rPr>
            </w:pPr>
            <w:r w:rsidRPr="00E3412A">
              <w:rPr>
                <w:rFonts w:asciiTheme="minorHAnsi" w:hAnsiTheme="minorHAnsi" w:cs="Arial"/>
                <w:sz w:val="20"/>
                <w:szCs w:val="20"/>
              </w:rPr>
              <w:t>4</w:t>
            </w:r>
          </w:p>
        </w:tc>
        <w:tc>
          <w:tcPr>
            <w:tcW w:w="968" w:type="pct"/>
            <w:tcBorders>
              <w:top w:val="single" w:sz="12" w:space="0" w:color="auto"/>
            </w:tcBorders>
            <w:shd w:val="clear" w:color="auto" w:fill="auto"/>
            <w:noWrap/>
            <w:vAlign w:val="center"/>
            <w:hideMark/>
          </w:tcPr>
          <w:p w:rsidR="002B44EF" w:rsidRPr="00E3412A" w:rsidRDefault="002B44EF" w:rsidP="00011676">
            <w:pPr>
              <w:spacing w:before="0" w:line="240" w:lineRule="atLeast"/>
              <w:ind w:right="329" w:firstLine="0"/>
              <w:jc w:val="right"/>
              <w:rPr>
                <w:rFonts w:asciiTheme="minorHAnsi" w:hAnsiTheme="minorHAnsi" w:cs="Arial"/>
                <w:sz w:val="20"/>
                <w:szCs w:val="20"/>
              </w:rPr>
            </w:pPr>
            <w:r w:rsidRPr="00E3412A">
              <w:rPr>
                <w:rFonts w:asciiTheme="minorHAnsi" w:hAnsiTheme="minorHAnsi" w:cs="Arial"/>
                <w:sz w:val="20"/>
                <w:szCs w:val="20"/>
              </w:rPr>
              <w:t>2,3</w:t>
            </w:r>
          </w:p>
        </w:tc>
        <w:tc>
          <w:tcPr>
            <w:tcW w:w="968" w:type="pct"/>
            <w:tcBorders>
              <w:top w:val="single" w:sz="12" w:space="0" w:color="auto"/>
            </w:tcBorders>
            <w:shd w:val="clear" w:color="auto" w:fill="auto"/>
            <w:noWrap/>
            <w:vAlign w:val="center"/>
            <w:hideMark/>
          </w:tcPr>
          <w:p w:rsidR="002B44EF" w:rsidRPr="00E3412A" w:rsidRDefault="002B44EF" w:rsidP="00011676">
            <w:pPr>
              <w:autoSpaceDE w:val="0"/>
              <w:autoSpaceDN w:val="0"/>
              <w:adjustRightInd w:val="0"/>
              <w:spacing w:before="0" w:line="240" w:lineRule="atLeast"/>
              <w:ind w:right="487" w:firstLine="0"/>
              <w:jc w:val="right"/>
              <w:rPr>
                <w:rFonts w:asciiTheme="minorHAnsi" w:hAnsiTheme="minorHAnsi" w:cs="Arial"/>
                <w:color w:val="000000"/>
                <w:sz w:val="20"/>
                <w:szCs w:val="20"/>
              </w:rPr>
            </w:pPr>
            <w:r w:rsidRPr="00E3412A">
              <w:rPr>
                <w:rFonts w:asciiTheme="minorHAnsi" w:hAnsiTheme="minorHAnsi" w:cs="Arial"/>
                <w:color w:val="000000"/>
                <w:sz w:val="20"/>
                <w:szCs w:val="20"/>
              </w:rPr>
              <w:t>55,4</w:t>
            </w:r>
          </w:p>
        </w:tc>
      </w:tr>
      <w:tr w:rsidR="002B44EF" w:rsidRPr="00BD5897" w:rsidTr="00011676">
        <w:trPr>
          <w:trHeight w:val="170"/>
        </w:trPr>
        <w:tc>
          <w:tcPr>
            <w:tcW w:w="804" w:type="pct"/>
            <w:shd w:val="clear" w:color="auto" w:fill="auto"/>
            <w:noWrap/>
            <w:vAlign w:val="center"/>
            <w:hideMark/>
          </w:tcPr>
          <w:p w:rsidR="002B44EF" w:rsidRPr="00E3412A" w:rsidRDefault="002B44EF" w:rsidP="00011676">
            <w:pPr>
              <w:spacing w:before="0" w:line="240" w:lineRule="atLeast"/>
              <w:ind w:firstLine="60"/>
              <w:jc w:val="left"/>
              <w:rPr>
                <w:rFonts w:asciiTheme="minorHAnsi" w:hAnsiTheme="minorHAnsi" w:cs="Arial"/>
                <w:sz w:val="20"/>
                <w:szCs w:val="20"/>
              </w:rPr>
            </w:pPr>
            <w:r w:rsidRPr="00E3412A">
              <w:rPr>
                <w:rFonts w:asciiTheme="minorHAnsi" w:hAnsiTheme="minorHAnsi" w:cs="Arial"/>
                <w:sz w:val="20"/>
                <w:szCs w:val="20"/>
              </w:rPr>
              <w:t>11 - 50 ks</w:t>
            </w:r>
          </w:p>
        </w:tc>
        <w:tc>
          <w:tcPr>
            <w:tcW w:w="565" w:type="pct"/>
            <w:shd w:val="clear" w:color="auto" w:fill="auto"/>
            <w:noWrap/>
            <w:vAlign w:val="center"/>
            <w:hideMark/>
          </w:tcPr>
          <w:p w:rsidR="002B44EF" w:rsidRPr="00E3412A" w:rsidRDefault="002B44EF" w:rsidP="00011676">
            <w:pPr>
              <w:spacing w:before="0" w:line="240" w:lineRule="atLeast"/>
              <w:ind w:right="231" w:firstLine="0"/>
              <w:jc w:val="right"/>
              <w:rPr>
                <w:rFonts w:asciiTheme="minorHAnsi" w:hAnsiTheme="minorHAnsi" w:cs="Arial"/>
                <w:sz w:val="20"/>
                <w:szCs w:val="20"/>
              </w:rPr>
            </w:pPr>
            <w:r w:rsidRPr="00E3412A">
              <w:rPr>
                <w:rFonts w:asciiTheme="minorHAnsi" w:hAnsiTheme="minorHAnsi" w:cs="Arial"/>
                <w:sz w:val="20"/>
                <w:szCs w:val="20"/>
              </w:rPr>
              <w:t>4 596</w:t>
            </w:r>
          </w:p>
        </w:tc>
        <w:tc>
          <w:tcPr>
            <w:tcW w:w="1049" w:type="pct"/>
            <w:shd w:val="clear" w:color="auto" w:fill="auto"/>
            <w:noWrap/>
            <w:vAlign w:val="center"/>
            <w:hideMark/>
          </w:tcPr>
          <w:p w:rsidR="002B44EF" w:rsidRPr="00E3412A" w:rsidRDefault="002B44EF" w:rsidP="00011676">
            <w:pPr>
              <w:spacing w:before="0" w:line="240" w:lineRule="atLeast"/>
              <w:ind w:right="254" w:firstLine="0"/>
              <w:jc w:val="right"/>
              <w:rPr>
                <w:rFonts w:asciiTheme="minorHAnsi" w:hAnsiTheme="minorHAnsi" w:cs="Arial"/>
                <w:sz w:val="20"/>
                <w:szCs w:val="20"/>
              </w:rPr>
            </w:pPr>
            <w:r w:rsidRPr="00E3412A">
              <w:rPr>
                <w:rFonts w:asciiTheme="minorHAnsi" w:hAnsiTheme="minorHAnsi" w:cs="Arial"/>
                <w:sz w:val="20"/>
                <w:szCs w:val="20"/>
              </w:rPr>
              <w:t>111 050</w:t>
            </w:r>
          </w:p>
        </w:tc>
        <w:tc>
          <w:tcPr>
            <w:tcW w:w="645" w:type="pct"/>
            <w:shd w:val="clear" w:color="auto" w:fill="auto"/>
            <w:noWrap/>
            <w:vAlign w:val="center"/>
            <w:hideMark/>
          </w:tcPr>
          <w:p w:rsidR="002B44EF" w:rsidRPr="00E3412A" w:rsidRDefault="002B44EF" w:rsidP="00011676">
            <w:pPr>
              <w:spacing w:before="0" w:line="240" w:lineRule="atLeast"/>
              <w:ind w:right="291" w:firstLine="0"/>
              <w:jc w:val="right"/>
              <w:rPr>
                <w:rFonts w:asciiTheme="minorHAnsi" w:hAnsiTheme="minorHAnsi" w:cs="Arial"/>
                <w:sz w:val="20"/>
                <w:szCs w:val="20"/>
              </w:rPr>
            </w:pPr>
            <w:r w:rsidRPr="00E3412A">
              <w:rPr>
                <w:rFonts w:asciiTheme="minorHAnsi" w:hAnsiTheme="minorHAnsi" w:cs="Arial"/>
                <w:sz w:val="20"/>
                <w:szCs w:val="20"/>
              </w:rPr>
              <w:t>24</w:t>
            </w:r>
          </w:p>
        </w:tc>
        <w:tc>
          <w:tcPr>
            <w:tcW w:w="968" w:type="pct"/>
            <w:shd w:val="clear" w:color="auto" w:fill="auto"/>
            <w:noWrap/>
            <w:vAlign w:val="center"/>
            <w:hideMark/>
          </w:tcPr>
          <w:p w:rsidR="002B44EF" w:rsidRPr="00E3412A" w:rsidRDefault="002B44EF" w:rsidP="00011676">
            <w:pPr>
              <w:spacing w:before="0" w:line="240" w:lineRule="atLeast"/>
              <w:ind w:right="329" w:firstLine="0"/>
              <w:jc w:val="right"/>
              <w:rPr>
                <w:rFonts w:asciiTheme="minorHAnsi" w:hAnsiTheme="minorHAnsi" w:cs="Arial"/>
                <w:sz w:val="20"/>
                <w:szCs w:val="20"/>
              </w:rPr>
            </w:pPr>
            <w:r w:rsidRPr="00E3412A">
              <w:rPr>
                <w:rFonts w:asciiTheme="minorHAnsi" w:hAnsiTheme="minorHAnsi" w:cs="Arial"/>
                <w:sz w:val="20"/>
                <w:szCs w:val="20"/>
              </w:rPr>
              <w:t>6,7</w:t>
            </w:r>
          </w:p>
        </w:tc>
        <w:tc>
          <w:tcPr>
            <w:tcW w:w="968" w:type="pct"/>
            <w:shd w:val="clear" w:color="auto" w:fill="auto"/>
            <w:noWrap/>
            <w:vAlign w:val="center"/>
            <w:hideMark/>
          </w:tcPr>
          <w:p w:rsidR="002B44EF" w:rsidRPr="00E3412A" w:rsidRDefault="002B44EF" w:rsidP="00011676">
            <w:pPr>
              <w:autoSpaceDE w:val="0"/>
              <w:autoSpaceDN w:val="0"/>
              <w:adjustRightInd w:val="0"/>
              <w:spacing w:before="0" w:line="240" w:lineRule="atLeast"/>
              <w:ind w:right="487" w:firstLine="0"/>
              <w:jc w:val="right"/>
              <w:rPr>
                <w:rFonts w:asciiTheme="minorHAnsi" w:hAnsiTheme="minorHAnsi" w:cs="Arial"/>
                <w:color w:val="000000"/>
                <w:sz w:val="20"/>
                <w:szCs w:val="20"/>
              </w:rPr>
            </w:pPr>
            <w:r w:rsidRPr="00E3412A">
              <w:rPr>
                <w:rFonts w:asciiTheme="minorHAnsi" w:hAnsiTheme="minorHAnsi" w:cs="Arial"/>
                <w:color w:val="000000"/>
                <w:sz w:val="20"/>
                <w:szCs w:val="20"/>
              </w:rPr>
              <w:t>24,8</w:t>
            </w:r>
          </w:p>
        </w:tc>
      </w:tr>
      <w:tr w:rsidR="002B44EF" w:rsidRPr="00BD5897" w:rsidTr="00011676">
        <w:trPr>
          <w:trHeight w:val="170"/>
        </w:trPr>
        <w:tc>
          <w:tcPr>
            <w:tcW w:w="804" w:type="pct"/>
            <w:shd w:val="clear" w:color="auto" w:fill="auto"/>
            <w:noWrap/>
            <w:vAlign w:val="center"/>
            <w:hideMark/>
          </w:tcPr>
          <w:p w:rsidR="002B44EF" w:rsidRPr="00E3412A" w:rsidRDefault="002B44EF" w:rsidP="00011676">
            <w:pPr>
              <w:spacing w:before="0" w:line="240" w:lineRule="atLeast"/>
              <w:ind w:firstLine="60"/>
              <w:jc w:val="left"/>
              <w:rPr>
                <w:rFonts w:asciiTheme="minorHAnsi" w:hAnsiTheme="minorHAnsi" w:cs="Arial"/>
                <w:sz w:val="20"/>
                <w:szCs w:val="20"/>
              </w:rPr>
            </w:pPr>
            <w:r w:rsidRPr="00E3412A">
              <w:rPr>
                <w:rFonts w:asciiTheme="minorHAnsi" w:hAnsiTheme="minorHAnsi" w:cs="Arial"/>
                <w:sz w:val="20"/>
                <w:szCs w:val="20"/>
              </w:rPr>
              <w:t>51 - 200 ks</w:t>
            </w:r>
          </w:p>
        </w:tc>
        <w:tc>
          <w:tcPr>
            <w:tcW w:w="565" w:type="pct"/>
            <w:shd w:val="clear" w:color="auto" w:fill="auto"/>
            <w:noWrap/>
            <w:vAlign w:val="center"/>
            <w:hideMark/>
          </w:tcPr>
          <w:p w:rsidR="002B44EF" w:rsidRPr="00E3412A" w:rsidRDefault="002B44EF" w:rsidP="00011676">
            <w:pPr>
              <w:spacing w:before="0" w:line="240" w:lineRule="atLeast"/>
              <w:ind w:right="231" w:firstLine="0"/>
              <w:jc w:val="right"/>
              <w:rPr>
                <w:rFonts w:asciiTheme="minorHAnsi" w:hAnsiTheme="minorHAnsi" w:cs="Arial"/>
                <w:sz w:val="20"/>
                <w:szCs w:val="20"/>
              </w:rPr>
            </w:pPr>
            <w:r w:rsidRPr="00E3412A">
              <w:rPr>
                <w:rFonts w:asciiTheme="minorHAnsi" w:hAnsiTheme="minorHAnsi" w:cs="Arial"/>
                <w:sz w:val="20"/>
                <w:szCs w:val="20"/>
              </w:rPr>
              <w:t>2 105</w:t>
            </w:r>
          </w:p>
        </w:tc>
        <w:tc>
          <w:tcPr>
            <w:tcW w:w="1049" w:type="pct"/>
            <w:shd w:val="clear" w:color="auto" w:fill="auto"/>
            <w:noWrap/>
            <w:vAlign w:val="center"/>
            <w:hideMark/>
          </w:tcPr>
          <w:p w:rsidR="002B44EF" w:rsidRPr="00E3412A" w:rsidRDefault="002B44EF" w:rsidP="00011676">
            <w:pPr>
              <w:spacing w:before="0" w:line="240" w:lineRule="atLeast"/>
              <w:ind w:right="254" w:firstLine="0"/>
              <w:jc w:val="right"/>
              <w:rPr>
                <w:rFonts w:asciiTheme="minorHAnsi" w:hAnsiTheme="minorHAnsi" w:cs="Arial"/>
                <w:sz w:val="20"/>
                <w:szCs w:val="20"/>
              </w:rPr>
            </w:pPr>
            <w:r w:rsidRPr="00E3412A">
              <w:rPr>
                <w:rFonts w:asciiTheme="minorHAnsi" w:hAnsiTheme="minorHAnsi" w:cs="Arial"/>
                <w:sz w:val="20"/>
                <w:szCs w:val="20"/>
              </w:rPr>
              <w:t>204 593</w:t>
            </w:r>
          </w:p>
        </w:tc>
        <w:tc>
          <w:tcPr>
            <w:tcW w:w="645" w:type="pct"/>
            <w:shd w:val="clear" w:color="auto" w:fill="auto"/>
            <w:noWrap/>
            <w:vAlign w:val="center"/>
            <w:hideMark/>
          </w:tcPr>
          <w:p w:rsidR="002B44EF" w:rsidRPr="00E3412A" w:rsidRDefault="002B44EF" w:rsidP="00011676">
            <w:pPr>
              <w:spacing w:before="0" w:line="240" w:lineRule="atLeast"/>
              <w:ind w:right="291" w:firstLine="0"/>
              <w:jc w:val="right"/>
              <w:rPr>
                <w:rFonts w:asciiTheme="minorHAnsi" w:hAnsiTheme="minorHAnsi" w:cs="Arial"/>
                <w:sz w:val="20"/>
                <w:szCs w:val="20"/>
              </w:rPr>
            </w:pPr>
            <w:r w:rsidRPr="00E3412A">
              <w:rPr>
                <w:rFonts w:asciiTheme="minorHAnsi" w:hAnsiTheme="minorHAnsi" w:cs="Arial"/>
                <w:sz w:val="20"/>
                <w:szCs w:val="20"/>
              </w:rPr>
              <w:t>97</w:t>
            </w:r>
          </w:p>
        </w:tc>
        <w:tc>
          <w:tcPr>
            <w:tcW w:w="968" w:type="pct"/>
            <w:shd w:val="clear" w:color="auto" w:fill="auto"/>
            <w:noWrap/>
            <w:vAlign w:val="center"/>
            <w:hideMark/>
          </w:tcPr>
          <w:p w:rsidR="002B44EF" w:rsidRPr="00E3412A" w:rsidRDefault="002B44EF" w:rsidP="00011676">
            <w:pPr>
              <w:spacing w:before="0" w:line="240" w:lineRule="atLeast"/>
              <w:ind w:right="329" w:firstLine="0"/>
              <w:jc w:val="right"/>
              <w:rPr>
                <w:rFonts w:asciiTheme="minorHAnsi" w:hAnsiTheme="minorHAnsi" w:cs="Arial"/>
                <w:sz w:val="20"/>
                <w:szCs w:val="20"/>
              </w:rPr>
            </w:pPr>
            <w:r w:rsidRPr="00E3412A">
              <w:rPr>
                <w:rFonts w:asciiTheme="minorHAnsi" w:hAnsiTheme="minorHAnsi" w:cs="Arial"/>
                <w:sz w:val="20"/>
                <w:szCs w:val="20"/>
              </w:rPr>
              <w:t>12,4</w:t>
            </w:r>
          </w:p>
        </w:tc>
        <w:tc>
          <w:tcPr>
            <w:tcW w:w="968" w:type="pct"/>
            <w:shd w:val="clear" w:color="auto" w:fill="auto"/>
            <w:noWrap/>
            <w:vAlign w:val="center"/>
            <w:hideMark/>
          </w:tcPr>
          <w:p w:rsidR="002B44EF" w:rsidRPr="00E3412A" w:rsidRDefault="002B44EF" w:rsidP="00011676">
            <w:pPr>
              <w:autoSpaceDE w:val="0"/>
              <w:autoSpaceDN w:val="0"/>
              <w:adjustRightInd w:val="0"/>
              <w:spacing w:before="0" w:line="240" w:lineRule="atLeast"/>
              <w:ind w:right="487" w:firstLine="0"/>
              <w:jc w:val="right"/>
              <w:rPr>
                <w:rFonts w:asciiTheme="minorHAnsi" w:hAnsiTheme="minorHAnsi" w:cs="Arial"/>
                <w:color w:val="000000"/>
                <w:sz w:val="20"/>
                <w:szCs w:val="20"/>
              </w:rPr>
            </w:pPr>
            <w:r w:rsidRPr="00E3412A">
              <w:rPr>
                <w:rFonts w:asciiTheme="minorHAnsi" w:hAnsiTheme="minorHAnsi" w:cs="Arial"/>
                <w:color w:val="000000"/>
                <w:sz w:val="20"/>
                <w:szCs w:val="20"/>
              </w:rPr>
              <w:t>11,3</w:t>
            </w:r>
          </w:p>
        </w:tc>
      </w:tr>
      <w:tr w:rsidR="002B44EF" w:rsidRPr="00BD5897" w:rsidTr="00011676">
        <w:trPr>
          <w:trHeight w:val="170"/>
        </w:trPr>
        <w:tc>
          <w:tcPr>
            <w:tcW w:w="804" w:type="pct"/>
            <w:shd w:val="clear" w:color="auto" w:fill="auto"/>
            <w:noWrap/>
            <w:vAlign w:val="center"/>
            <w:hideMark/>
          </w:tcPr>
          <w:p w:rsidR="002B44EF" w:rsidRPr="00E3412A" w:rsidRDefault="002B44EF" w:rsidP="00011676">
            <w:pPr>
              <w:spacing w:before="0" w:line="240" w:lineRule="atLeast"/>
              <w:ind w:firstLine="60"/>
              <w:jc w:val="left"/>
              <w:rPr>
                <w:rFonts w:asciiTheme="minorHAnsi" w:hAnsiTheme="minorHAnsi" w:cs="Arial"/>
                <w:sz w:val="20"/>
                <w:szCs w:val="20"/>
              </w:rPr>
            </w:pPr>
            <w:r w:rsidRPr="00E3412A">
              <w:rPr>
                <w:rFonts w:asciiTheme="minorHAnsi" w:hAnsiTheme="minorHAnsi" w:cs="Arial"/>
                <w:sz w:val="20"/>
                <w:szCs w:val="20"/>
              </w:rPr>
              <w:t>201 - 500 ks</w:t>
            </w:r>
          </w:p>
        </w:tc>
        <w:tc>
          <w:tcPr>
            <w:tcW w:w="565" w:type="pct"/>
            <w:shd w:val="clear" w:color="auto" w:fill="auto"/>
            <w:noWrap/>
            <w:vAlign w:val="center"/>
            <w:hideMark/>
          </w:tcPr>
          <w:p w:rsidR="002B44EF" w:rsidRPr="00E3412A" w:rsidRDefault="002B44EF" w:rsidP="00011676">
            <w:pPr>
              <w:spacing w:before="0" w:line="240" w:lineRule="atLeast"/>
              <w:ind w:right="231" w:firstLine="0"/>
              <w:jc w:val="right"/>
              <w:rPr>
                <w:rFonts w:asciiTheme="minorHAnsi" w:hAnsiTheme="minorHAnsi" w:cs="Arial"/>
                <w:sz w:val="20"/>
                <w:szCs w:val="20"/>
              </w:rPr>
            </w:pPr>
            <w:r w:rsidRPr="00E3412A">
              <w:rPr>
                <w:rFonts w:asciiTheme="minorHAnsi" w:hAnsiTheme="minorHAnsi" w:cs="Arial"/>
                <w:sz w:val="20"/>
                <w:szCs w:val="20"/>
              </w:rPr>
              <w:t>694</w:t>
            </w:r>
          </w:p>
        </w:tc>
        <w:tc>
          <w:tcPr>
            <w:tcW w:w="1049" w:type="pct"/>
            <w:shd w:val="clear" w:color="auto" w:fill="auto"/>
            <w:noWrap/>
            <w:vAlign w:val="center"/>
            <w:hideMark/>
          </w:tcPr>
          <w:p w:rsidR="002B44EF" w:rsidRPr="00E3412A" w:rsidRDefault="002B44EF" w:rsidP="00011676">
            <w:pPr>
              <w:spacing w:before="0" w:line="240" w:lineRule="atLeast"/>
              <w:ind w:right="254" w:firstLine="0"/>
              <w:jc w:val="right"/>
              <w:rPr>
                <w:rFonts w:asciiTheme="minorHAnsi" w:hAnsiTheme="minorHAnsi" w:cs="Arial"/>
                <w:sz w:val="20"/>
                <w:szCs w:val="20"/>
              </w:rPr>
            </w:pPr>
            <w:r w:rsidRPr="00E3412A">
              <w:rPr>
                <w:rFonts w:asciiTheme="minorHAnsi" w:hAnsiTheme="minorHAnsi" w:cs="Arial"/>
                <w:sz w:val="20"/>
                <w:szCs w:val="20"/>
              </w:rPr>
              <w:t>226 094</w:t>
            </w:r>
          </w:p>
        </w:tc>
        <w:tc>
          <w:tcPr>
            <w:tcW w:w="645" w:type="pct"/>
            <w:shd w:val="clear" w:color="auto" w:fill="auto"/>
            <w:noWrap/>
            <w:vAlign w:val="center"/>
            <w:hideMark/>
          </w:tcPr>
          <w:p w:rsidR="002B44EF" w:rsidRPr="00E3412A" w:rsidRDefault="002B44EF" w:rsidP="00011676">
            <w:pPr>
              <w:spacing w:before="0" w:line="240" w:lineRule="atLeast"/>
              <w:ind w:right="291" w:firstLine="0"/>
              <w:jc w:val="right"/>
              <w:rPr>
                <w:rFonts w:asciiTheme="minorHAnsi" w:hAnsiTheme="minorHAnsi" w:cs="Arial"/>
                <w:sz w:val="20"/>
                <w:szCs w:val="20"/>
              </w:rPr>
            </w:pPr>
            <w:r w:rsidRPr="00E3412A">
              <w:rPr>
                <w:rFonts w:asciiTheme="minorHAnsi" w:hAnsiTheme="minorHAnsi" w:cs="Arial"/>
                <w:sz w:val="20"/>
                <w:szCs w:val="20"/>
              </w:rPr>
              <w:t>326</w:t>
            </w:r>
          </w:p>
        </w:tc>
        <w:tc>
          <w:tcPr>
            <w:tcW w:w="968" w:type="pct"/>
            <w:shd w:val="clear" w:color="auto" w:fill="auto"/>
            <w:noWrap/>
            <w:vAlign w:val="center"/>
            <w:hideMark/>
          </w:tcPr>
          <w:p w:rsidR="002B44EF" w:rsidRPr="00E3412A" w:rsidRDefault="002B44EF" w:rsidP="00011676">
            <w:pPr>
              <w:spacing w:before="0" w:line="240" w:lineRule="atLeast"/>
              <w:ind w:right="329" w:firstLine="0"/>
              <w:jc w:val="right"/>
              <w:rPr>
                <w:rFonts w:asciiTheme="minorHAnsi" w:hAnsiTheme="minorHAnsi" w:cs="Arial"/>
                <w:sz w:val="20"/>
                <w:szCs w:val="20"/>
              </w:rPr>
            </w:pPr>
            <w:r w:rsidRPr="00E3412A">
              <w:rPr>
                <w:rFonts w:asciiTheme="minorHAnsi" w:hAnsiTheme="minorHAnsi" w:cs="Arial"/>
                <w:sz w:val="20"/>
                <w:szCs w:val="20"/>
              </w:rPr>
              <w:t>13,7</w:t>
            </w:r>
          </w:p>
        </w:tc>
        <w:tc>
          <w:tcPr>
            <w:tcW w:w="968" w:type="pct"/>
            <w:shd w:val="clear" w:color="auto" w:fill="auto"/>
            <w:noWrap/>
            <w:vAlign w:val="center"/>
            <w:hideMark/>
          </w:tcPr>
          <w:p w:rsidR="002B44EF" w:rsidRPr="00E3412A" w:rsidRDefault="002B44EF" w:rsidP="00011676">
            <w:pPr>
              <w:autoSpaceDE w:val="0"/>
              <w:autoSpaceDN w:val="0"/>
              <w:adjustRightInd w:val="0"/>
              <w:spacing w:before="0" w:line="240" w:lineRule="atLeast"/>
              <w:ind w:right="487" w:firstLine="0"/>
              <w:jc w:val="right"/>
              <w:rPr>
                <w:rFonts w:asciiTheme="minorHAnsi" w:hAnsiTheme="minorHAnsi" w:cs="Arial"/>
                <w:color w:val="000000"/>
                <w:sz w:val="20"/>
                <w:szCs w:val="20"/>
              </w:rPr>
            </w:pPr>
            <w:r w:rsidRPr="00E3412A">
              <w:rPr>
                <w:rFonts w:asciiTheme="minorHAnsi" w:hAnsiTheme="minorHAnsi" w:cs="Arial"/>
                <w:color w:val="000000"/>
                <w:sz w:val="20"/>
                <w:szCs w:val="20"/>
              </w:rPr>
              <w:t>3,7</w:t>
            </w:r>
          </w:p>
        </w:tc>
      </w:tr>
      <w:tr w:rsidR="002B44EF" w:rsidRPr="00BD5897" w:rsidTr="00011676">
        <w:trPr>
          <w:trHeight w:val="170"/>
        </w:trPr>
        <w:tc>
          <w:tcPr>
            <w:tcW w:w="804" w:type="pct"/>
            <w:shd w:val="clear" w:color="auto" w:fill="auto"/>
            <w:noWrap/>
            <w:vAlign w:val="center"/>
            <w:hideMark/>
          </w:tcPr>
          <w:p w:rsidR="002B44EF" w:rsidRPr="00E3412A" w:rsidRDefault="002B44EF" w:rsidP="00011676">
            <w:pPr>
              <w:spacing w:before="0" w:line="240" w:lineRule="atLeast"/>
              <w:ind w:firstLine="60"/>
              <w:jc w:val="left"/>
              <w:rPr>
                <w:rFonts w:asciiTheme="minorHAnsi" w:hAnsiTheme="minorHAnsi" w:cs="Arial"/>
                <w:sz w:val="20"/>
                <w:szCs w:val="20"/>
              </w:rPr>
            </w:pPr>
            <w:r w:rsidRPr="00E3412A">
              <w:rPr>
                <w:rFonts w:asciiTheme="minorHAnsi" w:hAnsiTheme="minorHAnsi" w:cs="Arial"/>
                <w:sz w:val="20"/>
                <w:szCs w:val="20"/>
              </w:rPr>
              <w:t>501 – 1 000 ks</w:t>
            </w:r>
          </w:p>
        </w:tc>
        <w:tc>
          <w:tcPr>
            <w:tcW w:w="565" w:type="pct"/>
            <w:shd w:val="clear" w:color="auto" w:fill="auto"/>
            <w:noWrap/>
            <w:vAlign w:val="center"/>
            <w:hideMark/>
          </w:tcPr>
          <w:p w:rsidR="002B44EF" w:rsidRPr="00E3412A" w:rsidRDefault="002B44EF" w:rsidP="00011676">
            <w:pPr>
              <w:spacing w:before="0" w:line="240" w:lineRule="atLeast"/>
              <w:ind w:right="231" w:firstLine="0"/>
              <w:jc w:val="right"/>
              <w:rPr>
                <w:rFonts w:asciiTheme="minorHAnsi" w:hAnsiTheme="minorHAnsi" w:cs="Arial"/>
                <w:sz w:val="20"/>
                <w:szCs w:val="20"/>
              </w:rPr>
            </w:pPr>
            <w:r w:rsidRPr="00E3412A">
              <w:rPr>
                <w:rFonts w:asciiTheme="minorHAnsi" w:hAnsiTheme="minorHAnsi" w:cs="Arial"/>
                <w:sz w:val="20"/>
                <w:szCs w:val="20"/>
              </w:rPr>
              <w:t>447</w:t>
            </w:r>
          </w:p>
        </w:tc>
        <w:tc>
          <w:tcPr>
            <w:tcW w:w="1049" w:type="pct"/>
            <w:shd w:val="clear" w:color="auto" w:fill="auto"/>
            <w:noWrap/>
            <w:vAlign w:val="center"/>
            <w:hideMark/>
          </w:tcPr>
          <w:p w:rsidR="002B44EF" w:rsidRPr="00E3412A" w:rsidRDefault="002B44EF" w:rsidP="00011676">
            <w:pPr>
              <w:spacing w:before="0" w:line="240" w:lineRule="atLeast"/>
              <w:ind w:right="254" w:firstLine="0"/>
              <w:jc w:val="right"/>
              <w:rPr>
                <w:rFonts w:asciiTheme="minorHAnsi" w:hAnsiTheme="minorHAnsi" w:cs="Arial"/>
                <w:sz w:val="20"/>
                <w:szCs w:val="20"/>
              </w:rPr>
            </w:pPr>
            <w:r w:rsidRPr="00E3412A">
              <w:rPr>
                <w:rFonts w:asciiTheme="minorHAnsi" w:hAnsiTheme="minorHAnsi" w:cs="Arial"/>
                <w:sz w:val="20"/>
                <w:szCs w:val="20"/>
              </w:rPr>
              <w:t>320 377</w:t>
            </w:r>
          </w:p>
        </w:tc>
        <w:tc>
          <w:tcPr>
            <w:tcW w:w="645" w:type="pct"/>
            <w:shd w:val="clear" w:color="auto" w:fill="auto"/>
            <w:noWrap/>
            <w:vAlign w:val="center"/>
            <w:hideMark/>
          </w:tcPr>
          <w:p w:rsidR="002B44EF" w:rsidRPr="00E3412A" w:rsidRDefault="002B44EF" w:rsidP="00011676">
            <w:pPr>
              <w:spacing w:before="0" w:line="240" w:lineRule="atLeast"/>
              <w:ind w:right="291" w:firstLine="0"/>
              <w:jc w:val="right"/>
              <w:rPr>
                <w:rFonts w:asciiTheme="minorHAnsi" w:hAnsiTheme="minorHAnsi" w:cs="Arial"/>
                <w:sz w:val="20"/>
                <w:szCs w:val="20"/>
              </w:rPr>
            </w:pPr>
            <w:r w:rsidRPr="00E3412A">
              <w:rPr>
                <w:rFonts w:asciiTheme="minorHAnsi" w:hAnsiTheme="minorHAnsi" w:cs="Arial"/>
                <w:sz w:val="20"/>
                <w:szCs w:val="20"/>
              </w:rPr>
              <w:t>717</w:t>
            </w:r>
          </w:p>
        </w:tc>
        <w:tc>
          <w:tcPr>
            <w:tcW w:w="968" w:type="pct"/>
            <w:shd w:val="clear" w:color="auto" w:fill="auto"/>
            <w:noWrap/>
            <w:vAlign w:val="center"/>
            <w:hideMark/>
          </w:tcPr>
          <w:p w:rsidR="002B44EF" w:rsidRPr="00E3412A" w:rsidRDefault="002B44EF" w:rsidP="00011676">
            <w:pPr>
              <w:spacing w:before="0" w:line="240" w:lineRule="atLeast"/>
              <w:ind w:right="329" w:firstLine="0"/>
              <w:jc w:val="right"/>
              <w:rPr>
                <w:rFonts w:asciiTheme="minorHAnsi" w:hAnsiTheme="minorHAnsi" w:cs="Arial"/>
                <w:sz w:val="20"/>
                <w:szCs w:val="20"/>
              </w:rPr>
            </w:pPr>
            <w:r w:rsidRPr="00E3412A">
              <w:rPr>
                <w:rFonts w:asciiTheme="minorHAnsi" w:hAnsiTheme="minorHAnsi" w:cs="Arial"/>
                <w:sz w:val="20"/>
                <w:szCs w:val="20"/>
              </w:rPr>
              <w:t>19,4</w:t>
            </w:r>
          </w:p>
        </w:tc>
        <w:tc>
          <w:tcPr>
            <w:tcW w:w="968" w:type="pct"/>
            <w:shd w:val="clear" w:color="auto" w:fill="auto"/>
            <w:noWrap/>
            <w:vAlign w:val="center"/>
            <w:hideMark/>
          </w:tcPr>
          <w:p w:rsidR="002B44EF" w:rsidRPr="00E3412A" w:rsidRDefault="002B44EF" w:rsidP="00011676">
            <w:pPr>
              <w:autoSpaceDE w:val="0"/>
              <w:autoSpaceDN w:val="0"/>
              <w:adjustRightInd w:val="0"/>
              <w:spacing w:before="0" w:line="240" w:lineRule="atLeast"/>
              <w:ind w:right="487" w:firstLine="0"/>
              <w:jc w:val="right"/>
              <w:rPr>
                <w:rFonts w:asciiTheme="minorHAnsi" w:hAnsiTheme="minorHAnsi" w:cs="Arial"/>
                <w:color w:val="000000"/>
                <w:sz w:val="20"/>
                <w:szCs w:val="20"/>
              </w:rPr>
            </w:pPr>
            <w:r w:rsidRPr="00E3412A">
              <w:rPr>
                <w:rFonts w:asciiTheme="minorHAnsi" w:hAnsiTheme="minorHAnsi" w:cs="Arial"/>
                <w:color w:val="000000"/>
                <w:sz w:val="20"/>
                <w:szCs w:val="20"/>
              </w:rPr>
              <w:t>2,4</w:t>
            </w:r>
          </w:p>
        </w:tc>
      </w:tr>
      <w:tr w:rsidR="002B44EF" w:rsidRPr="00BD5897" w:rsidTr="00011676">
        <w:trPr>
          <w:trHeight w:val="170"/>
        </w:trPr>
        <w:tc>
          <w:tcPr>
            <w:tcW w:w="804" w:type="pct"/>
            <w:shd w:val="clear" w:color="auto" w:fill="auto"/>
            <w:noWrap/>
            <w:vAlign w:val="center"/>
            <w:hideMark/>
          </w:tcPr>
          <w:p w:rsidR="002B44EF" w:rsidRPr="00E3412A" w:rsidRDefault="002B44EF" w:rsidP="00011676">
            <w:pPr>
              <w:spacing w:before="0" w:line="240" w:lineRule="atLeast"/>
              <w:ind w:firstLine="60"/>
              <w:jc w:val="left"/>
              <w:rPr>
                <w:rFonts w:asciiTheme="minorHAnsi" w:hAnsiTheme="minorHAnsi" w:cs="Arial"/>
                <w:sz w:val="20"/>
                <w:szCs w:val="20"/>
              </w:rPr>
            </w:pPr>
            <w:r w:rsidRPr="00E3412A">
              <w:rPr>
                <w:rFonts w:asciiTheme="minorHAnsi" w:hAnsiTheme="minorHAnsi" w:cs="Arial"/>
                <w:sz w:val="20"/>
                <w:szCs w:val="20"/>
              </w:rPr>
              <w:t>Nad 1 000 ks</w:t>
            </w:r>
          </w:p>
        </w:tc>
        <w:tc>
          <w:tcPr>
            <w:tcW w:w="565" w:type="pct"/>
            <w:shd w:val="clear" w:color="auto" w:fill="auto"/>
            <w:noWrap/>
            <w:vAlign w:val="center"/>
            <w:hideMark/>
          </w:tcPr>
          <w:p w:rsidR="002B44EF" w:rsidRPr="00E3412A" w:rsidRDefault="002B44EF" w:rsidP="00011676">
            <w:pPr>
              <w:spacing w:before="0" w:line="240" w:lineRule="atLeast"/>
              <w:ind w:right="231" w:firstLine="0"/>
              <w:jc w:val="right"/>
              <w:rPr>
                <w:rFonts w:asciiTheme="minorHAnsi" w:hAnsiTheme="minorHAnsi" w:cs="Arial"/>
                <w:sz w:val="20"/>
                <w:szCs w:val="20"/>
              </w:rPr>
            </w:pPr>
            <w:r w:rsidRPr="00E3412A">
              <w:rPr>
                <w:rFonts w:asciiTheme="minorHAnsi" w:hAnsiTheme="minorHAnsi" w:cs="Arial"/>
                <w:sz w:val="20"/>
                <w:szCs w:val="20"/>
              </w:rPr>
              <w:t>431</w:t>
            </w:r>
          </w:p>
        </w:tc>
        <w:tc>
          <w:tcPr>
            <w:tcW w:w="1049" w:type="pct"/>
            <w:shd w:val="clear" w:color="auto" w:fill="auto"/>
            <w:noWrap/>
            <w:vAlign w:val="center"/>
            <w:hideMark/>
          </w:tcPr>
          <w:p w:rsidR="002B44EF" w:rsidRPr="00E3412A" w:rsidRDefault="002B44EF" w:rsidP="00011676">
            <w:pPr>
              <w:spacing w:before="0" w:line="240" w:lineRule="atLeast"/>
              <w:ind w:right="254" w:firstLine="0"/>
              <w:jc w:val="right"/>
              <w:rPr>
                <w:rFonts w:asciiTheme="minorHAnsi" w:hAnsiTheme="minorHAnsi" w:cs="Arial"/>
                <w:sz w:val="20"/>
                <w:szCs w:val="20"/>
              </w:rPr>
            </w:pPr>
            <w:r w:rsidRPr="00E3412A">
              <w:rPr>
                <w:rFonts w:asciiTheme="minorHAnsi" w:hAnsiTheme="minorHAnsi" w:cs="Arial"/>
                <w:sz w:val="20"/>
                <w:szCs w:val="20"/>
              </w:rPr>
              <w:t>756 094</w:t>
            </w:r>
          </w:p>
        </w:tc>
        <w:tc>
          <w:tcPr>
            <w:tcW w:w="645" w:type="pct"/>
            <w:shd w:val="clear" w:color="auto" w:fill="auto"/>
            <w:noWrap/>
            <w:vAlign w:val="center"/>
            <w:hideMark/>
          </w:tcPr>
          <w:p w:rsidR="002B44EF" w:rsidRPr="00E3412A" w:rsidRDefault="002B44EF" w:rsidP="00011676">
            <w:pPr>
              <w:spacing w:before="0" w:line="240" w:lineRule="atLeast"/>
              <w:ind w:right="291" w:firstLine="0"/>
              <w:jc w:val="right"/>
              <w:rPr>
                <w:rFonts w:asciiTheme="minorHAnsi" w:hAnsiTheme="minorHAnsi" w:cs="Arial"/>
                <w:sz w:val="20"/>
                <w:szCs w:val="20"/>
              </w:rPr>
            </w:pPr>
            <w:r w:rsidRPr="00E3412A">
              <w:rPr>
                <w:rFonts w:asciiTheme="minorHAnsi" w:hAnsiTheme="minorHAnsi" w:cs="Arial"/>
                <w:sz w:val="20"/>
                <w:szCs w:val="20"/>
              </w:rPr>
              <w:t>1 754</w:t>
            </w:r>
          </w:p>
        </w:tc>
        <w:tc>
          <w:tcPr>
            <w:tcW w:w="968" w:type="pct"/>
            <w:shd w:val="clear" w:color="auto" w:fill="auto"/>
            <w:noWrap/>
            <w:vAlign w:val="center"/>
            <w:hideMark/>
          </w:tcPr>
          <w:p w:rsidR="002B44EF" w:rsidRPr="00E3412A" w:rsidRDefault="002B44EF" w:rsidP="00011676">
            <w:pPr>
              <w:spacing w:before="0" w:line="240" w:lineRule="atLeast"/>
              <w:ind w:right="329" w:firstLine="0"/>
              <w:jc w:val="right"/>
              <w:rPr>
                <w:rFonts w:asciiTheme="minorHAnsi" w:hAnsiTheme="minorHAnsi" w:cs="Arial"/>
                <w:sz w:val="20"/>
                <w:szCs w:val="20"/>
              </w:rPr>
            </w:pPr>
            <w:r w:rsidRPr="00E3412A">
              <w:rPr>
                <w:rFonts w:asciiTheme="minorHAnsi" w:hAnsiTheme="minorHAnsi" w:cs="Arial"/>
                <w:sz w:val="20"/>
                <w:szCs w:val="20"/>
              </w:rPr>
              <w:t>45,7</w:t>
            </w:r>
          </w:p>
        </w:tc>
        <w:tc>
          <w:tcPr>
            <w:tcW w:w="968" w:type="pct"/>
            <w:shd w:val="clear" w:color="auto" w:fill="auto"/>
            <w:noWrap/>
            <w:vAlign w:val="center"/>
            <w:hideMark/>
          </w:tcPr>
          <w:p w:rsidR="002B44EF" w:rsidRPr="00E3412A" w:rsidRDefault="002B44EF" w:rsidP="00011676">
            <w:pPr>
              <w:autoSpaceDE w:val="0"/>
              <w:autoSpaceDN w:val="0"/>
              <w:adjustRightInd w:val="0"/>
              <w:spacing w:before="0" w:line="240" w:lineRule="atLeast"/>
              <w:ind w:right="487" w:firstLine="0"/>
              <w:jc w:val="right"/>
              <w:rPr>
                <w:rFonts w:asciiTheme="minorHAnsi" w:hAnsiTheme="minorHAnsi" w:cs="Arial"/>
                <w:color w:val="000000"/>
                <w:sz w:val="20"/>
                <w:szCs w:val="20"/>
              </w:rPr>
            </w:pPr>
            <w:r w:rsidRPr="00E3412A">
              <w:rPr>
                <w:rFonts w:asciiTheme="minorHAnsi" w:hAnsiTheme="minorHAnsi" w:cs="Arial"/>
                <w:color w:val="000000"/>
                <w:sz w:val="20"/>
                <w:szCs w:val="20"/>
              </w:rPr>
              <w:t>2,3</w:t>
            </w:r>
          </w:p>
        </w:tc>
      </w:tr>
      <w:tr w:rsidR="002B44EF" w:rsidRPr="00BD5897" w:rsidTr="00011676">
        <w:trPr>
          <w:trHeight w:val="170"/>
        </w:trPr>
        <w:tc>
          <w:tcPr>
            <w:tcW w:w="804" w:type="pct"/>
            <w:shd w:val="clear" w:color="auto" w:fill="auto"/>
            <w:noWrap/>
            <w:vAlign w:val="center"/>
            <w:hideMark/>
          </w:tcPr>
          <w:p w:rsidR="002B44EF" w:rsidRPr="00E3412A" w:rsidRDefault="002B44EF" w:rsidP="00011676">
            <w:pPr>
              <w:spacing w:before="0" w:line="240" w:lineRule="atLeast"/>
              <w:ind w:firstLine="60"/>
              <w:jc w:val="left"/>
              <w:rPr>
                <w:rFonts w:asciiTheme="minorHAnsi" w:hAnsiTheme="minorHAnsi" w:cs="Arial"/>
                <w:b/>
                <w:bCs/>
                <w:sz w:val="20"/>
                <w:szCs w:val="20"/>
              </w:rPr>
            </w:pPr>
            <w:r w:rsidRPr="00E3412A">
              <w:rPr>
                <w:rFonts w:asciiTheme="minorHAnsi" w:hAnsiTheme="minorHAnsi" w:cs="Arial"/>
                <w:b/>
                <w:bCs/>
                <w:sz w:val="20"/>
                <w:szCs w:val="20"/>
              </w:rPr>
              <w:t>Celkem</w:t>
            </w:r>
          </w:p>
        </w:tc>
        <w:tc>
          <w:tcPr>
            <w:tcW w:w="565" w:type="pct"/>
            <w:shd w:val="clear" w:color="auto" w:fill="auto"/>
            <w:vAlign w:val="center"/>
            <w:hideMark/>
          </w:tcPr>
          <w:p w:rsidR="002B44EF" w:rsidRPr="00E3412A" w:rsidRDefault="002B44EF" w:rsidP="00011676">
            <w:pPr>
              <w:spacing w:before="0" w:line="240" w:lineRule="atLeast"/>
              <w:ind w:right="231" w:firstLine="0"/>
              <w:jc w:val="right"/>
              <w:rPr>
                <w:rFonts w:asciiTheme="minorHAnsi" w:hAnsiTheme="minorHAnsi" w:cs="Arial"/>
                <w:b/>
                <w:bCs/>
                <w:sz w:val="20"/>
                <w:szCs w:val="20"/>
              </w:rPr>
            </w:pPr>
            <w:r w:rsidRPr="00E3412A">
              <w:rPr>
                <w:rFonts w:asciiTheme="minorHAnsi" w:hAnsiTheme="minorHAnsi" w:cs="Arial"/>
                <w:b/>
                <w:bCs/>
                <w:sz w:val="20"/>
                <w:szCs w:val="20"/>
              </w:rPr>
              <w:t>18 564</w:t>
            </w:r>
          </w:p>
        </w:tc>
        <w:tc>
          <w:tcPr>
            <w:tcW w:w="1049" w:type="pct"/>
            <w:shd w:val="clear" w:color="auto" w:fill="auto"/>
            <w:vAlign w:val="center"/>
            <w:hideMark/>
          </w:tcPr>
          <w:p w:rsidR="002B44EF" w:rsidRPr="00E3412A" w:rsidRDefault="002B44EF" w:rsidP="00011676">
            <w:pPr>
              <w:spacing w:before="0" w:line="240" w:lineRule="atLeast"/>
              <w:ind w:right="254" w:firstLine="0"/>
              <w:jc w:val="right"/>
              <w:rPr>
                <w:rFonts w:asciiTheme="minorHAnsi" w:hAnsiTheme="minorHAnsi" w:cs="Arial"/>
                <w:b/>
                <w:bCs/>
                <w:sz w:val="20"/>
                <w:szCs w:val="20"/>
              </w:rPr>
            </w:pPr>
            <w:r w:rsidRPr="00E3412A">
              <w:rPr>
                <w:rFonts w:asciiTheme="minorHAnsi" w:hAnsiTheme="minorHAnsi" w:cs="Arial"/>
                <w:b/>
                <w:bCs/>
                <w:sz w:val="20"/>
                <w:szCs w:val="20"/>
              </w:rPr>
              <w:t>1 655 567</w:t>
            </w:r>
          </w:p>
        </w:tc>
        <w:tc>
          <w:tcPr>
            <w:tcW w:w="645" w:type="pct"/>
            <w:shd w:val="clear" w:color="auto" w:fill="auto"/>
            <w:vAlign w:val="center"/>
            <w:hideMark/>
          </w:tcPr>
          <w:p w:rsidR="002B44EF" w:rsidRPr="00E3412A" w:rsidRDefault="002B44EF" w:rsidP="00011676">
            <w:pPr>
              <w:spacing w:before="0" w:line="240" w:lineRule="atLeast"/>
              <w:ind w:right="291" w:firstLine="0"/>
              <w:jc w:val="right"/>
              <w:rPr>
                <w:rFonts w:asciiTheme="minorHAnsi" w:hAnsiTheme="minorHAnsi" w:cs="Arial"/>
                <w:b/>
                <w:bCs/>
                <w:sz w:val="20"/>
                <w:szCs w:val="20"/>
              </w:rPr>
            </w:pPr>
            <w:r w:rsidRPr="00E3412A">
              <w:rPr>
                <w:rFonts w:asciiTheme="minorHAnsi" w:hAnsiTheme="minorHAnsi" w:cs="Arial"/>
                <w:b/>
                <w:bCs/>
                <w:sz w:val="20"/>
                <w:szCs w:val="20"/>
              </w:rPr>
              <w:t>89</w:t>
            </w:r>
          </w:p>
        </w:tc>
        <w:tc>
          <w:tcPr>
            <w:tcW w:w="968" w:type="pct"/>
            <w:shd w:val="clear" w:color="auto" w:fill="auto"/>
            <w:vAlign w:val="center"/>
            <w:hideMark/>
          </w:tcPr>
          <w:p w:rsidR="002B44EF" w:rsidRPr="00E3412A" w:rsidRDefault="002B44EF" w:rsidP="00011676">
            <w:pPr>
              <w:spacing w:before="0" w:line="240" w:lineRule="atLeast"/>
              <w:ind w:right="329" w:firstLine="0"/>
              <w:jc w:val="right"/>
              <w:rPr>
                <w:rFonts w:asciiTheme="minorHAnsi" w:hAnsiTheme="minorHAnsi" w:cs="Arial"/>
                <w:b/>
                <w:bCs/>
                <w:sz w:val="20"/>
                <w:szCs w:val="20"/>
              </w:rPr>
            </w:pPr>
            <w:r w:rsidRPr="00E3412A">
              <w:rPr>
                <w:rFonts w:asciiTheme="minorHAnsi" w:hAnsiTheme="minorHAnsi" w:cs="Arial"/>
                <w:b/>
                <w:bCs/>
                <w:sz w:val="20"/>
                <w:szCs w:val="20"/>
              </w:rPr>
              <w:t>100,0</w:t>
            </w:r>
          </w:p>
        </w:tc>
        <w:tc>
          <w:tcPr>
            <w:tcW w:w="968" w:type="pct"/>
            <w:shd w:val="clear" w:color="auto" w:fill="auto"/>
            <w:vAlign w:val="center"/>
            <w:hideMark/>
          </w:tcPr>
          <w:p w:rsidR="002B44EF" w:rsidRPr="00E3412A" w:rsidRDefault="002B44EF" w:rsidP="00011676">
            <w:pPr>
              <w:spacing w:before="0" w:line="240" w:lineRule="atLeast"/>
              <w:ind w:right="487" w:firstLine="0"/>
              <w:jc w:val="right"/>
              <w:rPr>
                <w:rFonts w:asciiTheme="minorHAnsi" w:hAnsiTheme="minorHAnsi" w:cs="Arial"/>
                <w:b/>
                <w:bCs/>
                <w:sz w:val="20"/>
                <w:szCs w:val="20"/>
              </w:rPr>
            </w:pPr>
            <w:r w:rsidRPr="00E3412A">
              <w:rPr>
                <w:rFonts w:asciiTheme="minorHAnsi" w:hAnsiTheme="minorHAnsi" w:cs="Arial"/>
                <w:b/>
                <w:bCs/>
                <w:sz w:val="20"/>
                <w:szCs w:val="20"/>
              </w:rPr>
              <w:t>100,0</w:t>
            </w:r>
          </w:p>
        </w:tc>
      </w:tr>
    </w:tbl>
    <w:p w:rsidR="002B44EF" w:rsidRDefault="002B44EF" w:rsidP="002B44EF">
      <w:pPr>
        <w:tabs>
          <w:tab w:val="left" w:pos="0"/>
        </w:tabs>
        <w:spacing w:before="0" w:line="240" w:lineRule="atLeast"/>
        <w:ind w:firstLine="0"/>
        <w:rPr>
          <w:rFonts w:asciiTheme="minorHAnsi" w:hAnsiTheme="minorHAnsi"/>
          <w:sz w:val="18"/>
          <w:szCs w:val="18"/>
        </w:rPr>
      </w:pPr>
      <w:r w:rsidRPr="008F11B8">
        <w:rPr>
          <w:rFonts w:asciiTheme="minorHAnsi" w:hAnsiTheme="minorHAnsi"/>
          <w:sz w:val="18"/>
          <w:szCs w:val="18"/>
        </w:rPr>
        <w:t xml:space="preserve">Pramen: MZe, IRZ, podíly -  výpočet ÚZEI </w:t>
      </w:r>
    </w:p>
    <w:p w:rsidR="0021663D" w:rsidRDefault="0021663D" w:rsidP="002A6FFF">
      <w:pPr>
        <w:ind w:firstLine="0"/>
        <w:rPr>
          <w:rFonts w:asciiTheme="minorHAnsi" w:hAnsiTheme="minorHAnsi" w:cs="Arial"/>
          <w:b/>
          <w:sz w:val="22"/>
          <w:szCs w:val="22"/>
        </w:rPr>
      </w:pPr>
    </w:p>
    <w:p w:rsidR="0021663D" w:rsidRDefault="0021663D" w:rsidP="002A6FFF">
      <w:pPr>
        <w:ind w:firstLine="0"/>
        <w:rPr>
          <w:rFonts w:asciiTheme="minorHAnsi" w:hAnsiTheme="minorHAnsi" w:cs="Arial"/>
          <w:b/>
          <w:sz w:val="22"/>
          <w:szCs w:val="22"/>
        </w:rPr>
      </w:pPr>
    </w:p>
    <w:p w:rsidR="002A6FFF" w:rsidRPr="002A6FFF" w:rsidRDefault="002A6FFF" w:rsidP="002A6FFF">
      <w:pPr>
        <w:ind w:firstLine="0"/>
        <w:rPr>
          <w:rFonts w:asciiTheme="minorHAnsi" w:hAnsiTheme="minorHAnsi" w:cs="Arial"/>
          <w:b/>
          <w:sz w:val="22"/>
          <w:szCs w:val="22"/>
        </w:rPr>
      </w:pPr>
      <w:r w:rsidRPr="002A6FFF">
        <w:rPr>
          <w:rFonts w:asciiTheme="minorHAnsi" w:hAnsiTheme="minorHAnsi" w:cs="Arial"/>
          <w:b/>
          <w:sz w:val="22"/>
          <w:szCs w:val="22"/>
        </w:rPr>
        <w:t>Ostatní odvětví</w:t>
      </w:r>
    </w:p>
    <w:p w:rsidR="002A6FFF" w:rsidRPr="00C26073" w:rsidRDefault="00170FA7" w:rsidP="002B44EF">
      <w:pPr>
        <w:tabs>
          <w:tab w:val="left" w:pos="0"/>
        </w:tabs>
        <w:spacing w:before="120" w:after="120"/>
        <w:ind w:firstLine="0"/>
        <w:rPr>
          <w:rFonts w:asciiTheme="minorHAnsi" w:hAnsiTheme="minorHAnsi"/>
          <w:sz w:val="22"/>
          <w:szCs w:val="22"/>
        </w:rPr>
      </w:pPr>
      <w:r w:rsidRPr="00C26073">
        <w:rPr>
          <w:rFonts w:asciiTheme="minorHAnsi" w:hAnsiTheme="minorHAnsi"/>
          <w:sz w:val="22"/>
          <w:szCs w:val="22"/>
        </w:rPr>
        <w:t>Mimo odvětví mléka a ovoce a zeleniny jsou v ČR registrována již jen čtyři organizace producentů</w:t>
      </w:r>
      <w:r w:rsidR="00C26073" w:rsidRPr="00C26073">
        <w:rPr>
          <w:rFonts w:asciiTheme="minorHAnsi" w:hAnsiTheme="minorHAnsi"/>
          <w:sz w:val="22"/>
          <w:szCs w:val="22"/>
        </w:rPr>
        <w:t>, které fungují v odvětví vajec (Zlatá vejce, a.s.), vepřového masa (Agropork, a.s.), hovězího a telecího masa (Viamilk, a.s. – též pro odvětví mléka), a v odvětví olejnin - máku</w:t>
      </w:r>
      <w:r w:rsidRPr="00C26073">
        <w:rPr>
          <w:rFonts w:asciiTheme="minorHAnsi" w:hAnsiTheme="minorHAnsi"/>
          <w:sz w:val="22"/>
          <w:szCs w:val="22"/>
        </w:rPr>
        <w:t xml:space="preserve">  </w:t>
      </w:r>
      <w:r w:rsidR="00C26073" w:rsidRPr="00C26073">
        <w:rPr>
          <w:rFonts w:asciiTheme="minorHAnsi" w:hAnsiTheme="minorHAnsi"/>
          <w:sz w:val="22"/>
          <w:szCs w:val="22"/>
        </w:rPr>
        <w:t>(Odbytové a hospodářské družstvo Kolín).</w:t>
      </w:r>
    </w:p>
    <w:p w:rsidR="002B44EF" w:rsidRPr="0059439F" w:rsidRDefault="002B44EF" w:rsidP="001C5C4B">
      <w:pPr>
        <w:tabs>
          <w:tab w:val="left" w:pos="0"/>
        </w:tabs>
        <w:spacing w:before="120"/>
        <w:ind w:firstLine="0"/>
        <w:rPr>
          <w:rFonts w:asciiTheme="minorHAnsi" w:hAnsiTheme="minorHAnsi"/>
          <w:b/>
          <w:sz w:val="22"/>
          <w:szCs w:val="22"/>
        </w:rPr>
      </w:pPr>
      <w:r w:rsidRPr="0059439F">
        <w:rPr>
          <w:rFonts w:asciiTheme="minorHAnsi" w:hAnsiTheme="minorHAnsi"/>
          <w:b/>
          <w:sz w:val="22"/>
          <w:szCs w:val="22"/>
        </w:rPr>
        <w:t>Chov prasat</w:t>
      </w:r>
      <w:r>
        <w:rPr>
          <w:rFonts w:asciiTheme="minorHAnsi" w:hAnsiTheme="minorHAnsi"/>
          <w:b/>
          <w:sz w:val="22"/>
          <w:szCs w:val="22"/>
        </w:rPr>
        <w:t xml:space="preserve"> – vepřové maso</w:t>
      </w:r>
    </w:p>
    <w:p w:rsidR="002B44EF" w:rsidRPr="001C5C4B" w:rsidRDefault="002B44EF" w:rsidP="001C5C4B">
      <w:pPr>
        <w:tabs>
          <w:tab w:val="left" w:pos="0"/>
        </w:tabs>
        <w:spacing w:before="0" w:after="120"/>
        <w:ind w:firstLine="0"/>
        <w:rPr>
          <w:rFonts w:asciiTheme="minorHAnsi" w:hAnsiTheme="minorHAnsi"/>
          <w:sz w:val="22"/>
          <w:szCs w:val="22"/>
        </w:rPr>
      </w:pPr>
      <w:r w:rsidRPr="001C5C4B">
        <w:rPr>
          <w:rFonts w:asciiTheme="minorHAnsi" w:hAnsiTheme="minorHAnsi"/>
          <w:sz w:val="22"/>
          <w:szCs w:val="22"/>
        </w:rPr>
        <w:t>HHI ukazuje, že koncentrace chovu prasat je rovněž velmi nízká, mezi roky 2010 a 2016 ukazuje  progresi, ale z hlediska HHI je posun v koncentraci zanedbatelný. Koncentrace zpracovatelských podniků s porážkou prasat byla v roce 2010 velmi nízká. Do roku 2015 se hodnota HH indexu sice zvýšila, ale stále se nacházela hluboko pod hranicí 1000. Ani v sektoru vepřového masa není v ČR žádný subjekt s výraznou převahou.</w:t>
      </w:r>
    </w:p>
    <w:p w:rsidR="002B44EF" w:rsidRPr="002B44EF" w:rsidRDefault="002B44EF" w:rsidP="002B44EF">
      <w:pPr>
        <w:tabs>
          <w:tab w:val="left" w:pos="709"/>
        </w:tabs>
        <w:spacing w:before="240" w:line="240" w:lineRule="atLeast"/>
        <w:ind w:left="709" w:hanging="709"/>
        <w:rPr>
          <w:rFonts w:asciiTheme="minorHAnsi" w:hAnsiTheme="minorHAnsi"/>
          <w:b/>
          <w:sz w:val="22"/>
          <w:szCs w:val="22"/>
        </w:rPr>
      </w:pPr>
      <w:r w:rsidRPr="002B44EF">
        <w:rPr>
          <w:rFonts w:asciiTheme="minorHAnsi" w:hAnsiTheme="minorHAnsi"/>
          <w:b/>
          <w:sz w:val="22"/>
          <w:szCs w:val="22"/>
        </w:rPr>
        <w:t>Vývoj koncentrace chovu prasat a jatek, počet poražených prasat podle indexu HHI</w:t>
      </w:r>
    </w:p>
    <w:tbl>
      <w:tblPr>
        <w:tblW w:w="9020" w:type="dxa"/>
        <w:tblCellMar>
          <w:left w:w="70" w:type="dxa"/>
          <w:right w:w="70" w:type="dxa"/>
        </w:tblCellMar>
        <w:tblLook w:val="04A0"/>
      </w:tblPr>
      <w:tblGrid>
        <w:gridCol w:w="2480"/>
        <w:gridCol w:w="1134"/>
        <w:gridCol w:w="1134"/>
        <w:gridCol w:w="1012"/>
        <w:gridCol w:w="1220"/>
        <w:gridCol w:w="1020"/>
        <w:gridCol w:w="1020"/>
      </w:tblGrid>
      <w:tr w:rsidR="002B44EF" w:rsidRPr="00E7721E" w:rsidTr="00011676">
        <w:trPr>
          <w:trHeight w:val="840"/>
        </w:trPr>
        <w:tc>
          <w:tcPr>
            <w:tcW w:w="2480" w:type="dxa"/>
            <w:vMerge w:val="restart"/>
            <w:tcBorders>
              <w:top w:val="single" w:sz="12" w:space="0" w:color="auto"/>
              <w:left w:val="single" w:sz="12" w:space="0" w:color="auto"/>
              <w:bottom w:val="single" w:sz="8" w:space="0" w:color="000000"/>
              <w:right w:val="single" w:sz="4" w:space="0" w:color="auto"/>
            </w:tcBorders>
            <w:shd w:val="clear" w:color="auto" w:fill="auto"/>
            <w:noWrap/>
            <w:vAlign w:val="center"/>
            <w:hideMark/>
          </w:tcPr>
          <w:p w:rsidR="002B44EF" w:rsidRPr="00934296" w:rsidRDefault="002B44EF" w:rsidP="00011676">
            <w:pPr>
              <w:rPr>
                <w:rFonts w:ascii="Calibri" w:hAnsi="Calibri"/>
                <w:color w:val="000000"/>
                <w:sz w:val="20"/>
                <w:szCs w:val="20"/>
              </w:rPr>
            </w:pPr>
            <w:r w:rsidRPr="00934296">
              <w:rPr>
                <w:rFonts w:ascii="Calibri" w:hAnsi="Calibri"/>
                <w:color w:val="000000"/>
                <w:sz w:val="20"/>
                <w:szCs w:val="20"/>
              </w:rPr>
              <w:t>Ukazatel</w:t>
            </w:r>
          </w:p>
        </w:tc>
        <w:tc>
          <w:tcPr>
            <w:tcW w:w="2268" w:type="dxa"/>
            <w:gridSpan w:val="2"/>
            <w:tcBorders>
              <w:top w:val="single" w:sz="12" w:space="0" w:color="auto"/>
              <w:left w:val="nil"/>
              <w:bottom w:val="single" w:sz="4" w:space="0" w:color="auto"/>
              <w:right w:val="single" w:sz="4" w:space="0" w:color="auto"/>
            </w:tcBorders>
            <w:shd w:val="clear" w:color="auto" w:fill="D9D9D9" w:themeFill="background1" w:themeFillShade="D9"/>
            <w:vAlign w:val="center"/>
            <w:hideMark/>
          </w:tcPr>
          <w:p w:rsidR="002B44EF" w:rsidRPr="00934296" w:rsidRDefault="002B44EF" w:rsidP="00011676">
            <w:pPr>
              <w:ind w:firstLine="0"/>
              <w:jc w:val="center"/>
              <w:rPr>
                <w:rFonts w:ascii="Calibri" w:hAnsi="Calibri"/>
                <w:bCs/>
                <w:color w:val="000000"/>
                <w:sz w:val="20"/>
                <w:szCs w:val="20"/>
              </w:rPr>
            </w:pPr>
            <w:r w:rsidRPr="00934296">
              <w:rPr>
                <w:rFonts w:ascii="Calibri" w:hAnsi="Calibri"/>
                <w:bCs/>
                <w:color w:val="000000"/>
                <w:sz w:val="20"/>
                <w:szCs w:val="20"/>
              </w:rPr>
              <w:t>HHI</w:t>
            </w:r>
            <w:r w:rsidRPr="00934296">
              <w:rPr>
                <w:rFonts w:ascii="Calibri" w:hAnsi="Calibri"/>
                <w:bCs/>
                <w:color w:val="000000"/>
                <w:sz w:val="20"/>
                <w:szCs w:val="20"/>
              </w:rPr>
              <w:br/>
              <w:t>index v %</w:t>
            </w:r>
          </w:p>
        </w:tc>
        <w:tc>
          <w:tcPr>
            <w:tcW w:w="2232" w:type="dxa"/>
            <w:gridSpan w:val="2"/>
            <w:tcBorders>
              <w:top w:val="single" w:sz="12" w:space="0" w:color="auto"/>
              <w:left w:val="nil"/>
              <w:bottom w:val="single" w:sz="4" w:space="0" w:color="auto"/>
              <w:right w:val="single" w:sz="4" w:space="0" w:color="auto"/>
            </w:tcBorders>
            <w:shd w:val="clear" w:color="auto" w:fill="auto"/>
            <w:noWrap/>
            <w:vAlign w:val="center"/>
            <w:hideMark/>
          </w:tcPr>
          <w:p w:rsidR="002B44EF" w:rsidRPr="00934296" w:rsidRDefault="002B44EF" w:rsidP="00011676">
            <w:pPr>
              <w:ind w:firstLine="0"/>
              <w:jc w:val="center"/>
              <w:rPr>
                <w:rFonts w:ascii="Calibri" w:hAnsi="Calibri"/>
                <w:bCs/>
                <w:color w:val="000000"/>
                <w:sz w:val="20"/>
                <w:szCs w:val="20"/>
              </w:rPr>
            </w:pPr>
            <w:r w:rsidRPr="00934296">
              <w:rPr>
                <w:rFonts w:ascii="Calibri" w:hAnsi="Calibri"/>
                <w:bCs/>
                <w:color w:val="000000"/>
                <w:sz w:val="20"/>
                <w:szCs w:val="20"/>
              </w:rPr>
              <w:t>Počet subjektů (chovů resp. jatek</w:t>
            </w:r>
            <w:r>
              <w:rPr>
                <w:rFonts w:ascii="Calibri" w:hAnsi="Calibri"/>
                <w:bCs/>
                <w:color w:val="000000"/>
                <w:sz w:val="20"/>
                <w:szCs w:val="20"/>
              </w:rPr>
              <w:t xml:space="preserve"> </w:t>
            </w:r>
            <w:r w:rsidRPr="00934296">
              <w:rPr>
                <w:rFonts w:ascii="Calibri" w:hAnsi="Calibri"/>
                <w:bCs/>
                <w:color w:val="000000"/>
                <w:sz w:val="20"/>
                <w:szCs w:val="20"/>
              </w:rPr>
              <w:t>(n)</w:t>
            </w:r>
          </w:p>
        </w:tc>
        <w:tc>
          <w:tcPr>
            <w:tcW w:w="2040" w:type="dxa"/>
            <w:gridSpan w:val="2"/>
            <w:tcBorders>
              <w:top w:val="single" w:sz="12" w:space="0" w:color="auto"/>
              <w:left w:val="nil"/>
              <w:bottom w:val="single" w:sz="4" w:space="0" w:color="auto"/>
              <w:right w:val="single" w:sz="12" w:space="0" w:color="auto"/>
            </w:tcBorders>
            <w:shd w:val="clear" w:color="auto" w:fill="auto"/>
            <w:vAlign w:val="bottom"/>
            <w:hideMark/>
          </w:tcPr>
          <w:p w:rsidR="002B44EF" w:rsidRPr="00934296" w:rsidRDefault="002B44EF" w:rsidP="00011676">
            <w:pPr>
              <w:ind w:firstLine="0"/>
              <w:jc w:val="center"/>
              <w:rPr>
                <w:rFonts w:ascii="Calibri" w:hAnsi="Calibri"/>
                <w:bCs/>
                <w:color w:val="000000"/>
                <w:sz w:val="20"/>
                <w:szCs w:val="20"/>
              </w:rPr>
            </w:pPr>
            <w:r w:rsidRPr="00934296">
              <w:rPr>
                <w:rFonts w:ascii="Calibri" w:hAnsi="Calibri"/>
                <w:bCs/>
                <w:color w:val="000000"/>
                <w:sz w:val="20"/>
                <w:szCs w:val="20"/>
              </w:rPr>
              <w:t>Počet</w:t>
            </w:r>
            <w:r>
              <w:rPr>
                <w:rFonts w:ascii="Calibri" w:hAnsi="Calibri"/>
                <w:bCs/>
                <w:color w:val="000000"/>
                <w:sz w:val="20"/>
                <w:szCs w:val="20"/>
              </w:rPr>
              <w:t xml:space="preserve"> </w:t>
            </w:r>
            <w:r w:rsidRPr="00934296">
              <w:rPr>
                <w:rFonts w:ascii="Calibri" w:hAnsi="Calibri"/>
                <w:bCs/>
                <w:color w:val="000000"/>
                <w:sz w:val="20"/>
                <w:szCs w:val="20"/>
              </w:rPr>
              <w:t xml:space="preserve">chovaných resp. </w:t>
            </w:r>
            <w:r>
              <w:rPr>
                <w:rFonts w:ascii="Calibri" w:hAnsi="Calibri"/>
                <w:bCs/>
                <w:color w:val="000000"/>
                <w:sz w:val="20"/>
                <w:szCs w:val="20"/>
              </w:rPr>
              <w:t>p</w:t>
            </w:r>
            <w:r w:rsidRPr="00934296">
              <w:rPr>
                <w:rFonts w:ascii="Calibri" w:hAnsi="Calibri"/>
                <w:bCs/>
                <w:color w:val="000000"/>
                <w:sz w:val="20"/>
                <w:szCs w:val="20"/>
              </w:rPr>
              <w:t>oražených zvířat</w:t>
            </w:r>
            <w:r>
              <w:rPr>
                <w:rFonts w:ascii="Calibri" w:hAnsi="Calibri"/>
                <w:bCs/>
                <w:color w:val="000000"/>
                <w:sz w:val="20"/>
                <w:szCs w:val="20"/>
              </w:rPr>
              <w:t xml:space="preserve"> </w:t>
            </w:r>
            <w:r w:rsidRPr="00934296">
              <w:rPr>
                <w:rFonts w:ascii="Calibri" w:hAnsi="Calibri"/>
                <w:bCs/>
                <w:color w:val="000000"/>
                <w:sz w:val="20"/>
                <w:szCs w:val="20"/>
              </w:rPr>
              <w:t>v ks</w:t>
            </w:r>
          </w:p>
        </w:tc>
      </w:tr>
      <w:tr w:rsidR="002B44EF" w:rsidRPr="00E7721E" w:rsidTr="00011676">
        <w:trPr>
          <w:trHeight w:val="300"/>
        </w:trPr>
        <w:tc>
          <w:tcPr>
            <w:tcW w:w="2480" w:type="dxa"/>
            <w:vMerge/>
            <w:tcBorders>
              <w:top w:val="single" w:sz="8" w:space="0" w:color="auto"/>
              <w:left w:val="single" w:sz="12" w:space="0" w:color="auto"/>
              <w:bottom w:val="single" w:sz="8" w:space="0" w:color="000000"/>
              <w:right w:val="single" w:sz="4" w:space="0" w:color="auto"/>
            </w:tcBorders>
            <w:vAlign w:val="center"/>
            <w:hideMark/>
          </w:tcPr>
          <w:p w:rsidR="002B44EF" w:rsidRPr="00934296" w:rsidRDefault="002B44EF" w:rsidP="00011676">
            <w:pPr>
              <w:rPr>
                <w:rFonts w:ascii="Calibri" w:hAnsi="Calibri"/>
                <w:color w:val="000000"/>
                <w:sz w:val="20"/>
                <w:szCs w:val="20"/>
              </w:rPr>
            </w:pPr>
          </w:p>
        </w:tc>
        <w:tc>
          <w:tcPr>
            <w:tcW w:w="1134" w:type="dxa"/>
            <w:tcBorders>
              <w:top w:val="nil"/>
              <w:left w:val="single" w:sz="4" w:space="0" w:color="auto"/>
              <w:bottom w:val="single" w:sz="8" w:space="0" w:color="auto"/>
              <w:right w:val="single" w:sz="4" w:space="0" w:color="auto"/>
            </w:tcBorders>
            <w:shd w:val="clear" w:color="auto" w:fill="D9D9D9" w:themeFill="background1" w:themeFillShade="D9"/>
            <w:noWrap/>
            <w:vAlign w:val="bottom"/>
            <w:hideMark/>
          </w:tcPr>
          <w:p w:rsidR="002B44EF" w:rsidRPr="00934296" w:rsidRDefault="002B44EF" w:rsidP="00011676">
            <w:pPr>
              <w:ind w:firstLine="0"/>
              <w:jc w:val="center"/>
              <w:rPr>
                <w:rFonts w:ascii="Calibri" w:hAnsi="Calibri"/>
                <w:bCs/>
                <w:color w:val="000000"/>
                <w:sz w:val="20"/>
                <w:szCs w:val="20"/>
              </w:rPr>
            </w:pPr>
            <w:r w:rsidRPr="00934296">
              <w:rPr>
                <w:rFonts w:ascii="Calibri" w:hAnsi="Calibri"/>
                <w:bCs/>
                <w:color w:val="000000"/>
                <w:sz w:val="20"/>
                <w:szCs w:val="20"/>
              </w:rPr>
              <w:t>2010</w:t>
            </w:r>
          </w:p>
        </w:tc>
        <w:tc>
          <w:tcPr>
            <w:tcW w:w="1134" w:type="dxa"/>
            <w:tcBorders>
              <w:top w:val="nil"/>
              <w:left w:val="nil"/>
              <w:bottom w:val="single" w:sz="8" w:space="0" w:color="auto"/>
              <w:right w:val="single" w:sz="4" w:space="0" w:color="auto"/>
            </w:tcBorders>
            <w:shd w:val="clear" w:color="auto" w:fill="D9D9D9" w:themeFill="background1" w:themeFillShade="D9"/>
            <w:noWrap/>
            <w:vAlign w:val="bottom"/>
            <w:hideMark/>
          </w:tcPr>
          <w:p w:rsidR="002B44EF" w:rsidRPr="00934296" w:rsidRDefault="002B44EF" w:rsidP="00011676">
            <w:pPr>
              <w:ind w:firstLine="0"/>
              <w:jc w:val="center"/>
              <w:rPr>
                <w:rFonts w:ascii="Calibri" w:hAnsi="Calibri"/>
                <w:bCs/>
                <w:color w:val="000000"/>
                <w:sz w:val="20"/>
                <w:szCs w:val="20"/>
              </w:rPr>
            </w:pPr>
            <w:r w:rsidRPr="00934296">
              <w:rPr>
                <w:rFonts w:ascii="Calibri" w:hAnsi="Calibri"/>
                <w:bCs/>
                <w:color w:val="000000"/>
                <w:sz w:val="20"/>
                <w:szCs w:val="20"/>
              </w:rPr>
              <w:t>2016</w:t>
            </w:r>
          </w:p>
        </w:tc>
        <w:tc>
          <w:tcPr>
            <w:tcW w:w="1012" w:type="dxa"/>
            <w:tcBorders>
              <w:top w:val="nil"/>
              <w:left w:val="nil"/>
              <w:bottom w:val="single" w:sz="8" w:space="0" w:color="auto"/>
              <w:right w:val="single" w:sz="4" w:space="0" w:color="auto"/>
            </w:tcBorders>
            <w:shd w:val="clear" w:color="auto" w:fill="auto"/>
            <w:noWrap/>
            <w:vAlign w:val="bottom"/>
            <w:hideMark/>
          </w:tcPr>
          <w:p w:rsidR="002B44EF" w:rsidRPr="00934296" w:rsidRDefault="002B44EF" w:rsidP="00011676">
            <w:pPr>
              <w:ind w:firstLine="0"/>
              <w:jc w:val="center"/>
              <w:rPr>
                <w:rFonts w:ascii="Calibri" w:hAnsi="Calibri"/>
                <w:bCs/>
                <w:color w:val="000000"/>
                <w:sz w:val="20"/>
                <w:szCs w:val="20"/>
              </w:rPr>
            </w:pPr>
            <w:r w:rsidRPr="00934296">
              <w:rPr>
                <w:rFonts w:ascii="Calibri" w:hAnsi="Calibri"/>
                <w:bCs/>
                <w:color w:val="000000"/>
                <w:sz w:val="20"/>
                <w:szCs w:val="20"/>
              </w:rPr>
              <w:t>2010</w:t>
            </w:r>
          </w:p>
        </w:tc>
        <w:tc>
          <w:tcPr>
            <w:tcW w:w="1220" w:type="dxa"/>
            <w:tcBorders>
              <w:top w:val="nil"/>
              <w:left w:val="nil"/>
              <w:bottom w:val="single" w:sz="8" w:space="0" w:color="auto"/>
              <w:right w:val="single" w:sz="4" w:space="0" w:color="auto"/>
            </w:tcBorders>
            <w:shd w:val="clear" w:color="auto" w:fill="auto"/>
            <w:noWrap/>
            <w:vAlign w:val="bottom"/>
            <w:hideMark/>
          </w:tcPr>
          <w:p w:rsidR="002B44EF" w:rsidRPr="00934296" w:rsidRDefault="002B44EF" w:rsidP="00011676">
            <w:pPr>
              <w:ind w:firstLine="0"/>
              <w:jc w:val="center"/>
              <w:rPr>
                <w:rFonts w:ascii="Calibri" w:hAnsi="Calibri"/>
                <w:bCs/>
                <w:color w:val="000000"/>
                <w:sz w:val="20"/>
                <w:szCs w:val="20"/>
              </w:rPr>
            </w:pPr>
            <w:r w:rsidRPr="00934296">
              <w:rPr>
                <w:rFonts w:ascii="Calibri" w:hAnsi="Calibri"/>
                <w:bCs/>
                <w:color w:val="000000"/>
                <w:sz w:val="20"/>
                <w:szCs w:val="20"/>
              </w:rPr>
              <w:t>2016</w:t>
            </w:r>
          </w:p>
        </w:tc>
        <w:tc>
          <w:tcPr>
            <w:tcW w:w="1020" w:type="dxa"/>
            <w:tcBorders>
              <w:top w:val="nil"/>
              <w:left w:val="nil"/>
              <w:bottom w:val="single" w:sz="8" w:space="0" w:color="auto"/>
              <w:right w:val="single" w:sz="4" w:space="0" w:color="auto"/>
            </w:tcBorders>
            <w:shd w:val="clear" w:color="auto" w:fill="auto"/>
            <w:noWrap/>
            <w:vAlign w:val="bottom"/>
            <w:hideMark/>
          </w:tcPr>
          <w:p w:rsidR="002B44EF" w:rsidRPr="00934296" w:rsidRDefault="002B44EF" w:rsidP="00011676">
            <w:pPr>
              <w:ind w:firstLine="0"/>
              <w:jc w:val="center"/>
              <w:rPr>
                <w:rFonts w:ascii="Calibri" w:hAnsi="Calibri"/>
                <w:bCs/>
                <w:color w:val="000000"/>
                <w:sz w:val="20"/>
                <w:szCs w:val="20"/>
              </w:rPr>
            </w:pPr>
            <w:r w:rsidRPr="00934296">
              <w:rPr>
                <w:rFonts w:ascii="Calibri" w:hAnsi="Calibri"/>
                <w:bCs/>
                <w:color w:val="000000"/>
                <w:sz w:val="20"/>
                <w:szCs w:val="20"/>
              </w:rPr>
              <w:t>2010</w:t>
            </w:r>
          </w:p>
        </w:tc>
        <w:tc>
          <w:tcPr>
            <w:tcW w:w="1020" w:type="dxa"/>
            <w:tcBorders>
              <w:top w:val="nil"/>
              <w:left w:val="nil"/>
              <w:bottom w:val="single" w:sz="8" w:space="0" w:color="auto"/>
              <w:right w:val="single" w:sz="12" w:space="0" w:color="auto"/>
            </w:tcBorders>
            <w:shd w:val="clear" w:color="auto" w:fill="auto"/>
            <w:noWrap/>
            <w:vAlign w:val="bottom"/>
            <w:hideMark/>
          </w:tcPr>
          <w:p w:rsidR="002B44EF" w:rsidRPr="00934296" w:rsidRDefault="002B44EF" w:rsidP="00011676">
            <w:pPr>
              <w:ind w:firstLine="0"/>
              <w:jc w:val="center"/>
              <w:rPr>
                <w:rFonts w:ascii="Calibri" w:hAnsi="Calibri"/>
                <w:bCs/>
                <w:color w:val="000000"/>
                <w:sz w:val="20"/>
                <w:szCs w:val="20"/>
              </w:rPr>
            </w:pPr>
            <w:r w:rsidRPr="00934296">
              <w:rPr>
                <w:rFonts w:ascii="Calibri" w:hAnsi="Calibri"/>
                <w:bCs/>
                <w:color w:val="000000"/>
                <w:sz w:val="20"/>
                <w:szCs w:val="20"/>
              </w:rPr>
              <w:t>2016</w:t>
            </w:r>
          </w:p>
        </w:tc>
      </w:tr>
      <w:tr w:rsidR="002B44EF" w:rsidRPr="00E7721E" w:rsidTr="00011676">
        <w:trPr>
          <w:trHeight w:val="290"/>
        </w:trPr>
        <w:tc>
          <w:tcPr>
            <w:tcW w:w="2480" w:type="dxa"/>
            <w:tcBorders>
              <w:top w:val="nil"/>
              <w:left w:val="single" w:sz="12" w:space="0" w:color="auto"/>
              <w:bottom w:val="single" w:sz="4" w:space="0" w:color="auto"/>
              <w:right w:val="single" w:sz="4" w:space="0" w:color="auto"/>
            </w:tcBorders>
            <w:shd w:val="clear" w:color="auto" w:fill="auto"/>
            <w:noWrap/>
            <w:vAlign w:val="bottom"/>
          </w:tcPr>
          <w:p w:rsidR="002B44EF" w:rsidRPr="00934296" w:rsidRDefault="002B44EF" w:rsidP="00011676">
            <w:pPr>
              <w:ind w:firstLine="0"/>
              <w:rPr>
                <w:rFonts w:ascii="Calibri" w:hAnsi="Calibri"/>
                <w:color w:val="000000"/>
                <w:sz w:val="20"/>
                <w:szCs w:val="20"/>
              </w:rPr>
            </w:pPr>
            <w:r w:rsidRPr="00934296">
              <w:rPr>
                <w:rFonts w:ascii="Calibri" w:hAnsi="Calibri"/>
                <w:color w:val="000000"/>
                <w:sz w:val="20"/>
                <w:szCs w:val="20"/>
              </w:rPr>
              <w:t>Koncentrace chovu</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tcPr>
          <w:p w:rsidR="002B44EF" w:rsidRPr="00934296" w:rsidRDefault="002B44EF" w:rsidP="00011676">
            <w:pPr>
              <w:ind w:firstLine="0"/>
              <w:jc w:val="center"/>
              <w:rPr>
                <w:rFonts w:ascii="Calibri" w:hAnsi="Calibri"/>
                <w:color w:val="000000"/>
                <w:sz w:val="20"/>
                <w:szCs w:val="20"/>
              </w:rPr>
            </w:pPr>
            <w:r w:rsidRPr="00934296">
              <w:rPr>
                <w:rFonts w:ascii="Calibri" w:hAnsi="Calibri"/>
                <w:color w:val="000000"/>
                <w:sz w:val="20"/>
                <w:szCs w:val="20"/>
              </w:rPr>
              <w:t>54</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tcPr>
          <w:p w:rsidR="002B44EF" w:rsidRPr="00934296" w:rsidRDefault="002B44EF" w:rsidP="00011676">
            <w:pPr>
              <w:ind w:firstLine="0"/>
              <w:jc w:val="center"/>
              <w:rPr>
                <w:rFonts w:ascii="Calibri" w:hAnsi="Calibri"/>
                <w:color w:val="000000"/>
                <w:sz w:val="20"/>
                <w:szCs w:val="20"/>
              </w:rPr>
            </w:pPr>
            <w:r w:rsidRPr="00934296">
              <w:rPr>
                <w:rFonts w:ascii="Calibri" w:hAnsi="Calibri"/>
                <w:color w:val="000000"/>
                <w:sz w:val="20"/>
                <w:szCs w:val="20"/>
              </w:rPr>
              <w:t>97</w:t>
            </w:r>
          </w:p>
        </w:tc>
        <w:tc>
          <w:tcPr>
            <w:tcW w:w="1012" w:type="dxa"/>
            <w:tcBorders>
              <w:top w:val="nil"/>
              <w:left w:val="nil"/>
              <w:bottom w:val="single" w:sz="4" w:space="0" w:color="auto"/>
              <w:right w:val="single" w:sz="4" w:space="0" w:color="auto"/>
            </w:tcBorders>
            <w:shd w:val="clear" w:color="auto" w:fill="auto"/>
            <w:noWrap/>
            <w:vAlign w:val="bottom"/>
          </w:tcPr>
          <w:p w:rsidR="002B44EF" w:rsidRPr="00934296" w:rsidRDefault="002B44EF" w:rsidP="00011676">
            <w:pPr>
              <w:ind w:firstLine="0"/>
              <w:jc w:val="center"/>
              <w:rPr>
                <w:rFonts w:ascii="Calibri" w:hAnsi="Calibri"/>
                <w:color w:val="000000"/>
                <w:sz w:val="20"/>
                <w:szCs w:val="20"/>
              </w:rPr>
            </w:pPr>
            <w:r w:rsidRPr="00934296">
              <w:rPr>
                <w:rFonts w:ascii="Calibri" w:hAnsi="Calibri"/>
                <w:color w:val="000000"/>
                <w:sz w:val="20"/>
                <w:szCs w:val="20"/>
              </w:rPr>
              <w:t>2 962</w:t>
            </w:r>
          </w:p>
        </w:tc>
        <w:tc>
          <w:tcPr>
            <w:tcW w:w="1220" w:type="dxa"/>
            <w:tcBorders>
              <w:top w:val="nil"/>
              <w:left w:val="nil"/>
              <w:bottom w:val="single" w:sz="4" w:space="0" w:color="auto"/>
              <w:right w:val="single" w:sz="4" w:space="0" w:color="auto"/>
            </w:tcBorders>
            <w:shd w:val="clear" w:color="auto" w:fill="auto"/>
            <w:noWrap/>
            <w:vAlign w:val="bottom"/>
          </w:tcPr>
          <w:p w:rsidR="002B44EF" w:rsidRPr="00934296" w:rsidRDefault="002B44EF" w:rsidP="00011676">
            <w:pPr>
              <w:ind w:firstLine="0"/>
              <w:jc w:val="center"/>
              <w:rPr>
                <w:rFonts w:ascii="Calibri" w:hAnsi="Calibri"/>
                <w:color w:val="000000"/>
                <w:sz w:val="20"/>
                <w:szCs w:val="20"/>
              </w:rPr>
            </w:pPr>
            <w:r w:rsidRPr="00934296">
              <w:rPr>
                <w:rFonts w:ascii="Calibri" w:hAnsi="Calibri"/>
                <w:color w:val="000000"/>
                <w:sz w:val="20"/>
                <w:szCs w:val="20"/>
              </w:rPr>
              <w:t>2 597</w:t>
            </w:r>
          </w:p>
        </w:tc>
        <w:tc>
          <w:tcPr>
            <w:tcW w:w="1020" w:type="dxa"/>
            <w:tcBorders>
              <w:top w:val="nil"/>
              <w:left w:val="nil"/>
              <w:bottom w:val="single" w:sz="4" w:space="0" w:color="auto"/>
              <w:right w:val="single" w:sz="4" w:space="0" w:color="auto"/>
            </w:tcBorders>
            <w:shd w:val="clear" w:color="auto" w:fill="auto"/>
            <w:noWrap/>
            <w:vAlign w:val="bottom"/>
          </w:tcPr>
          <w:p w:rsidR="002B44EF" w:rsidRPr="00934296" w:rsidRDefault="002B44EF" w:rsidP="00011676">
            <w:pPr>
              <w:ind w:firstLine="0"/>
              <w:jc w:val="right"/>
              <w:rPr>
                <w:rFonts w:ascii="Calibri" w:hAnsi="Calibri"/>
                <w:color w:val="000000"/>
                <w:sz w:val="20"/>
                <w:szCs w:val="20"/>
              </w:rPr>
            </w:pPr>
            <w:r w:rsidRPr="00934296">
              <w:rPr>
                <w:rFonts w:ascii="Calibri" w:hAnsi="Calibri"/>
                <w:color w:val="000000"/>
                <w:sz w:val="20"/>
                <w:szCs w:val="20"/>
              </w:rPr>
              <w:t>1 987 638</w:t>
            </w:r>
          </w:p>
        </w:tc>
        <w:tc>
          <w:tcPr>
            <w:tcW w:w="1020" w:type="dxa"/>
            <w:tcBorders>
              <w:top w:val="nil"/>
              <w:left w:val="nil"/>
              <w:bottom w:val="single" w:sz="4" w:space="0" w:color="auto"/>
              <w:right w:val="single" w:sz="12" w:space="0" w:color="auto"/>
            </w:tcBorders>
            <w:shd w:val="clear" w:color="auto" w:fill="auto"/>
            <w:noWrap/>
            <w:vAlign w:val="bottom"/>
          </w:tcPr>
          <w:p w:rsidR="002B44EF" w:rsidRPr="00934296" w:rsidRDefault="002B44EF" w:rsidP="00011676">
            <w:pPr>
              <w:ind w:firstLine="0"/>
              <w:jc w:val="right"/>
              <w:rPr>
                <w:rFonts w:ascii="Calibri" w:hAnsi="Calibri"/>
                <w:color w:val="000000"/>
                <w:sz w:val="20"/>
                <w:szCs w:val="20"/>
              </w:rPr>
            </w:pPr>
            <w:r w:rsidRPr="00934296">
              <w:rPr>
                <w:rFonts w:ascii="Calibri" w:hAnsi="Calibri"/>
                <w:color w:val="000000"/>
                <w:sz w:val="20"/>
                <w:szCs w:val="20"/>
              </w:rPr>
              <w:t>1 557 793</w:t>
            </w:r>
          </w:p>
        </w:tc>
      </w:tr>
      <w:tr w:rsidR="002B44EF" w:rsidRPr="00E7721E" w:rsidTr="00011676">
        <w:trPr>
          <w:trHeight w:val="290"/>
        </w:trPr>
        <w:tc>
          <w:tcPr>
            <w:tcW w:w="2480" w:type="dxa"/>
            <w:tcBorders>
              <w:top w:val="nil"/>
              <w:left w:val="single" w:sz="12" w:space="0" w:color="auto"/>
              <w:bottom w:val="single" w:sz="12" w:space="0" w:color="auto"/>
              <w:right w:val="single" w:sz="4" w:space="0" w:color="auto"/>
            </w:tcBorders>
            <w:shd w:val="clear" w:color="auto" w:fill="auto"/>
            <w:noWrap/>
            <w:vAlign w:val="bottom"/>
            <w:hideMark/>
          </w:tcPr>
          <w:p w:rsidR="002B44EF" w:rsidRPr="00934296" w:rsidRDefault="002B44EF" w:rsidP="00011676">
            <w:pPr>
              <w:ind w:firstLine="0"/>
              <w:jc w:val="left"/>
              <w:rPr>
                <w:rFonts w:ascii="Calibri" w:hAnsi="Calibri"/>
                <w:color w:val="000000"/>
                <w:sz w:val="20"/>
                <w:szCs w:val="20"/>
              </w:rPr>
            </w:pPr>
            <w:r w:rsidRPr="00934296">
              <w:rPr>
                <w:rFonts w:ascii="Calibri" w:hAnsi="Calibri"/>
                <w:color w:val="000000"/>
                <w:sz w:val="20"/>
                <w:szCs w:val="20"/>
              </w:rPr>
              <w:t>Porážka jatečných prasat</w:t>
            </w:r>
          </w:p>
        </w:tc>
        <w:tc>
          <w:tcPr>
            <w:tcW w:w="1134" w:type="dxa"/>
            <w:tcBorders>
              <w:top w:val="nil"/>
              <w:left w:val="nil"/>
              <w:bottom w:val="single" w:sz="12" w:space="0" w:color="auto"/>
              <w:right w:val="single" w:sz="4" w:space="0" w:color="auto"/>
            </w:tcBorders>
            <w:shd w:val="clear" w:color="auto" w:fill="D9D9D9" w:themeFill="background1" w:themeFillShade="D9"/>
            <w:noWrap/>
            <w:vAlign w:val="bottom"/>
            <w:hideMark/>
          </w:tcPr>
          <w:p w:rsidR="002B44EF" w:rsidRPr="00934296" w:rsidRDefault="002B44EF" w:rsidP="00011676">
            <w:pPr>
              <w:ind w:firstLine="0"/>
              <w:jc w:val="center"/>
              <w:rPr>
                <w:rFonts w:ascii="Calibri" w:hAnsi="Calibri"/>
                <w:color w:val="000000"/>
                <w:sz w:val="20"/>
                <w:szCs w:val="20"/>
              </w:rPr>
            </w:pPr>
            <w:r w:rsidRPr="00934296">
              <w:rPr>
                <w:rFonts w:ascii="Calibri" w:hAnsi="Calibri"/>
                <w:color w:val="000000"/>
                <w:sz w:val="20"/>
                <w:szCs w:val="20"/>
              </w:rPr>
              <w:t>326</w:t>
            </w:r>
          </w:p>
        </w:tc>
        <w:tc>
          <w:tcPr>
            <w:tcW w:w="1134" w:type="dxa"/>
            <w:tcBorders>
              <w:top w:val="nil"/>
              <w:left w:val="nil"/>
              <w:bottom w:val="single" w:sz="12" w:space="0" w:color="auto"/>
              <w:right w:val="single" w:sz="4" w:space="0" w:color="auto"/>
            </w:tcBorders>
            <w:shd w:val="clear" w:color="auto" w:fill="D9D9D9" w:themeFill="background1" w:themeFillShade="D9"/>
            <w:noWrap/>
            <w:vAlign w:val="bottom"/>
            <w:hideMark/>
          </w:tcPr>
          <w:p w:rsidR="002B44EF" w:rsidRPr="00934296" w:rsidRDefault="002B44EF" w:rsidP="00011676">
            <w:pPr>
              <w:ind w:firstLine="0"/>
              <w:jc w:val="center"/>
              <w:rPr>
                <w:rFonts w:ascii="Calibri" w:hAnsi="Calibri"/>
                <w:color w:val="000000"/>
                <w:sz w:val="20"/>
                <w:szCs w:val="20"/>
              </w:rPr>
            </w:pPr>
            <w:r w:rsidRPr="00934296">
              <w:rPr>
                <w:rFonts w:ascii="Calibri" w:hAnsi="Calibri"/>
                <w:color w:val="000000"/>
                <w:sz w:val="20"/>
                <w:szCs w:val="20"/>
              </w:rPr>
              <w:t>524</w:t>
            </w:r>
          </w:p>
        </w:tc>
        <w:tc>
          <w:tcPr>
            <w:tcW w:w="1012" w:type="dxa"/>
            <w:tcBorders>
              <w:top w:val="nil"/>
              <w:left w:val="nil"/>
              <w:bottom w:val="single" w:sz="12" w:space="0" w:color="auto"/>
              <w:right w:val="single" w:sz="4" w:space="0" w:color="auto"/>
            </w:tcBorders>
            <w:shd w:val="clear" w:color="auto" w:fill="auto"/>
            <w:noWrap/>
            <w:vAlign w:val="bottom"/>
            <w:hideMark/>
          </w:tcPr>
          <w:p w:rsidR="002B44EF" w:rsidRPr="00934296" w:rsidRDefault="002B44EF" w:rsidP="00011676">
            <w:pPr>
              <w:ind w:firstLine="0"/>
              <w:jc w:val="center"/>
              <w:rPr>
                <w:rFonts w:ascii="Calibri" w:hAnsi="Calibri"/>
                <w:color w:val="000000"/>
                <w:sz w:val="20"/>
                <w:szCs w:val="20"/>
              </w:rPr>
            </w:pPr>
            <w:r w:rsidRPr="00934296">
              <w:rPr>
                <w:rFonts w:ascii="Calibri" w:hAnsi="Calibri"/>
                <w:color w:val="000000"/>
                <w:sz w:val="20"/>
                <w:szCs w:val="20"/>
              </w:rPr>
              <w:t>196</w:t>
            </w:r>
          </w:p>
        </w:tc>
        <w:tc>
          <w:tcPr>
            <w:tcW w:w="1220" w:type="dxa"/>
            <w:tcBorders>
              <w:top w:val="nil"/>
              <w:left w:val="nil"/>
              <w:bottom w:val="single" w:sz="12" w:space="0" w:color="auto"/>
              <w:right w:val="single" w:sz="4" w:space="0" w:color="auto"/>
            </w:tcBorders>
            <w:shd w:val="clear" w:color="auto" w:fill="auto"/>
            <w:noWrap/>
            <w:vAlign w:val="bottom"/>
            <w:hideMark/>
          </w:tcPr>
          <w:p w:rsidR="002B44EF" w:rsidRPr="00934296" w:rsidRDefault="002B44EF" w:rsidP="00011676">
            <w:pPr>
              <w:ind w:firstLine="0"/>
              <w:jc w:val="center"/>
              <w:rPr>
                <w:rFonts w:ascii="Calibri" w:hAnsi="Calibri"/>
                <w:color w:val="000000"/>
                <w:sz w:val="20"/>
                <w:szCs w:val="20"/>
              </w:rPr>
            </w:pPr>
            <w:r w:rsidRPr="00934296">
              <w:rPr>
                <w:rFonts w:ascii="Calibri" w:hAnsi="Calibri"/>
                <w:color w:val="000000"/>
                <w:sz w:val="20"/>
                <w:szCs w:val="20"/>
              </w:rPr>
              <w:t>179</w:t>
            </w:r>
          </w:p>
        </w:tc>
        <w:tc>
          <w:tcPr>
            <w:tcW w:w="1020" w:type="dxa"/>
            <w:tcBorders>
              <w:top w:val="nil"/>
              <w:left w:val="nil"/>
              <w:bottom w:val="single" w:sz="12" w:space="0" w:color="auto"/>
              <w:right w:val="single" w:sz="4" w:space="0" w:color="auto"/>
            </w:tcBorders>
            <w:shd w:val="clear" w:color="auto" w:fill="auto"/>
            <w:noWrap/>
            <w:vAlign w:val="bottom"/>
            <w:hideMark/>
          </w:tcPr>
          <w:p w:rsidR="002B44EF" w:rsidRPr="00934296" w:rsidRDefault="002B44EF" w:rsidP="00011676">
            <w:pPr>
              <w:ind w:firstLine="0"/>
              <w:jc w:val="right"/>
              <w:rPr>
                <w:rFonts w:ascii="Calibri" w:hAnsi="Calibri"/>
                <w:color w:val="000000"/>
                <w:sz w:val="20"/>
                <w:szCs w:val="20"/>
              </w:rPr>
            </w:pPr>
            <w:r w:rsidRPr="00934296">
              <w:rPr>
                <w:rFonts w:ascii="Calibri" w:hAnsi="Calibri"/>
                <w:color w:val="000000"/>
                <w:sz w:val="20"/>
                <w:szCs w:val="20"/>
              </w:rPr>
              <w:t>3 187 787</w:t>
            </w:r>
          </w:p>
        </w:tc>
        <w:tc>
          <w:tcPr>
            <w:tcW w:w="1020" w:type="dxa"/>
            <w:tcBorders>
              <w:top w:val="nil"/>
              <w:left w:val="nil"/>
              <w:bottom w:val="single" w:sz="12" w:space="0" w:color="auto"/>
              <w:right w:val="single" w:sz="12" w:space="0" w:color="auto"/>
            </w:tcBorders>
            <w:shd w:val="clear" w:color="auto" w:fill="auto"/>
            <w:noWrap/>
            <w:vAlign w:val="bottom"/>
            <w:hideMark/>
          </w:tcPr>
          <w:p w:rsidR="002B44EF" w:rsidRPr="00934296" w:rsidRDefault="002B44EF" w:rsidP="00011676">
            <w:pPr>
              <w:ind w:firstLine="0"/>
              <w:jc w:val="right"/>
              <w:rPr>
                <w:rFonts w:ascii="Calibri" w:hAnsi="Calibri"/>
                <w:color w:val="000000"/>
                <w:sz w:val="20"/>
                <w:szCs w:val="20"/>
              </w:rPr>
            </w:pPr>
            <w:r w:rsidRPr="00934296">
              <w:rPr>
                <w:rFonts w:ascii="Calibri" w:hAnsi="Calibri"/>
                <w:color w:val="000000"/>
                <w:sz w:val="20"/>
                <w:szCs w:val="20"/>
              </w:rPr>
              <w:t>2 545 569</w:t>
            </w:r>
          </w:p>
        </w:tc>
      </w:tr>
    </w:tbl>
    <w:p w:rsidR="002B44EF" w:rsidRDefault="002B44EF" w:rsidP="002B44EF">
      <w:pPr>
        <w:spacing w:before="0" w:line="240" w:lineRule="atLeast"/>
        <w:ind w:firstLine="0"/>
        <w:rPr>
          <w:bCs/>
          <w:sz w:val="20"/>
          <w:szCs w:val="20"/>
        </w:rPr>
      </w:pPr>
      <w:r w:rsidRPr="00E7721E">
        <w:rPr>
          <w:rFonts w:ascii="Calibri" w:hAnsi="Calibri"/>
          <w:i/>
          <w:color w:val="000000"/>
          <w:sz w:val="18"/>
          <w:szCs w:val="18"/>
        </w:rPr>
        <w:t xml:space="preserve">Pramen: </w:t>
      </w:r>
      <w:r>
        <w:rPr>
          <w:rFonts w:ascii="Calibri" w:hAnsi="Calibri"/>
          <w:i/>
          <w:color w:val="000000"/>
          <w:sz w:val="18"/>
          <w:szCs w:val="18"/>
        </w:rPr>
        <w:t xml:space="preserve">Vvýpočet úzei podle dat </w:t>
      </w:r>
      <w:r w:rsidRPr="00E7721E">
        <w:rPr>
          <w:rFonts w:ascii="Calibri" w:hAnsi="Calibri"/>
          <w:i/>
          <w:color w:val="000000"/>
          <w:sz w:val="18"/>
          <w:szCs w:val="18"/>
        </w:rPr>
        <w:t xml:space="preserve">ČSÚ – porážky hospodářských zvířat, </w:t>
      </w:r>
    </w:p>
    <w:p w:rsidR="002B44EF" w:rsidRPr="002B44EF" w:rsidRDefault="002B44EF" w:rsidP="002B44EF">
      <w:pPr>
        <w:tabs>
          <w:tab w:val="left" w:pos="709"/>
        </w:tabs>
        <w:spacing w:before="240" w:line="240" w:lineRule="atLeast"/>
        <w:ind w:left="709" w:hanging="709"/>
        <w:rPr>
          <w:rFonts w:asciiTheme="minorHAnsi" w:hAnsiTheme="minorHAnsi"/>
          <w:b/>
          <w:sz w:val="22"/>
          <w:szCs w:val="22"/>
        </w:rPr>
      </w:pPr>
      <w:r w:rsidRPr="002B44EF">
        <w:rPr>
          <w:rFonts w:asciiTheme="minorHAnsi" w:hAnsiTheme="minorHAnsi"/>
          <w:b/>
          <w:sz w:val="22"/>
          <w:szCs w:val="22"/>
        </w:rPr>
        <w:t>Struktura podniků s chovem prasat celkem v ČR v roce 2016 (údaje k 31.12.)</w:t>
      </w:r>
    </w:p>
    <w:tbl>
      <w:tblPr>
        <w:tblW w:w="5000" w:type="pct"/>
        <w:tblCellMar>
          <w:left w:w="70" w:type="dxa"/>
          <w:right w:w="70" w:type="dxa"/>
        </w:tblCellMar>
        <w:tblLook w:val="04A0"/>
      </w:tblPr>
      <w:tblGrid>
        <w:gridCol w:w="1854"/>
        <w:gridCol w:w="1470"/>
        <w:gridCol w:w="1472"/>
        <w:gridCol w:w="1472"/>
        <w:gridCol w:w="1472"/>
        <w:gridCol w:w="1472"/>
      </w:tblGrid>
      <w:tr w:rsidR="002B44EF" w:rsidRPr="007022CC" w:rsidTr="00011676">
        <w:trPr>
          <w:trHeight w:val="360"/>
        </w:trPr>
        <w:tc>
          <w:tcPr>
            <w:tcW w:w="1006" w:type="pct"/>
            <w:vMerge w:val="restart"/>
            <w:tcBorders>
              <w:top w:val="single" w:sz="12" w:space="0" w:color="auto"/>
              <w:left w:val="single" w:sz="12" w:space="0" w:color="auto"/>
              <w:bottom w:val="single" w:sz="12" w:space="0" w:color="auto"/>
              <w:right w:val="single" w:sz="4" w:space="0" w:color="auto"/>
            </w:tcBorders>
            <w:shd w:val="clear" w:color="auto" w:fill="auto"/>
            <w:hideMark/>
          </w:tcPr>
          <w:p w:rsidR="002B44EF" w:rsidRPr="007022CC" w:rsidRDefault="002B44EF" w:rsidP="00011676">
            <w:pPr>
              <w:ind w:firstLine="0"/>
              <w:jc w:val="center"/>
              <w:rPr>
                <w:rFonts w:asciiTheme="minorHAnsi" w:hAnsiTheme="minorHAnsi" w:cs="Arial"/>
                <w:bCs/>
                <w:color w:val="000000"/>
                <w:sz w:val="20"/>
                <w:szCs w:val="20"/>
              </w:rPr>
            </w:pPr>
            <w:r w:rsidRPr="007022CC">
              <w:rPr>
                <w:rFonts w:asciiTheme="minorHAnsi" w:hAnsiTheme="minorHAnsi" w:cs="Arial"/>
                <w:bCs/>
                <w:color w:val="000000"/>
                <w:sz w:val="20"/>
                <w:szCs w:val="20"/>
              </w:rPr>
              <w:t> </w:t>
            </w:r>
          </w:p>
        </w:tc>
        <w:tc>
          <w:tcPr>
            <w:tcW w:w="798" w:type="pct"/>
            <w:vMerge w:val="restart"/>
            <w:tcBorders>
              <w:top w:val="single" w:sz="12" w:space="0" w:color="auto"/>
              <w:left w:val="single" w:sz="4" w:space="0" w:color="auto"/>
              <w:bottom w:val="single" w:sz="12" w:space="0" w:color="auto"/>
              <w:right w:val="single" w:sz="4" w:space="0" w:color="auto"/>
            </w:tcBorders>
            <w:shd w:val="clear" w:color="auto" w:fill="auto"/>
            <w:vAlign w:val="center"/>
            <w:hideMark/>
          </w:tcPr>
          <w:p w:rsidR="002B44EF" w:rsidRPr="007022CC" w:rsidRDefault="002B44EF" w:rsidP="00011676">
            <w:pPr>
              <w:spacing w:before="0" w:line="240" w:lineRule="atLeast"/>
              <w:ind w:firstLine="0"/>
              <w:jc w:val="center"/>
              <w:rPr>
                <w:rFonts w:asciiTheme="minorHAnsi" w:hAnsiTheme="minorHAnsi" w:cs="Arial"/>
                <w:bCs/>
                <w:color w:val="000000"/>
                <w:sz w:val="20"/>
                <w:szCs w:val="20"/>
              </w:rPr>
            </w:pPr>
            <w:r w:rsidRPr="007022CC">
              <w:rPr>
                <w:rFonts w:asciiTheme="minorHAnsi" w:hAnsiTheme="minorHAnsi" w:cs="Arial"/>
                <w:bCs/>
                <w:color w:val="000000"/>
                <w:sz w:val="20"/>
                <w:szCs w:val="20"/>
              </w:rPr>
              <w:t>Počet podniků</w:t>
            </w:r>
          </w:p>
        </w:tc>
        <w:tc>
          <w:tcPr>
            <w:tcW w:w="799" w:type="pct"/>
            <w:vMerge w:val="restart"/>
            <w:tcBorders>
              <w:top w:val="single" w:sz="12" w:space="0" w:color="auto"/>
              <w:left w:val="single" w:sz="4" w:space="0" w:color="auto"/>
              <w:bottom w:val="single" w:sz="12" w:space="0" w:color="auto"/>
              <w:right w:val="single" w:sz="4" w:space="0" w:color="auto"/>
            </w:tcBorders>
            <w:shd w:val="clear" w:color="auto" w:fill="auto"/>
            <w:vAlign w:val="center"/>
            <w:hideMark/>
          </w:tcPr>
          <w:p w:rsidR="002B44EF" w:rsidRPr="007022CC" w:rsidRDefault="002B44EF" w:rsidP="00011676">
            <w:pPr>
              <w:spacing w:before="0" w:line="240" w:lineRule="atLeast"/>
              <w:ind w:firstLine="0"/>
              <w:jc w:val="center"/>
              <w:rPr>
                <w:rFonts w:asciiTheme="minorHAnsi" w:hAnsiTheme="minorHAnsi" w:cs="Arial"/>
                <w:bCs/>
                <w:color w:val="000000"/>
                <w:sz w:val="20"/>
                <w:szCs w:val="20"/>
              </w:rPr>
            </w:pPr>
            <w:r w:rsidRPr="007022CC">
              <w:rPr>
                <w:rFonts w:asciiTheme="minorHAnsi" w:hAnsiTheme="minorHAnsi" w:cs="Arial"/>
                <w:bCs/>
                <w:color w:val="000000"/>
                <w:sz w:val="20"/>
                <w:szCs w:val="20"/>
              </w:rPr>
              <w:t>Počet prasat celkem</w:t>
            </w:r>
          </w:p>
          <w:p w:rsidR="002B44EF" w:rsidRPr="007022CC" w:rsidRDefault="002B44EF" w:rsidP="00011676">
            <w:pPr>
              <w:spacing w:before="0" w:line="240" w:lineRule="atLeast"/>
              <w:ind w:firstLine="0"/>
              <w:jc w:val="center"/>
              <w:rPr>
                <w:rFonts w:asciiTheme="minorHAnsi" w:hAnsiTheme="minorHAnsi" w:cs="Arial"/>
                <w:bCs/>
                <w:color w:val="000000"/>
                <w:sz w:val="20"/>
                <w:szCs w:val="20"/>
              </w:rPr>
            </w:pPr>
            <w:r w:rsidRPr="007022CC">
              <w:rPr>
                <w:rFonts w:asciiTheme="minorHAnsi" w:hAnsiTheme="minorHAnsi" w:cs="Arial"/>
                <w:bCs/>
                <w:color w:val="000000"/>
                <w:sz w:val="20"/>
                <w:szCs w:val="20"/>
              </w:rPr>
              <w:t xml:space="preserve">v ks </w:t>
            </w:r>
          </w:p>
        </w:tc>
        <w:tc>
          <w:tcPr>
            <w:tcW w:w="799" w:type="pct"/>
            <w:vMerge w:val="restart"/>
            <w:tcBorders>
              <w:top w:val="single" w:sz="12" w:space="0" w:color="auto"/>
              <w:left w:val="single" w:sz="4" w:space="0" w:color="auto"/>
              <w:bottom w:val="single" w:sz="12" w:space="0" w:color="auto"/>
              <w:right w:val="single" w:sz="4" w:space="0" w:color="auto"/>
            </w:tcBorders>
            <w:shd w:val="clear" w:color="auto" w:fill="auto"/>
            <w:vAlign w:val="center"/>
            <w:hideMark/>
          </w:tcPr>
          <w:p w:rsidR="002B44EF" w:rsidRPr="007022CC" w:rsidRDefault="002B44EF" w:rsidP="00011676">
            <w:pPr>
              <w:spacing w:before="0" w:line="240" w:lineRule="atLeast"/>
              <w:ind w:firstLine="0"/>
              <w:jc w:val="center"/>
              <w:rPr>
                <w:rFonts w:asciiTheme="minorHAnsi" w:hAnsiTheme="minorHAnsi" w:cs="Arial"/>
                <w:bCs/>
                <w:color w:val="000000"/>
                <w:sz w:val="20"/>
                <w:szCs w:val="20"/>
              </w:rPr>
            </w:pPr>
            <w:r w:rsidRPr="007022CC">
              <w:rPr>
                <w:rFonts w:asciiTheme="minorHAnsi" w:hAnsiTheme="minorHAnsi" w:cs="Arial"/>
                <w:bCs/>
                <w:color w:val="000000"/>
                <w:sz w:val="20"/>
                <w:szCs w:val="20"/>
              </w:rPr>
              <w:t xml:space="preserve">Prům. počet prasat na podnik </w:t>
            </w:r>
          </w:p>
          <w:p w:rsidR="002B44EF" w:rsidRPr="007022CC" w:rsidRDefault="002B44EF" w:rsidP="00011676">
            <w:pPr>
              <w:spacing w:before="0" w:line="240" w:lineRule="atLeast"/>
              <w:ind w:firstLine="0"/>
              <w:jc w:val="center"/>
              <w:rPr>
                <w:rFonts w:asciiTheme="minorHAnsi" w:hAnsiTheme="minorHAnsi" w:cs="Arial"/>
                <w:bCs/>
                <w:color w:val="000000"/>
                <w:sz w:val="20"/>
                <w:szCs w:val="20"/>
              </w:rPr>
            </w:pPr>
            <w:r w:rsidRPr="007022CC">
              <w:rPr>
                <w:rFonts w:asciiTheme="minorHAnsi" w:hAnsiTheme="minorHAnsi" w:cs="Arial"/>
                <w:bCs/>
                <w:color w:val="000000"/>
                <w:sz w:val="20"/>
                <w:szCs w:val="20"/>
              </w:rPr>
              <w:t>v ks</w:t>
            </w:r>
          </w:p>
        </w:tc>
        <w:tc>
          <w:tcPr>
            <w:tcW w:w="799" w:type="pct"/>
            <w:vMerge w:val="restart"/>
            <w:tcBorders>
              <w:top w:val="single" w:sz="12" w:space="0" w:color="auto"/>
              <w:left w:val="single" w:sz="4" w:space="0" w:color="auto"/>
              <w:bottom w:val="single" w:sz="12" w:space="0" w:color="auto"/>
              <w:right w:val="single" w:sz="4" w:space="0" w:color="auto"/>
            </w:tcBorders>
            <w:shd w:val="clear" w:color="auto" w:fill="auto"/>
            <w:hideMark/>
          </w:tcPr>
          <w:p w:rsidR="002B44EF" w:rsidRPr="007022CC" w:rsidRDefault="002B44EF" w:rsidP="00011676">
            <w:pPr>
              <w:spacing w:before="0" w:line="240" w:lineRule="atLeast"/>
              <w:ind w:firstLine="0"/>
              <w:jc w:val="center"/>
              <w:rPr>
                <w:rFonts w:asciiTheme="minorHAnsi" w:hAnsiTheme="minorHAnsi" w:cs="Arial"/>
                <w:bCs/>
                <w:color w:val="000000"/>
                <w:sz w:val="20"/>
                <w:szCs w:val="20"/>
              </w:rPr>
            </w:pPr>
            <w:r w:rsidRPr="007022CC">
              <w:rPr>
                <w:rFonts w:asciiTheme="minorHAnsi" w:hAnsiTheme="minorHAnsi" w:cs="Arial"/>
                <w:bCs/>
                <w:color w:val="000000"/>
                <w:sz w:val="20"/>
                <w:szCs w:val="20"/>
              </w:rPr>
              <w:t>Podíl prasat na podnik z celk. počtu chovaných</w:t>
            </w:r>
          </w:p>
          <w:p w:rsidR="002B44EF" w:rsidRPr="007022CC" w:rsidRDefault="002B44EF" w:rsidP="00011676">
            <w:pPr>
              <w:spacing w:before="0" w:line="240" w:lineRule="atLeast"/>
              <w:ind w:firstLine="0"/>
              <w:jc w:val="center"/>
              <w:rPr>
                <w:rFonts w:asciiTheme="minorHAnsi" w:hAnsiTheme="minorHAnsi" w:cs="Arial"/>
                <w:bCs/>
                <w:color w:val="000000"/>
                <w:sz w:val="20"/>
                <w:szCs w:val="20"/>
              </w:rPr>
            </w:pPr>
            <w:r w:rsidRPr="007022CC">
              <w:rPr>
                <w:rFonts w:asciiTheme="minorHAnsi" w:hAnsiTheme="minorHAnsi" w:cs="Arial"/>
                <w:bCs/>
                <w:color w:val="000000"/>
                <w:sz w:val="20"/>
                <w:szCs w:val="20"/>
              </w:rPr>
              <w:t>v %</w:t>
            </w:r>
          </w:p>
        </w:tc>
        <w:tc>
          <w:tcPr>
            <w:tcW w:w="799" w:type="pct"/>
            <w:vMerge w:val="restart"/>
            <w:tcBorders>
              <w:top w:val="single" w:sz="12" w:space="0" w:color="auto"/>
              <w:left w:val="single" w:sz="4" w:space="0" w:color="auto"/>
              <w:bottom w:val="single" w:sz="12" w:space="0" w:color="auto"/>
              <w:right w:val="single" w:sz="12" w:space="0" w:color="auto"/>
            </w:tcBorders>
            <w:shd w:val="clear" w:color="auto" w:fill="auto"/>
            <w:vAlign w:val="center"/>
            <w:hideMark/>
          </w:tcPr>
          <w:p w:rsidR="002B44EF" w:rsidRPr="007022CC" w:rsidRDefault="002B44EF" w:rsidP="00011676">
            <w:pPr>
              <w:spacing w:before="0" w:line="240" w:lineRule="atLeast"/>
              <w:ind w:firstLine="0"/>
              <w:jc w:val="center"/>
              <w:rPr>
                <w:rFonts w:asciiTheme="minorHAnsi" w:hAnsiTheme="minorHAnsi" w:cs="Arial"/>
                <w:bCs/>
                <w:color w:val="000000"/>
                <w:sz w:val="20"/>
                <w:szCs w:val="20"/>
              </w:rPr>
            </w:pPr>
            <w:r w:rsidRPr="007022CC">
              <w:rPr>
                <w:rFonts w:asciiTheme="minorHAnsi" w:hAnsiTheme="minorHAnsi" w:cs="Arial"/>
                <w:bCs/>
                <w:color w:val="000000"/>
                <w:sz w:val="20"/>
                <w:szCs w:val="20"/>
              </w:rPr>
              <w:t>Podíl podniků z celkového počtu v %</w:t>
            </w:r>
          </w:p>
        </w:tc>
      </w:tr>
      <w:tr w:rsidR="002B44EF" w:rsidRPr="007022CC" w:rsidTr="00011676">
        <w:trPr>
          <w:trHeight w:val="619"/>
        </w:trPr>
        <w:tc>
          <w:tcPr>
            <w:tcW w:w="1006" w:type="pct"/>
            <w:vMerge/>
            <w:tcBorders>
              <w:top w:val="single" w:sz="4" w:space="0" w:color="auto"/>
              <w:left w:val="single" w:sz="12" w:space="0" w:color="auto"/>
              <w:bottom w:val="single" w:sz="12" w:space="0" w:color="auto"/>
              <w:right w:val="single" w:sz="4" w:space="0" w:color="auto"/>
            </w:tcBorders>
            <w:shd w:val="clear" w:color="auto" w:fill="auto"/>
            <w:vAlign w:val="center"/>
            <w:hideMark/>
          </w:tcPr>
          <w:p w:rsidR="002B44EF" w:rsidRPr="007022CC" w:rsidRDefault="002B44EF" w:rsidP="00011676">
            <w:pPr>
              <w:ind w:firstLine="0"/>
              <w:rPr>
                <w:rFonts w:asciiTheme="minorHAnsi" w:hAnsiTheme="minorHAnsi" w:cs="Arial"/>
                <w:bCs/>
                <w:color w:val="000000"/>
                <w:sz w:val="20"/>
                <w:szCs w:val="20"/>
              </w:rPr>
            </w:pPr>
          </w:p>
        </w:tc>
        <w:tc>
          <w:tcPr>
            <w:tcW w:w="798" w:type="pct"/>
            <w:vMerge/>
            <w:tcBorders>
              <w:top w:val="single" w:sz="4" w:space="0" w:color="auto"/>
              <w:left w:val="single" w:sz="4" w:space="0" w:color="auto"/>
              <w:bottom w:val="single" w:sz="12" w:space="0" w:color="auto"/>
              <w:right w:val="single" w:sz="4" w:space="0" w:color="auto"/>
            </w:tcBorders>
            <w:shd w:val="clear" w:color="auto" w:fill="auto"/>
            <w:vAlign w:val="center"/>
            <w:hideMark/>
          </w:tcPr>
          <w:p w:rsidR="002B44EF" w:rsidRPr="007022CC" w:rsidRDefault="002B44EF" w:rsidP="00011676">
            <w:pPr>
              <w:spacing w:before="0" w:line="240" w:lineRule="atLeast"/>
              <w:ind w:firstLine="0"/>
              <w:rPr>
                <w:rFonts w:asciiTheme="minorHAnsi" w:hAnsiTheme="minorHAnsi" w:cs="Arial"/>
                <w:bCs/>
                <w:color w:val="000000"/>
                <w:sz w:val="20"/>
                <w:szCs w:val="20"/>
              </w:rPr>
            </w:pPr>
          </w:p>
        </w:tc>
        <w:tc>
          <w:tcPr>
            <w:tcW w:w="799" w:type="pct"/>
            <w:vMerge/>
            <w:tcBorders>
              <w:top w:val="single" w:sz="4" w:space="0" w:color="auto"/>
              <w:left w:val="single" w:sz="4" w:space="0" w:color="auto"/>
              <w:bottom w:val="single" w:sz="12" w:space="0" w:color="auto"/>
              <w:right w:val="single" w:sz="4" w:space="0" w:color="auto"/>
            </w:tcBorders>
            <w:shd w:val="clear" w:color="auto" w:fill="auto"/>
            <w:vAlign w:val="center"/>
            <w:hideMark/>
          </w:tcPr>
          <w:p w:rsidR="002B44EF" w:rsidRPr="007022CC" w:rsidRDefault="002B44EF" w:rsidP="00011676">
            <w:pPr>
              <w:spacing w:before="0" w:line="240" w:lineRule="atLeast"/>
              <w:ind w:firstLine="0"/>
              <w:rPr>
                <w:rFonts w:asciiTheme="minorHAnsi" w:hAnsiTheme="minorHAnsi" w:cs="Arial"/>
                <w:bCs/>
                <w:color w:val="000000"/>
                <w:sz w:val="20"/>
                <w:szCs w:val="20"/>
              </w:rPr>
            </w:pPr>
          </w:p>
        </w:tc>
        <w:tc>
          <w:tcPr>
            <w:tcW w:w="799" w:type="pct"/>
            <w:vMerge/>
            <w:tcBorders>
              <w:top w:val="single" w:sz="4" w:space="0" w:color="auto"/>
              <w:left w:val="single" w:sz="4" w:space="0" w:color="auto"/>
              <w:bottom w:val="single" w:sz="12" w:space="0" w:color="auto"/>
              <w:right w:val="single" w:sz="4" w:space="0" w:color="auto"/>
            </w:tcBorders>
            <w:shd w:val="clear" w:color="auto" w:fill="auto"/>
            <w:vAlign w:val="center"/>
            <w:hideMark/>
          </w:tcPr>
          <w:p w:rsidR="002B44EF" w:rsidRPr="007022CC" w:rsidRDefault="002B44EF" w:rsidP="00011676">
            <w:pPr>
              <w:spacing w:before="0" w:line="240" w:lineRule="atLeast"/>
              <w:ind w:firstLine="0"/>
              <w:rPr>
                <w:rFonts w:asciiTheme="minorHAnsi" w:hAnsiTheme="minorHAnsi" w:cs="Arial"/>
                <w:bCs/>
                <w:color w:val="000000"/>
                <w:sz w:val="20"/>
                <w:szCs w:val="20"/>
              </w:rPr>
            </w:pPr>
          </w:p>
        </w:tc>
        <w:tc>
          <w:tcPr>
            <w:tcW w:w="799" w:type="pct"/>
            <w:vMerge/>
            <w:tcBorders>
              <w:top w:val="single" w:sz="4" w:space="0" w:color="auto"/>
              <w:left w:val="single" w:sz="4" w:space="0" w:color="auto"/>
              <w:bottom w:val="single" w:sz="12" w:space="0" w:color="auto"/>
              <w:right w:val="single" w:sz="4" w:space="0" w:color="auto"/>
            </w:tcBorders>
            <w:shd w:val="clear" w:color="auto" w:fill="auto"/>
            <w:vAlign w:val="center"/>
            <w:hideMark/>
          </w:tcPr>
          <w:p w:rsidR="002B44EF" w:rsidRPr="007022CC" w:rsidRDefault="002B44EF" w:rsidP="00011676">
            <w:pPr>
              <w:spacing w:before="0" w:line="240" w:lineRule="atLeast"/>
              <w:ind w:firstLine="0"/>
              <w:rPr>
                <w:rFonts w:asciiTheme="minorHAnsi" w:hAnsiTheme="minorHAnsi" w:cs="Arial"/>
                <w:bCs/>
                <w:color w:val="000000"/>
                <w:sz w:val="20"/>
                <w:szCs w:val="20"/>
              </w:rPr>
            </w:pPr>
          </w:p>
        </w:tc>
        <w:tc>
          <w:tcPr>
            <w:tcW w:w="799" w:type="pct"/>
            <w:vMerge/>
            <w:tcBorders>
              <w:top w:val="single" w:sz="4" w:space="0" w:color="auto"/>
              <w:left w:val="single" w:sz="4" w:space="0" w:color="auto"/>
              <w:bottom w:val="single" w:sz="12" w:space="0" w:color="auto"/>
              <w:right w:val="single" w:sz="12" w:space="0" w:color="auto"/>
            </w:tcBorders>
            <w:shd w:val="clear" w:color="auto" w:fill="auto"/>
            <w:vAlign w:val="center"/>
            <w:hideMark/>
          </w:tcPr>
          <w:p w:rsidR="002B44EF" w:rsidRPr="007022CC" w:rsidRDefault="002B44EF" w:rsidP="00011676">
            <w:pPr>
              <w:spacing w:before="0" w:line="240" w:lineRule="atLeast"/>
              <w:ind w:firstLine="0"/>
              <w:rPr>
                <w:rFonts w:asciiTheme="minorHAnsi" w:hAnsiTheme="minorHAnsi" w:cs="Arial"/>
                <w:bCs/>
                <w:color w:val="000000"/>
                <w:sz w:val="20"/>
                <w:szCs w:val="20"/>
              </w:rPr>
            </w:pPr>
          </w:p>
        </w:tc>
      </w:tr>
      <w:tr w:rsidR="002B44EF" w:rsidRPr="007022CC" w:rsidTr="00011676">
        <w:trPr>
          <w:trHeight w:val="255"/>
        </w:trPr>
        <w:tc>
          <w:tcPr>
            <w:tcW w:w="1006"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2B44EF" w:rsidRPr="007022CC" w:rsidRDefault="002B44EF" w:rsidP="00011676">
            <w:pPr>
              <w:spacing w:before="0" w:line="240" w:lineRule="atLeast"/>
              <w:ind w:firstLine="0"/>
              <w:rPr>
                <w:rFonts w:asciiTheme="minorHAnsi" w:hAnsiTheme="minorHAnsi" w:cs="Arial"/>
                <w:sz w:val="20"/>
                <w:szCs w:val="20"/>
              </w:rPr>
            </w:pPr>
            <w:r w:rsidRPr="007022CC">
              <w:rPr>
                <w:rFonts w:asciiTheme="minorHAnsi" w:hAnsiTheme="minorHAnsi" w:cs="Arial"/>
                <w:sz w:val="20"/>
                <w:szCs w:val="20"/>
              </w:rPr>
              <w:t>1 - 100 ks</w:t>
            </w:r>
          </w:p>
        </w:tc>
        <w:tc>
          <w:tcPr>
            <w:tcW w:w="798" w:type="pct"/>
            <w:tcBorders>
              <w:top w:val="single" w:sz="12" w:space="0" w:color="auto"/>
              <w:left w:val="nil"/>
              <w:bottom w:val="single" w:sz="4" w:space="0" w:color="auto"/>
              <w:right w:val="single" w:sz="4" w:space="0" w:color="auto"/>
            </w:tcBorders>
            <w:shd w:val="clear" w:color="auto" w:fill="auto"/>
            <w:noWrap/>
            <w:vAlign w:val="bottom"/>
            <w:hideMark/>
          </w:tcPr>
          <w:p w:rsidR="002B44EF" w:rsidRPr="007022CC" w:rsidRDefault="002B44EF" w:rsidP="00011676">
            <w:pPr>
              <w:spacing w:before="0" w:line="240" w:lineRule="atLeast"/>
              <w:ind w:right="390" w:firstLine="0"/>
              <w:jc w:val="right"/>
              <w:rPr>
                <w:rFonts w:asciiTheme="minorHAnsi" w:hAnsiTheme="minorHAnsi" w:cs="Arial"/>
                <w:sz w:val="20"/>
                <w:szCs w:val="20"/>
              </w:rPr>
            </w:pPr>
            <w:r w:rsidRPr="007022CC">
              <w:rPr>
                <w:rFonts w:asciiTheme="minorHAnsi" w:hAnsiTheme="minorHAnsi" w:cs="Arial"/>
                <w:sz w:val="20"/>
                <w:szCs w:val="20"/>
              </w:rPr>
              <w:t>2 067</w:t>
            </w:r>
          </w:p>
        </w:tc>
        <w:tc>
          <w:tcPr>
            <w:tcW w:w="799" w:type="pct"/>
            <w:tcBorders>
              <w:top w:val="single" w:sz="12" w:space="0" w:color="auto"/>
              <w:left w:val="nil"/>
              <w:bottom w:val="single" w:sz="4" w:space="0" w:color="auto"/>
              <w:right w:val="single" w:sz="4" w:space="0" w:color="auto"/>
            </w:tcBorders>
            <w:shd w:val="clear" w:color="auto" w:fill="auto"/>
            <w:noWrap/>
            <w:vAlign w:val="bottom"/>
            <w:hideMark/>
          </w:tcPr>
          <w:p w:rsidR="002B44EF" w:rsidRPr="007022CC" w:rsidRDefault="002B44EF" w:rsidP="00011676">
            <w:pPr>
              <w:spacing w:before="0" w:line="240" w:lineRule="atLeast"/>
              <w:ind w:right="390" w:firstLine="0"/>
              <w:jc w:val="right"/>
              <w:rPr>
                <w:rFonts w:asciiTheme="minorHAnsi" w:hAnsiTheme="minorHAnsi" w:cs="Arial"/>
                <w:sz w:val="20"/>
                <w:szCs w:val="20"/>
              </w:rPr>
            </w:pPr>
            <w:r w:rsidRPr="007022CC">
              <w:rPr>
                <w:rFonts w:asciiTheme="minorHAnsi" w:hAnsiTheme="minorHAnsi" w:cs="Arial"/>
                <w:sz w:val="20"/>
                <w:szCs w:val="20"/>
              </w:rPr>
              <w:t>35 834</w:t>
            </w:r>
          </w:p>
        </w:tc>
        <w:tc>
          <w:tcPr>
            <w:tcW w:w="799" w:type="pct"/>
            <w:tcBorders>
              <w:top w:val="single" w:sz="12" w:space="0" w:color="auto"/>
              <w:left w:val="nil"/>
              <w:bottom w:val="single" w:sz="4" w:space="0" w:color="auto"/>
              <w:right w:val="single" w:sz="4" w:space="0" w:color="auto"/>
            </w:tcBorders>
            <w:shd w:val="clear" w:color="auto" w:fill="auto"/>
            <w:noWrap/>
            <w:vAlign w:val="bottom"/>
            <w:hideMark/>
          </w:tcPr>
          <w:p w:rsidR="002B44EF" w:rsidRPr="007022CC" w:rsidRDefault="002B44EF" w:rsidP="00011676">
            <w:pPr>
              <w:spacing w:before="0" w:line="240" w:lineRule="atLeast"/>
              <w:ind w:right="390" w:firstLine="0"/>
              <w:jc w:val="right"/>
              <w:rPr>
                <w:rFonts w:asciiTheme="minorHAnsi" w:hAnsiTheme="minorHAnsi" w:cs="Arial"/>
                <w:sz w:val="20"/>
                <w:szCs w:val="20"/>
              </w:rPr>
            </w:pPr>
            <w:r w:rsidRPr="007022CC">
              <w:rPr>
                <w:rFonts w:asciiTheme="minorHAnsi" w:hAnsiTheme="minorHAnsi" w:cs="Arial"/>
                <w:sz w:val="20"/>
                <w:szCs w:val="20"/>
              </w:rPr>
              <w:t>17</w:t>
            </w:r>
          </w:p>
        </w:tc>
        <w:tc>
          <w:tcPr>
            <w:tcW w:w="799" w:type="pct"/>
            <w:tcBorders>
              <w:top w:val="single" w:sz="12" w:space="0" w:color="auto"/>
              <w:left w:val="nil"/>
              <w:bottom w:val="single" w:sz="4" w:space="0" w:color="auto"/>
              <w:right w:val="single" w:sz="4" w:space="0" w:color="auto"/>
            </w:tcBorders>
            <w:shd w:val="clear" w:color="auto" w:fill="auto"/>
            <w:noWrap/>
            <w:vAlign w:val="bottom"/>
            <w:hideMark/>
          </w:tcPr>
          <w:p w:rsidR="002B44EF" w:rsidRPr="007022CC" w:rsidRDefault="002B44EF" w:rsidP="00011676">
            <w:pPr>
              <w:spacing w:before="0" w:line="240" w:lineRule="atLeast"/>
              <w:ind w:right="390" w:firstLine="0"/>
              <w:jc w:val="right"/>
              <w:rPr>
                <w:rFonts w:asciiTheme="minorHAnsi" w:hAnsiTheme="minorHAnsi" w:cs="Arial"/>
                <w:sz w:val="20"/>
                <w:szCs w:val="20"/>
              </w:rPr>
            </w:pPr>
            <w:r w:rsidRPr="007022CC">
              <w:rPr>
                <w:rFonts w:asciiTheme="minorHAnsi" w:hAnsiTheme="minorHAnsi" w:cs="Arial"/>
                <w:sz w:val="20"/>
                <w:szCs w:val="20"/>
              </w:rPr>
              <w:t>2,3</w:t>
            </w:r>
          </w:p>
        </w:tc>
        <w:tc>
          <w:tcPr>
            <w:tcW w:w="799" w:type="pct"/>
            <w:tcBorders>
              <w:top w:val="single" w:sz="12" w:space="0" w:color="auto"/>
              <w:left w:val="nil"/>
              <w:bottom w:val="single" w:sz="4" w:space="0" w:color="auto"/>
              <w:right w:val="single" w:sz="12" w:space="0" w:color="auto"/>
            </w:tcBorders>
            <w:shd w:val="clear" w:color="auto" w:fill="auto"/>
            <w:noWrap/>
            <w:vAlign w:val="bottom"/>
            <w:hideMark/>
          </w:tcPr>
          <w:p w:rsidR="002B44EF" w:rsidRPr="007022CC" w:rsidRDefault="002B44EF" w:rsidP="00011676">
            <w:pPr>
              <w:spacing w:before="0" w:line="240" w:lineRule="atLeast"/>
              <w:ind w:right="390" w:firstLine="0"/>
              <w:jc w:val="right"/>
              <w:rPr>
                <w:rFonts w:asciiTheme="minorHAnsi" w:hAnsiTheme="minorHAnsi" w:cs="Arial"/>
                <w:sz w:val="20"/>
                <w:szCs w:val="20"/>
              </w:rPr>
            </w:pPr>
            <w:r w:rsidRPr="007022CC">
              <w:rPr>
                <w:rFonts w:asciiTheme="minorHAnsi" w:hAnsiTheme="minorHAnsi" w:cs="Arial"/>
                <w:sz w:val="20"/>
                <w:szCs w:val="20"/>
              </w:rPr>
              <w:t>79,6</w:t>
            </w:r>
          </w:p>
        </w:tc>
      </w:tr>
      <w:tr w:rsidR="002B44EF" w:rsidRPr="007022CC" w:rsidTr="00011676">
        <w:trPr>
          <w:trHeight w:val="255"/>
        </w:trPr>
        <w:tc>
          <w:tcPr>
            <w:tcW w:w="1006" w:type="pct"/>
            <w:tcBorders>
              <w:top w:val="nil"/>
              <w:left w:val="single" w:sz="12" w:space="0" w:color="auto"/>
              <w:bottom w:val="single" w:sz="4" w:space="0" w:color="auto"/>
              <w:right w:val="single" w:sz="4" w:space="0" w:color="auto"/>
            </w:tcBorders>
            <w:shd w:val="clear" w:color="auto" w:fill="auto"/>
            <w:noWrap/>
            <w:vAlign w:val="bottom"/>
            <w:hideMark/>
          </w:tcPr>
          <w:p w:rsidR="002B44EF" w:rsidRPr="007022CC" w:rsidRDefault="002B44EF" w:rsidP="00011676">
            <w:pPr>
              <w:spacing w:before="0" w:line="240" w:lineRule="atLeast"/>
              <w:ind w:firstLine="0"/>
              <w:rPr>
                <w:rFonts w:asciiTheme="minorHAnsi" w:hAnsiTheme="minorHAnsi" w:cs="Arial"/>
                <w:sz w:val="20"/>
                <w:szCs w:val="20"/>
              </w:rPr>
            </w:pPr>
            <w:r w:rsidRPr="007022CC">
              <w:rPr>
                <w:rFonts w:asciiTheme="minorHAnsi" w:hAnsiTheme="minorHAnsi" w:cs="Arial"/>
                <w:sz w:val="20"/>
                <w:szCs w:val="20"/>
              </w:rPr>
              <w:t>101 - 500 ks</w:t>
            </w:r>
          </w:p>
        </w:tc>
        <w:tc>
          <w:tcPr>
            <w:tcW w:w="798" w:type="pct"/>
            <w:tcBorders>
              <w:top w:val="nil"/>
              <w:left w:val="nil"/>
              <w:bottom w:val="single" w:sz="4" w:space="0" w:color="auto"/>
              <w:right w:val="single" w:sz="4" w:space="0" w:color="auto"/>
            </w:tcBorders>
            <w:shd w:val="clear" w:color="auto" w:fill="auto"/>
            <w:noWrap/>
            <w:vAlign w:val="bottom"/>
            <w:hideMark/>
          </w:tcPr>
          <w:p w:rsidR="002B44EF" w:rsidRPr="007022CC" w:rsidRDefault="002B44EF" w:rsidP="00011676">
            <w:pPr>
              <w:spacing w:before="0" w:line="240" w:lineRule="atLeast"/>
              <w:ind w:right="390" w:firstLine="0"/>
              <w:jc w:val="right"/>
              <w:rPr>
                <w:rFonts w:asciiTheme="minorHAnsi" w:hAnsiTheme="minorHAnsi" w:cs="Arial"/>
                <w:sz w:val="20"/>
                <w:szCs w:val="20"/>
              </w:rPr>
            </w:pPr>
            <w:r w:rsidRPr="007022CC">
              <w:rPr>
                <w:rFonts w:asciiTheme="minorHAnsi" w:hAnsiTheme="minorHAnsi" w:cs="Arial"/>
                <w:sz w:val="20"/>
                <w:szCs w:val="20"/>
              </w:rPr>
              <w:t>243</w:t>
            </w:r>
          </w:p>
        </w:tc>
        <w:tc>
          <w:tcPr>
            <w:tcW w:w="799" w:type="pct"/>
            <w:tcBorders>
              <w:top w:val="nil"/>
              <w:left w:val="nil"/>
              <w:bottom w:val="single" w:sz="4" w:space="0" w:color="auto"/>
              <w:right w:val="single" w:sz="4" w:space="0" w:color="auto"/>
            </w:tcBorders>
            <w:shd w:val="clear" w:color="auto" w:fill="auto"/>
            <w:noWrap/>
            <w:vAlign w:val="bottom"/>
            <w:hideMark/>
          </w:tcPr>
          <w:p w:rsidR="002B44EF" w:rsidRPr="007022CC" w:rsidRDefault="002B44EF" w:rsidP="00011676">
            <w:pPr>
              <w:spacing w:before="0" w:line="240" w:lineRule="atLeast"/>
              <w:ind w:right="390" w:firstLine="0"/>
              <w:jc w:val="right"/>
              <w:rPr>
                <w:rFonts w:asciiTheme="minorHAnsi" w:hAnsiTheme="minorHAnsi" w:cs="Arial"/>
                <w:sz w:val="20"/>
                <w:szCs w:val="20"/>
              </w:rPr>
            </w:pPr>
            <w:r w:rsidRPr="007022CC">
              <w:rPr>
                <w:rFonts w:asciiTheme="minorHAnsi" w:hAnsiTheme="minorHAnsi" w:cs="Arial"/>
                <w:sz w:val="20"/>
                <w:szCs w:val="20"/>
              </w:rPr>
              <w:t>57 869</w:t>
            </w:r>
          </w:p>
        </w:tc>
        <w:tc>
          <w:tcPr>
            <w:tcW w:w="799" w:type="pct"/>
            <w:tcBorders>
              <w:top w:val="nil"/>
              <w:left w:val="nil"/>
              <w:bottom w:val="single" w:sz="4" w:space="0" w:color="auto"/>
              <w:right w:val="single" w:sz="4" w:space="0" w:color="auto"/>
            </w:tcBorders>
            <w:shd w:val="clear" w:color="auto" w:fill="auto"/>
            <w:noWrap/>
            <w:vAlign w:val="bottom"/>
            <w:hideMark/>
          </w:tcPr>
          <w:p w:rsidR="002B44EF" w:rsidRPr="007022CC" w:rsidRDefault="002B44EF" w:rsidP="00011676">
            <w:pPr>
              <w:spacing w:before="0" w:line="240" w:lineRule="atLeast"/>
              <w:ind w:right="390" w:firstLine="0"/>
              <w:jc w:val="right"/>
              <w:rPr>
                <w:rFonts w:asciiTheme="minorHAnsi" w:hAnsiTheme="minorHAnsi" w:cs="Arial"/>
                <w:sz w:val="20"/>
                <w:szCs w:val="20"/>
              </w:rPr>
            </w:pPr>
            <w:r w:rsidRPr="007022CC">
              <w:rPr>
                <w:rFonts w:asciiTheme="minorHAnsi" w:hAnsiTheme="minorHAnsi" w:cs="Arial"/>
                <w:sz w:val="20"/>
                <w:szCs w:val="20"/>
              </w:rPr>
              <w:t>238</w:t>
            </w:r>
          </w:p>
        </w:tc>
        <w:tc>
          <w:tcPr>
            <w:tcW w:w="799" w:type="pct"/>
            <w:tcBorders>
              <w:top w:val="nil"/>
              <w:left w:val="nil"/>
              <w:bottom w:val="single" w:sz="4" w:space="0" w:color="auto"/>
              <w:right w:val="single" w:sz="4" w:space="0" w:color="auto"/>
            </w:tcBorders>
            <w:shd w:val="clear" w:color="auto" w:fill="auto"/>
            <w:noWrap/>
            <w:vAlign w:val="bottom"/>
            <w:hideMark/>
          </w:tcPr>
          <w:p w:rsidR="002B44EF" w:rsidRPr="007022CC" w:rsidRDefault="002B44EF" w:rsidP="00011676">
            <w:pPr>
              <w:spacing w:before="0" w:line="240" w:lineRule="atLeast"/>
              <w:ind w:right="390" w:firstLine="0"/>
              <w:jc w:val="right"/>
              <w:rPr>
                <w:rFonts w:asciiTheme="minorHAnsi" w:hAnsiTheme="minorHAnsi" w:cs="Arial"/>
                <w:sz w:val="20"/>
                <w:szCs w:val="20"/>
              </w:rPr>
            </w:pPr>
            <w:r w:rsidRPr="007022CC">
              <w:rPr>
                <w:rFonts w:asciiTheme="minorHAnsi" w:hAnsiTheme="minorHAnsi" w:cs="Arial"/>
                <w:sz w:val="20"/>
                <w:szCs w:val="20"/>
              </w:rPr>
              <w:t>3,7</w:t>
            </w:r>
          </w:p>
        </w:tc>
        <w:tc>
          <w:tcPr>
            <w:tcW w:w="799" w:type="pct"/>
            <w:tcBorders>
              <w:top w:val="nil"/>
              <w:left w:val="nil"/>
              <w:bottom w:val="single" w:sz="4" w:space="0" w:color="auto"/>
              <w:right w:val="single" w:sz="12" w:space="0" w:color="auto"/>
            </w:tcBorders>
            <w:shd w:val="clear" w:color="auto" w:fill="auto"/>
            <w:noWrap/>
            <w:vAlign w:val="bottom"/>
            <w:hideMark/>
          </w:tcPr>
          <w:p w:rsidR="002B44EF" w:rsidRPr="007022CC" w:rsidRDefault="002B44EF" w:rsidP="00011676">
            <w:pPr>
              <w:spacing w:before="0" w:line="240" w:lineRule="atLeast"/>
              <w:ind w:right="390" w:firstLine="0"/>
              <w:jc w:val="right"/>
              <w:rPr>
                <w:rFonts w:asciiTheme="minorHAnsi" w:hAnsiTheme="minorHAnsi" w:cs="Arial"/>
                <w:sz w:val="20"/>
                <w:szCs w:val="20"/>
              </w:rPr>
            </w:pPr>
            <w:r w:rsidRPr="007022CC">
              <w:rPr>
                <w:rFonts w:asciiTheme="minorHAnsi" w:hAnsiTheme="minorHAnsi" w:cs="Arial"/>
                <w:sz w:val="20"/>
                <w:szCs w:val="20"/>
              </w:rPr>
              <w:t>9,4</w:t>
            </w:r>
          </w:p>
        </w:tc>
      </w:tr>
      <w:tr w:rsidR="002B44EF" w:rsidRPr="007022CC" w:rsidTr="00011676">
        <w:trPr>
          <w:trHeight w:val="255"/>
        </w:trPr>
        <w:tc>
          <w:tcPr>
            <w:tcW w:w="1006" w:type="pct"/>
            <w:tcBorders>
              <w:top w:val="nil"/>
              <w:left w:val="single" w:sz="12" w:space="0" w:color="auto"/>
              <w:bottom w:val="single" w:sz="4" w:space="0" w:color="auto"/>
              <w:right w:val="single" w:sz="4" w:space="0" w:color="auto"/>
            </w:tcBorders>
            <w:shd w:val="clear" w:color="auto" w:fill="auto"/>
            <w:noWrap/>
            <w:vAlign w:val="bottom"/>
            <w:hideMark/>
          </w:tcPr>
          <w:p w:rsidR="002B44EF" w:rsidRPr="007022CC" w:rsidRDefault="002B44EF" w:rsidP="00011676">
            <w:pPr>
              <w:spacing w:before="0" w:line="240" w:lineRule="atLeast"/>
              <w:ind w:firstLine="0"/>
              <w:rPr>
                <w:rFonts w:asciiTheme="minorHAnsi" w:hAnsiTheme="minorHAnsi" w:cs="Arial"/>
                <w:sz w:val="20"/>
                <w:szCs w:val="20"/>
              </w:rPr>
            </w:pPr>
            <w:r w:rsidRPr="007022CC">
              <w:rPr>
                <w:rFonts w:asciiTheme="minorHAnsi" w:hAnsiTheme="minorHAnsi" w:cs="Arial"/>
                <w:sz w:val="20"/>
                <w:szCs w:val="20"/>
              </w:rPr>
              <w:t>501 - 2 000 ks</w:t>
            </w:r>
          </w:p>
        </w:tc>
        <w:tc>
          <w:tcPr>
            <w:tcW w:w="798" w:type="pct"/>
            <w:tcBorders>
              <w:top w:val="nil"/>
              <w:left w:val="nil"/>
              <w:bottom w:val="single" w:sz="4" w:space="0" w:color="auto"/>
              <w:right w:val="single" w:sz="4" w:space="0" w:color="auto"/>
            </w:tcBorders>
            <w:shd w:val="clear" w:color="auto" w:fill="auto"/>
            <w:noWrap/>
            <w:vAlign w:val="bottom"/>
            <w:hideMark/>
          </w:tcPr>
          <w:p w:rsidR="002B44EF" w:rsidRPr="007022CC" w:rsidRDefault="002B44EF" w:rsidP="00011676">
            <w:pPr>
              <w:spacing w:before="0" w:line="240" w:lineRule="atLeast"/>
              <w:ind w:right="390" w:firstLine="0"/>
              <w:jc w:val="right"/>
              <w:rPr>
                <w:rFonts w:asciiTheme="minorHAnsi" w:hAnsiTheme="minorHAnsi" w:cs="Arial"/>
                <w:sz w:val="20"/>
                <w:szCs w:val="20"/>
              </w:rPr>
            </w:pPr>
            <w:r w:rsidRPr="007022CC">
              <w:rPr>
                <w:rFonts w:asciiTheme="minorHAnsi" w:hAnsiTheme="minorHAnsi" w:cs="Arial"/>
                <w:sz w:val="20"/>
                <w:szCs w:val="20"/>
              </w:rPr>
              <w:t>138</w:t>
            </w:r>
          </w:p>
        </w:tc>
        <w:tc>
          <w:tcPr>
            <w:tcW w:w="799" w:type="pct"/>
            <w:tcBorders>
              <w:top w:val="nil"/>
              <w:left w:val="nil"/>
              <w:bottom w:val="single" w:sz="4" w:space="0" w:color="auto"/>
              <w:right w:val="single" w:sz="4" w:space="0" w:color="auto"/>
            </w:tcBorders>
            <w:shd w:val="clear" w:color="auto" w:fill="auto"/>
            <w:noWrap/>
            <w:vAlign w:val="bottom"/>
            <w:hideMark/>
          </w:tcPr>
          <w:p w:rsidR="002B44EF" w:rsidRPr="007022CC" w:rsidRDefault="002B44EF" w:rsidP="00011676">
            <w:pPr>
              <w:spacing w:before="0" w:line="240" w:lineRule="atLeast"/>
              <w:ind w:right="390" w:firstLine="0"/>
              <w:jc w:val="right"/>
              <w:rPr>
                <w:rFonts w:asciiTheme="minorHAnsi" w:hAnsiTheme="minorHAnsi" w:cs="Arial"/>
                <w:sz w:val="20"/>
                <w:szCs w:val="20"/>
              </w:rPr>
            </w:pPr>
            <w:r w:rsidRPr="007022CC">
              <w:rPr>
                <w:rFonts w:asciiTheme="minorHAnsi" w:hAnsiTheme="minorHAnsi" w:cs="Arial"/>
                <w:sz w:val="20"/>
                <w:szCs w:val="20"/>
              </w:rPr>
              <w:t>146 511</w:t>
            </w:r>
          </w:p>
        </w:tc>
        <w:tc>
          <w:tcPr>
            <w:tcW w:w="799" w:type="pct"/>
            <w:tcBorders>
              <w:top w:val="nil"/>
              <w:left w:val="nil"/>
              <w:bottom w:val="single" w:sz="4" w:space="0" w:color="auto"/>
              <w:right w:val="single" w:sz="4" w:space="0" w:color="auto"/>
            </w:tcBorders>
            <w:shd w:val="clear" w:color="auto" w:fill="auto"/>
            <w:noWrap/>
            <w:vAlign w:val="bottom"/>
            <w:hideMark/>
          </w:tcPr>
          <w:p w:rsidR="002B44EF" w:rsidRPr="007022CC" w:rsidRDefault="002B44EF" w:rsidP="00011676">
            <w:pPr>
              <w:spacing w:before="0" w:line="240" w:lineRule="atLeast"/>
              <w:ind w:right="390" w:firstLine="0"/>
              <w:jc w:val="right"/>
              <w:rPr>
                <w:rFonts w:asciiTheme="minorHAnsi" w:hAnsiTheme="minorHAnsi" w:cs="Arial"/>
                <w:sz w:val="20"/>
                <w:szCs w:val="20"/>
              </w:rPr>
            </w:pPr>
            <w:r w:rsidRPr="007022CC">
              <w:rPr>
                <w:rFonts w:asciiTheme="minorHAnsi" w:hAnsiTheme="minorHAnsi" w:cs="Arial"/>
                <w:sz w:val="20"/>
                <w:szCs w:val="20"/>
              </w:rPr>
              <w:t>1 062</w:t>
            </w:r>
          </w:p>
        </w:tc>
        <w:tc>
          <w:tcPr>
            <w:tcW w:w="799" w:type="pct"/>
            <w:tcBorders>
              <w:top w:val="nil"/>
              <w:left w:val="nil"/>
              <w:bottom w:val="single" w:sz="4" w:space="0" w:color="auto"/>
              <w:right w:val="single" w:sz="4" w:space="0" w:color="auto"/>
            </w:tcBorders>
            <w:shd w:val="clear" w:color="auto" w:fill="auto"/>
            <w:noWrap/>
            <w:vAlign w:val="bottom"/>
            <w:hideMark/>
          </w:tcPr>
          <w:p w:rsidR="002B44EF" w:rsidRPr="007022CC" w:rsidRDefault="002B44EF" w:rsidP="00011676">
            <w:pPr>
              <w:spacing w:before="0" w:line="240" w:lineRule="atLeast"/>
              <w:ind w:right="390" w:firstLine="0"/>
              <w:jc w:val="right"/>
              <w:rPr>
                <w:rFonts w:asciiTheme="minorHAnsi" w:hAnsiTheme="minorHAnsi" w:cs="Arial"/>
                <w:sz w:val="20"/>
                <w:szCs w:val="20"/>
              </w:rPr>
            </w:pPr>
            <w:r w:rsidRPr="007022CC">
              <w:rPr>
                <w:rFonts w:asciiTheme="minorHAnsi" w:hAnsiTheme="minorHAnsi" w:cs="Arial"/>
                <w:sz w:val="20"/>
                <w:szCs w:val="20"/>
              </w:rPr>
              <w:t>9,4</w:t>
            </w:r>
          </w:p>
        </w:tc>
        <w:tc>
          <w:tcPr>
            <w:tcW w:w="799" w:type="pct"/>
            <w:tcBorders>
              <w:top w:val="nil"/>
              <w:left w:val="nil"/>
              <w:bottom w:val="single" w:sz="4" w:space="0" w:color="auto"/>
              <w:right w:val="single" w:sz="12" w:space="0" w:color="auto"/>
            </w:tcBorders>
            <w:shd w:val="clear" w:color="auto" w:fill="auto"/>
            <w:noWrap/>
            <w:vAlign w:val="bottom"/>
            <w:hideMark/>
          </w:tcPr>
          <w:p w:rsidR="002B44EF" w:rsidRPr="007022CC" w:rsidRDefault="002B44EF" w:rsidP="00011676">
            <w:pPr>
              <w:spacing w:before="0" w:line="240" w:lineRule="atLeast"/>
              <w:ind w:right="390" w:firstLine="0"/>
              <w:jc w:val="right"/>
              <w:rPr>
                <w:rFonts w:asciiTheme="minorHAnsi" w:hAnsiTheme="minorHAnsi" w:cs="Arial"/>
                <w:sz w:val="20"/>
                <w:szCs w:val="20"/>
              </w:rPr>
            </w:pPr>
            <w:r w:rsidRPr="007022CC">
              <w:rPr>
                <w:rFonts w:asciiTheme="minorHAnsi" w:hAnsiTheme="minorHAnsi" w:cs="Arial"/>
                <w:sz w:val="20"/>
                <w:szCs w:val="20"/>
              </w:rPr>
              <w:t>5,3</w:t>
            </w:r>
          </w:p>
        </w:tc>
      </w:tr>
      <w:tr w:rsidR="002B44EF" w:rsidRPr="007022CC" w:rsidTr="00011676">
        <w:trPr>
          <w:trHeight w:val="255"/>
        </w:trPr>
        <w:tc>
          <w:tcPr>
            <w:tcW w:w="1006" w:type="pct"/>
            <w:tcBorders>
              <w:top w:val="nil"/>
              <w:left w:val="single" w:sz="12" w:space="0" w:color="auto"/>
              <w:bottom w:val="single" w:sz="4" w:space="0" w:color="auto"/>
              <w:right w:val="single" w:sz="4" w:space="0" w:color="auto"/>
            </w:tcBorders>
            <w:shd w:val="clear" w:color="auto" w:fill="auto"/>
            <w:noWrap/>
            <w:vAlign w:val="bottom"/>
            <w:hideMark/>
          </w:tcPr>
          <w:p w:rsidR="002B44EF" w:rsidRPr="007022CC" w:rsidRDefault="002B44EF" w:rsidP="00011676">
            <w:pPr>
              <w:spacing w:before="0" w:line="240" w:lineRule="atLeast"/>
              <w:ind w:firstLine="0"/>
              <w:rPr>
                <w:rFonts w:asciiTheme="minorHAnsi" w:hAnsiTheme="minorHAnsi" w:cs="Arial"/>
                <w:sz w:val="20"/>
                <w:szCs w:val="20"/>
              </w:rPr>
            </w:pPr>
            <w:r w:rsidRPr="007022CC">
              <w:rPr>
                <w:rFonts w:asciiTheme="minorHAnsi" w:hAnsiTheme="minorHAnsi" w:cs="Arial"/>
                <w:sz w:val="20"/>
                <w:szCs w:val="20"/>
              </w:rPr>
              <w:t>2001 - 10 000 ks</w:t>
            </w:r>
          </w:p>
        </w:tc>
        <w:tc>
          <w:tcPr>
            <w:tcW w:w="798" w:type="pct"/>
            <w:tcBorders>
              <w:top w:val="nil"/>
              <w:left w:val="nil"/>
              <w:bottom w:val="single" w:sz="4" w:space="0" w:color="auto"/>
              <w:right w:val="single" w:sz="4" w:space="0" w:color="auto"/>
            </w:tcBorders>
            <w:shd w:val="clear" w:color="auto" w:fill="auto"/>
            <w:noWrap/>
            <w:vAlign w:val="bottom"/>
            <w:hideMark/>
          </w:tcPr>
          <w:p w:rsidR="002B44EF" w:rsidRPr="007022CC" w:rsidRDefault="002B44EF" w:rsidP="00011676">
            <w:pPr>
              <w:spacing w:before="0" w:line="240" w:lineRule="atLeast"/>
              <w:ind w:right="390" w:firstLine="0"/>
              <w:jc w:val="right"/>
              <w:rPr>
                <w:rFonts w:asciiTheme="minorHAnsi" w:hAnsiTheme="minorHAnsi" w:cs="Arial"/>
                <w:sz w:val="20"/>
                <w:szCs w:val="20"/>
              </w:rPr>
            </w:pPr>
            <w:r w:rsidRPr="007022CC">
              <w:rPr>
                <w:rFonts w:asciiTheme="minorHAnsi" w:hAnsiTheme="minorHAnsi" w:cs="Arial"/>
                <w:sz w:val="20"/>
                <w:szCs w:val="20"/>
              </w:rPr>
              <w:t>118</w:t>
            </w:r>
          </w:p>
        </w:tc>
        <w:tc>
          <w:tcPr>
            <w:tcW w:w="799" w:type="pct"/>
            <w:tcBorders>
              <w:top w:val="nil"/>
              <w:left w:val="nil"/>
              <w:bottom w:val="single" w:sz="4" w:space="0" w:color="auto"/>
              <w:right w:val="single" w:sz="4" w:space="0" w:color="auto"/>
            </w:tcBorders>
            <w:shd w:val="clear" w:color="auto" w:fill="auto"/>
            <w:noWrap/>
            <w:vAlign w:val="bottom"/>
            <w:hideMark/>
          </w:tcPr>
          <w:p w:rsidR="002B44EF" w:rsidRPr="007022CC" w:rsidRDefault="002B44EF" w:rsidP="00011676">
            <w:pPr>
              <w:spacing w:before="0" w:line="240" w:lineRule="atLeast"/>
              <w:ind w:right="390" w:firstLine="0"/>
              <w:jc w:val="right"/>
              <w:rPr>
                <w:rFonts w:asciiTheme="minorHAnsi" w:hAnsiTheme="minorHAnsi" w:cs="Arial"/>
                <w:sz w:val="20"/>
                <w:szCs w:val="20"/>
              </w:rPr>
            </w:pPr>
            <w:r w:rsidRPr="007022CC">
              <w:rPr>
                <w:rFonts w:asciiTheme="minorHAnsi" w:hAnsiTheme="minorHAnsi" w:cs="Arial"/>
                <w:sz w:val="20"/>
                <w:szCs w:val="20"/>
              </w:rPr>
              <w:t>509 762</w:t>
            </w:r>
          </w:p>
        </w:tc>
        <w:tc>
          <w:tcPr>
            <w:tcW w:w="799" w:type="pct"/>
            <w:tcBorders>
              <w:top w:val="nil"/>
              <w:left w:val="nil"/>
              <w:bottom w:val="single" w:sz="4" w:space="0" w:color="auto"/>
              <w:right w:val="single" w:sz="4" w:space="0" w:color="auto"/>
            </w:tcBorders>
            <w:shd w:val="clear" w:color="auto" w:fill="auto"/>
            <w:noWrap/>
            <w:vAlign w:val="bottom"/>
            <w:hideMark/>
          </w:tcPr>
          <w:p w:rsidR="002B44EF" w:rsidRPr="007022CC" w:rsidRDefault="002B44EF" w:rsidP="00011676">
            <w:pPr>
              <w:spacing w:before="0" w:line="240" w:lineRule="atLeast"/>
              <w:ind w:right="390" w:firstLine="0"/>
              <w:jc w:val="right"/>
              <w:rPr>
                <w:rFonts w:asciiTheme="minorHAnsi" w:hAnsiTheme="minorHAnsi" w:cs="Arial"/>
                <w:sz w:val="20"/>
                <w:szCs w:val="20"/>
              </w:rPr>
            </w:pPr>
            <w:r w:rsidRPr="007022CC">
              <w:rPr>
                <w:rFonts w:asciiTheme="minorHAnsi" w:hAnsiTheme="minorHAnsi" w:cs="Arial"/>
                <w:sz w:val="20"/>
                <w:szCs w:val="20"/>
              </w:rPr>
              <w:t>4 320</w:t>
            </w:r>
          </w:p>
        </w:tc>
        <w:tc>
          <w:tcPr>
            <w:tcW w:w="799" w:type="pct"/>
            <w:tcBorders>
              <w:top w:val="nil"/>
              <w:left w:val="nil"/>
              <w:bottom w:val="single" w:sz="4" w:space="0" w:color="auto"/>
              <w:right w:val="single" w:sz="4" w:space="0" w:color="auto"/>
            </w:tcBorders>
            <w:shd w:val="clear" w:color="auto" w:fill="auto"/>
            <w:noWrap/>
            <w:vAlign w:val="bottom"/>
            <w:hideMark/>
          </w:tcPr>
          <w:p w:rsidR="002B44EF" w:rsidRPr="007022CC" w:rsidRDefault="002B44EF" w:rsidP="00011676">
            <w:pPr>
              <w:spacing w:before="0" w:line="240" w:lineRule="atLeast"/>
              <w:ind w:right="390" w:firstLine="0"/>
              <w:jc w:val="right"/>
              <w:rPr>
                <w:rFonts w:asciiTheme="minorHAnsi" w:hAnsiTheme="minorHAnsi" w:cs="Arial"/>
                <w:sz w:val="20"/>
                <w:szCs w:val="20"/>
              </w:rPr>
            </w:pPr>
            <w:r w:rsidRPr="007022CC">
              <w:rPr>
                <w:rFonts w:asciiTheme="minorHAnsi" w:hAnsiTheme="minorHAnsi" w:cs="Arial"/>
                <w:sz w:val="20"/>
                <w:szCs w:val="20"/>
              </w:rPr>
              <w:t>32,7</w:t>
            </w:r>
          </w:p>
        </w:tc>
        <w:tc>
          <w:tcPr>
            <w:tcW w:w="799" w:type="pct"/>
            <w:tcBorders>
              <w:top w:val="nil"/>
              <w:left w:val="nil"/>
              <w:bottom w:val="single" w:sz="4" w:space="0" w:color="auto"/>
              <w:right w:val="single" w:sz="12" w:space="0" w:color="auto"/>
            </w:tcBorders>
            <w:shd w:val="clear" w:color="auto" w:fill="auto"/>
            <w:noWrap/>
            <w:vAlign w:val="bottom"/>
            <w:hideMark/>
          </w:tcPr>
          <w:p w:rsidR="002B44EF" w:rsidRPr="007022CC" w:rsidRDefault="002B44EF" w:rsidP="00011676">
            <w:pPr>
              <w:spacing w:before="0" w:line="240" w:lineRule="atLeast"/>
              <w:ind w:right="390" w:firstLine="0"/>
              <w:jc w:val="right"/>
              <w:rPr>
                <w:rFonts w:asciiTheme="minorHAnsi" w:hAnsiTheme="minorHAnsi" w:cs="Arial"/>
                <w:sz w:val="20"/>
                <w:szCs w:val="20"/>
              </w:rPr>
            </w:pPr>
            <w:r w:rsidRPr="007022CC">
              <w:rPr>
                <w:rFonts w:asciiTheme="minorHAnsi" w:hAnsiTheme="minorHAnsi" w:cs="Arial"/>
                <w:sz w:val="20"/>
                <w:szCs w:val="20"/>
              </w:rPr>
              <w:t>4,5</w:t>
            </w:r>
          </w:p>
        </w:tc>
      </w:tr>
      <w:tr w:rsidR="002B44EF" w:rsidRPr="007022CC" w:rsidTr="00011676">
        <w:trPr>
          <w:trHeight w:val="270"/>
        </w:trPr>
        <w:tc>
          <w:tcPr>
            <w:tcW w:w="1006" w:type="pct"/>
            <w:tcBorders>
              <w:top w:val="nil"/>
              <w:left w:val="single" w:sz="12" w:space="0" w:color="auto"/>
              <w:bottom w:val="single" w:sz="4" w:space="0" w:color="auto"/>
              <w:right w:val="single" w:sz="4" w:space="0" w:color="auto"/>
            </w:tcBorders>
            <w:shd w:val="clear" w:color="auto" w:fill="auto"/>
            <w:noWrap/>
            <w:vAlign w:val="bottom"/>
            <w:hideMark/>
          </w:tcPr>
          <w:p w:rsidR="002B44EF" w:rsidRPr="007022CC" w:rsidRDefault="002B44EF" w:rsidP="00011676">
            <w:pPr>
              <w:spacing w:before="0" w:line="240" w:lineRule="atLeast"/>
              <w:ind w:firstLine="0"/>
              <w:rPr>
                <w:rFonts w:asciiTheme="minorHAnsi" w:hAnsiTheme="minorHAnsi" w:cs="Arial"/>
                <w:sz w:val="20"/>
                <w:szCs w:val="20"/>
              </w:rPr>
            </w:pPr>
            <w:r w:rsidRPr="007022CC">
              <w:rPr>
                <w:rFonts w:asciiTheme="minorHAnsi" w:hAnsiTheme="minorHAnsi" w:cs="Arial"/>
                <w:sz w:val="20"/>
                <w:szCs w:val="20"/>
              </w:rPr>
              <w:t>Nad 10 000 ks</w:t>
            </w:r>
          </w:p>
        </w:tc>
        <w:tc>
          <w:tcPr>
            <w:tcW w:w="798" w:type="pct"/>
            <w:tcBorders>
              <w:top w:val="nil"/>
              <w:left w:val="nil"/>
              <w:bottom w:val="single" w:sz="4" w:space="0" w:color="auto"/>
              <w:right w:val="single" w:sz="4" w:space="0" w:color="auto"/>
            </w:tcBorders>
            <w:shd w:val="clear" w:color="auto" w:fill="auto"/>
            <w:noWrap/>
            <w:vAlign w:val="bottom"/>
            <w:hideMark/>
          </w:tcPr>
          <w:p w:rsidR="002B44EF" w:rsidRPr="007022CC" w:rsidRDefault="002B44EF" w:rsidP="00011676">
            <w:pPr>
              <w:spacing w:before="0" w:line="240" w:lineRule="atLeast"/>
              <w:ind w:right="390" w:firstLine="0"/>
              <w:jc w:val="right"/>
              <w:rPr>
                <w:rFonts w:asciiTheme="minorHAnsi" w:hAnsiTheme="minorHAnsi" w:cs="Arial"/>
                <w:sz w:val="20"/>
                <w:szCs w:val="20"/>
              </w:rPr>
            </w:pPr>
            <w:r w:rsidRPr="007022CC">
              <w:rPr>
                <w:rFonts w:asciiTheme="minorHAnsi" w:hAnsiTheme="minorHAnsi" w:cs="Arial"/>
                <w:sz w:val="20"/>
                <w:szCs w:val="20"/>
              </w:rPr>
              <w:t>31</w:t>
            </w:r>
          </w:p>
        </w:tc>
        <w:tc>
          <w:tcPr>
            <w:tcW w:w="799" w:type="pct"/>
            <w:tcBorders>
              <w:top w:val="nil"/>
              <w:left w:val="nil"/>
              <w:bottom w:val="single" w:sz="4" w:space="0" w:color="auto"/>
              <w:right w:val="single" w:sz="4" w:space="0" w:color="auto"/>
            </w:tcBorders>
            <w:shd w:val="clear" w:color="auto" w:fill="auto"/>
            <w:noWrap/>
            <w:vAlign w:val="bottom"/>
            <w:hideMark/>
          </w:tcPr>
          <w:p w:rsidR="002B44EF" w:rsidRPr="007022CC" w:rsidRDefault="002B44EF" w:rsidP="00011676">
            <w:pPr>
              <w:spacing w:before="0" w:line="240" w:lineRule="atLeast"/>
              <w:ind w:right="390" w:firstLine="0"/>
              <w:jc w:val="right"/>
              <w:rPr>
                <w:rFonts w:asciiTheme="minorHAnsi" w:hAnsiTheme="minorHAnsi" w:cs="Arial"/>
                <w:sz w:val="20"/>
                <w:szCs w:val="20"/>
              </w:rPr>
            </w:pPr>
            <w:r w:rsidRPr="007022CC">
              <w:rPr>
                <w:rFonts w:asciiTheme="minorHAnsi" w:hAnsiTheme="minorHAnsi" w:cs="Arial"/>
                <w:sz w:val="20"/>
                <w:szCs w:val="20"/>
              </w:rPr>
              <w:t>807 817</w:t>
            </w:r>
          </w:p>
        </w:tc>
        <w:tc>
          <w:tcPr>
            <w:tcW w:w="799" w:type="pct"/>
            <w:tcBorders>
              <w:top w:val="nil"/>
              <w:left w:val="nil"/>
              <w:bottom w:val="single" w:sz="4" w:space="0" w:color="auto"/>
              <w:right w:val="single" w:sz="4" w:space="0" w:color="auto"/>
            </w:tcBorders>
            <w:shd w:val="clear" w:color="auto" w:fill="auto"/>
            <w:noWrap/>
            <w:vAlign w:val="bottom"/>
            <w:hideMark/>
          </w:tcPr>
          <w:p w:rsidR="002B44EF" w:rsidRPr="007022CC" w:rsidRDefault="002B44EF" w:rsidP="00011676">
            <w:pPr>
              <w:spacing w:before="0" w:line="240" w:lineRule="atLeast"/>
              <w:ind w:right="390" w:firstLine="0"/>
              <w:jc w:val="right"/>
              <w:rPr>
                <w:rFonts w:asciiTheme="minorHAnsi" w:hAnsiTheme="minorHAnsi" w:cs="Arial"/>
                <w:sz w:val="20"/>
                <w:szCs w:val="20"/>
              </w:rPr>
            </w:pPr>
            <w:r w:rsidRPr="007022CC">
              <w:rPr>
                <w:rFonts w:asciiTheme="minorHAnsi" w:hAnsiTheme="minorHAnsi" w:cs="Arial"/>
                <w:sz w:val="20"/>
                <w:szCs w:val="20"/>
              </w:rPr>
              <w:t>26 059</w:t>
            </w:r>
          </w:p>
        </w:tc>
        <w:tc>
          <w:tcPr>
            <w:tcW w:w="799" w:type="pct"/>
            <w:tcBorders>
              <w:top w:val="nil"/>
              <w:left w:val="nil"/>
              <w:bottom w:val="single" w:sz="4" w:space="0" w:color="auto"/>
              <w:right w:val="single" w:sz="4" w:space="0" w:color="auto"/>
            </w:tcBorders>
            <w:shd w:val="clear" w:color="auto" w:fill="auto"/>
            <w:noWrap/>
            <w:vAlign w:val="bottom"/>
            <w:hideMark/>
          </w:tcPr>
          <w:p w:rsidR="002B44EF" w:rsidRPr="007022CC" w:rsidRDefault="002B44EF" w:rsidP="00011676">
            <w:pPr>
              <w:spacing w:before="0" w:line="240" w:lineRule="atLeast"/>
              <w:ind w:right="390" w:firstLine="0"/>
              <w:jc w:val="right"/>
              <w:rPr>
                <w:rFonts w:asciiTheme="minorHAnsi" w:hAnsiTheme="minorHAnsi" w:cs="Arial"/>
                <w:sz w:val="20"/>
                <w:szCs w:val="20"/>
              </w:rPr>
            </w:pPr>
            <w:r w:rsidRPr="007022CC">
              <w:rPr>
                <w:rFonts w:asciiTheme="minorHAnsi" w:hAnsiTheme="minorHAnsi" w:cs="Arial"/>
                <w:sz w:val="20"/>
                <w:szCs w:val="20"/>
              </w:rPr>
              <w:t>51,9</w:t>
            </w:r>
          </w:p>
        </w:tc>
        <w:tc>
          <w:tcPr>
            <w:tcW w:w="799" w:type="pct"/>
            <w:tcBorders>
              <w:top w:val="nil"/>
              <w:left w:val="nil"/>
              <w:bottom w:val="single" w:sz="4" w:space="0" w:color="auto"/>
              <w:right w:val="single" w:sz="12" w:space="0" w:color="auto"/>
            </w:tcBorders>
            <w:shd w:val="clear" w:color="auto" w:fill="auto"/>
            <w:noWrap/>
            <w:vAlign w:val="bottom"/>
            <w:hideMark/>
          </w:tcPr>
          <w:p w:rsidR="002B44EF" w:rsidRPr="007022CC" w:rsidRDefault="002B44EF" w:rsidP="00011676">
            <w:pPr>
              <w:spacing w:before="0" w:line="240" w:lineRule="atLeast"/>
              <w:ind w:right="390" w:firstLine="0"/>
              <w:jc w:val="right"/>
              <w:rPr>
                <w:rFonts w:asciiTheme="minorHAnsi" w:hAnsiTheme="minorHAnsi" w:cs="Arial"/>
                <w:sz w:val="20"/>
                <w:szCs w:val="20"/>
              </w:rPr>
            </w:pPr>
            <w:r w:rsidRPr="007022CC">
              <w:rPr>
                <w:rFonts w:asciiTheme="minorHAnsi" w:hAnsiTheme="minorHAnsi" w:cs="Arial"/>
                <w:sz w:val="20"/>
                <w:szCs w:val="20"/>
              </w:rPr>
              <w:t>1,2</w:t>
            </w:r>
          </w:p>
        </w:tc>
      </w:tr>
      <w:tr w:rsidR="002B44EF" w:rsidRPr="007022CC" w:rsidTr="00011676">
        <w:trPr>
          <w:trHeight w:val="285"/>
        </w:trPr>
        <w:tc>
          <w:tcPr>
            <w:tcW w:w="1006" w:type="pct"/>
            <w:tcBorders>
              <w:top w:val="nil"/>
              <w:left w:val="single" w:sz="12" w:space="0" w:color="auto"/>
              <w:bottom w:val="single" w:sz="12" w:space="0" w:color="auto"/>
              <w:right w:val="single" w:sz="4" w:space="0" w:color="auto"/>
            </w:tcBorders>
            <w:shd w:val="clear" w:color="auto" w:fill="auto"/>
            <w:noWrap/>
            <w:vAlign w:val="bottom"/>
            <w:hideMark/>
          </w:tcPr>
          <w:p w:rsidR="002B44EF" w:rsidRPr="007022CC" w:rsidRDefault="002B44EF" w:rsidP="00011676">
            <w:pPr>
              <w:spacing w:before="0" w:line="240" w:lineRule="atLeast"/>
              <w:ind w:firstLine="0"/>
              <w:rPr>
                <w:rFonts w:asciiTheme="minorHAnsi" w:hAnsiTheme="minorHAnsi" w:cs="Arial"/>
                <w:bCs/>
                <w:sz w:val="20"/>
                <w:szCs w:val="20"/>
              </w:rPr>
            </w:pPr>
            <w:r w:rsidRPr="007022CC">
              <w:rPr>
                <w:rFonts w:asciiTheme="minorHAnsi" w:hAnsiTheme="minorHAnsi" w:cs="Arial"/>
                <w:bCs/>
                <w:sz w:val="20"/>
                <w:szCs w:val="20"/>
              </w:rPr>
              <w:t>Celkem</w:t>
            </w:r>
          </w:p>
        </w:tc>
        <w:tc>
          <w:tcPr>
            <w:tcW w:w="798" w:type="pct"/>
            <w:tcBorders>
              <w:top w:val="nil"/>
              <w:left w:val="nil"/>
              <w:bottom w:val="single" w:sz="12" w:space="0" w:color="auto"/>
              <w:right w:val="single" w:sz="4" w:space="0" w:color="auto"/>
            </w:tcBorders>
            <w:shd w:val="clear" w:color="auto" w:fill="auto"/>
            <w:noWrap/>
            <w:vAlign w:val="bottom"/>
            <w:hideMark/>
          </w:tcPr>
          <w:p w:rsidR="002B44EF" w:rsidRPr="007022CC" w:rsidRDefault="002B44EF" w:rsidP="00011676">
            <w:pPr>
              <w:spacing w:before="0" w:line="240" w:lineRule="atLeast"/>
              <w:ind w:right="390" w:firstLine="0"/>
              <w:jc w:val="right"/>
              <w:rPr>
                <w:rFonts w:asciiTheme="minorHAnsi" w:hAnsiTheme="minorHAnsi" w:cs="Arial"/>
                <w:bCs/>
                <w:sz w:val="20"/>
                <w:szCs w:val="20"/>
              </w:rPr>
            </w:pPr>
            <w:r w:rsidRPr="007022CC">
              <w:rPr>
                <w:rFonts w:asciiTheme="minorHAnsi" w:hAnsiTheme="minorHAnsi" w:cs="Arial"/>
                <w:bCs/>
                <w:sz w:val="20"/>
                <w:szCs w:val="20"/>
              </w:rPr>
              <w:t>2 597</w:t>
            </w:r>
          </w:p>
        </w:tc>
        <w:tc>
          <w:tcPr>
            <w:tcW w:w="799" w:type="pct"/>
            <w:tcBorders>
              <w:top w:val="nil"/>
              <w:left w:val="nil"/>
              <w:bottom w:val="single" w:sz="12" w:space="0" w:color="auto"/>
              <w:right w:val="single" w:sz="4" w:space="0" w:color="auto"/>
            </w:tcBorders>
            <w:shd w:val="clear" w:color="auto" w:fill="auto"/>
            <w:noWrap/>
            <w:vAlign w:val="bottom"/>
            <w:hideMark/>
          </w:tcPr>
          <w:p w:rsidR="002B44EF" w:rsidRPr="007022CC" w:rsidRDefault="002B44EF" w:rsidP="00011676">
            <w:pPr>
              <w:spacing w:before="0" w:line="240" w:lineRule="atLeast"/>
              <w:ind w:right="390" w:firstLine="0"/>
              <w:jc w:val="right"/>
              <w:rPr>
                <w:rFonts w:asciiTheme="minorHAnsi" w:hAnsiTheme="minorHAnsi" w:cs="Arial"/>
                <w:bCs/>
                <w:sz w:val="20"/>
                <w:szCs w:val="20"/>
              </w:rPr>
            </w:pPr>
            <w:r w:rsidRPr="007022CC">
              <w:rPr>
                <w:rFonts w:asciiTheme="minorHAnsi" w:hAnsiTheme="minorHAnsi" w:cs="Arial"/>
                <w:bCs/>
                <w:sz w:val="20"/>
                <w:szCs w:val="20"/>
              </w:rPr>
              <w:t>1 557 793</w:t>
            </w:r>
          </w:p>
        </w:tc>
        <w:tc>
          <w:tcPr>
            <w:tcW w:w="799" w:type="pct"/>
            <w:tcBorders>
              <w:top w:val="nil"/>
              <w:left w:val="nil"/>
              <w:bottom w:val="single" w:sz="12" w:space="0" w:color="auto"/>
              <w:right w:val="single" w:sz="4" w:space="0" w:color="auto"/>
            </w:tcBorders>
            <w:shd w:val="clear" w:color="auto" w:fill="auto"/>
            <w:noWrap/>
            <w:vAlign w:val="bottom"/>
            <w:hideMark/>
          </w:tcPr>
          <w:p w:rsidR="002B44EF" w:rsidRPr="007022CC" w:rsidRDefault="002B44EF" w:rsidP="00011676">
            <w:pPr>
              <w:spacing w:before="0" w:line="240" w:lineRule="atLeast"/>
              <w:ind w:right="390" w:firstLine="0"/>
              <w:jc w:val="right"/>
              <w:rPr>
                <w:rFonts w:asciiTheme="minorHAnsi" w:hAnsiTheme="minorHAnsi" w:cs="Arial"/>
                <w:bCs/>
                <w:sz w:val="20"/>
                <w:szCs w:val="20"/>
              </w:rPr>
            </w:pPr>
            <w:r w:rsidRPr="007022CC">
              <w:rPr>
                <w:rFonts w:asciiTheme="minorHAnsi" w:hAnsiTheme="minorHAnsi" w:cs="Arial"/>
                <w:bCs/>
                <w:sz w:val="20"/>
                <w:szCs w:val="20"/>
              </w:rPr>
              <w:t>600</w:t>
            </w:r>
          </w:p>
        </w:tc>
        <w:tc>
          <w:tcPr>
            <w:tcW w:w="799" w:type="pct"/>
            <w:tcBorders>
              <w:top w:val="nil"/>
              <w:left w:val="nil"/>
              <w:bottom w:val="single" w:sz="12" w:space="0" w:color="auto"/>
              <w:right w:val="single" w:sz="4" w:space="0" w:color="auto"/>
            </w:tcBorders>
            <w:shd w:val="clear" w:color="auto" w:fill="auto"/>
            <w:noWrap/>
            <w:vAlign w:val="bottom"/>
            <w:hideMark/>
          </w:tcPr>
          <w:p w:rsidR="002B44EF" w:rsidRPr="007022CC" w:rsidRDefault="002B44EF" w:rsidP="00011676">
            <w:pPr>
              <w:spacing w:before="0" w:line="240" w:lineRule="atLeast"/>
              <w:ind w:right="390" w:firstLine="0"/>
              <w:jc w:val="right"/>
              <w:rPr>
                <w:rFonts w:asciiTheme="minorHAnsi" w:hAnsiTheme="minorHAnsi" w:cs="Arial"/>
                <w:bCs/>
                <w:sz w:val="20"/>
                <w:szCs w:val="20"/>
              </w:rPr>
            </w:pPr>
            <w:r w:rsidRPr="007022CC">
              <w:rPr>
                <w:rFonts w:asciiTheme="minorHAnsi" w:hAnsiTheme="minorHAnsi" w:cs="Arial"/>
                <w:bCs/>
                <w:sz w:val="20"/>
                <w:szCs w:val="20"/>
              </w:rPr>
              <w:t>100,0</w:t>
            </w:r>
          </w:p>
        </w:tc>
        <w:tc>
          <w:tcPr>
            <w:tcW w:w="799" w:type="pct"/>
            <w:tcBorders>
              <w:top w:val="nil"/>
              <w:left w:val="nil"/>
              <w:bottom w:val="single" w:sz="12" w:space="0" w:color="auto"/>
              <w:right w:val="single" w:sz="12" w:space="0" w:color="auto"/>
            </w:tcBorders>
            <w:shd w:val="clear" w:color="auto" w:fill="auto"/>
            <w:noWrap/>
            <w:vAlign w:val="bottom"/>
            <w:hideMark/>
          </w:tcPr>
          <w:p w:rsidR="002B44EF" w:rsidRPr="007022CC" w:rsidRDefault="002B44EF" w:rsidP="00011676">
            <w:pPr>
              <w:spacing w:before="0" w:line="240" w:lineRule="atLeast"/>
              <w:ind w:right="390" w:firstLine="0"/>
              <w:jc w:val="right"/>
              <w:rPr>
                <w:rFonts w:asciiTheme="minorHAnsi" w:hAnsiTheme="minorHAnsi" w:cs="Arial"/>
                <w:bCs/>
                <w:sz w:val="20"/>
                <w:szCs w:val="20"/>
              </w:rPr>
            </w:pPr>
            <w:r w:rsidRPr="007022CC">
              <w:rPr>
                <w:rFonts w:asciiTheme="minorHAnsi" w:hAnsiTheme="minorHAnsi" w:cs="Arial"/>
                <w:bCs/>
                <w:sz w:val="20"/>
                <w:szCs w:val="20"/>
              </w:rPr>
              <w:t>100,0</w:t>
            </w:r>
          </w:p>
        </w:tc>
      </w:tr>
    </w:tbl>
    <w:p w:rsidR="002B44EF" w:rsidRPr="00E7721E" w:rsidRDefault="002B44EF" w:rsidP="002B44EF">
      <w:pPr>
        <w:spacing w:line="240" w:lineRule="atLeast"/>
        <w:rPr>
          <w:rStyle w:val="Siln"/>
          <w:rFonts w:cs="Arial"/>
          <w:b w:val="0"/>
          <w:i/>
          <w:sz w:val="18"/>
          <w:szCs w:val="18"/>
        </w:rPr>
      </w:pPr>
      <w:r w:rsidRPr="00E7721E">
        <w:rPr>
          <w:rStyle w:val="Siln"/>
          <w:rFonts w:cs="Arial"/>
          <w:b w:val="0"/>
          <w:i/>
          <w:sz w:val="18"/>
          <w:szCs w:val="18"/>
        </w:rPr>
        <w:t xml:space="preserve">Pramen: MZe, IRZ, podíly -  výpočet ÚZEI </w:t>
      </w:r>
    </w:p>
    <w:p w:rsidR="002B44EF" w:rsidRPr="0059439F" w:rsidRDefault="002B44EF" w:rsidP="002B44EF">
      <w:pPr>
        <w:tabs>
          <w:tab w:val="left" w:pos="0"/>
        </w:tabs>
        <w:spacing w:after="120"/>
        <w:ind w:firstLine="0"/>
        <w:rPr>
          <w:rFonts w:asciiTheme="minorHAnsi" w:hAnsiTheme="minorHAnsi" w:cs="Arial"/>
          <w:sz w:val="22"/>
          <w:szCs w:val="22"/>
        </w:rPr>
      </w:pPr>
      <w:r w:rsidRPr="0059439F">
        <w:rPr>
          <w:rFonts w:asciiTheme="minorHAnsi" w:hAnsiTheme="minorHAnsi" w:cs="Arial"/>
          <w:sz w:val="22"/>
          <w:szCs w:val="22"/>
        </w:rPr>
        <w:t>V ČR je chov prasat soustředěný převážně do větších podniků, neboť 52 % produkce zajišťují necelé 2 % chovatelů s průměrným počtem zvířat v podniku převyšujícím 26 tis. ks</w:t>
      </w:r>
      <w:r>
        <w:rPr>
          <w:rFonts w:asciiTheme="minorHAnsi" w:hAnsiTheme="minorHAnsi" w:cs="Arial"/>
          <w:sz w:val="22"/>
          <w:szCs w:val="22"/>
        </w:rPr>
        <w:t xml:space="preserve">. </w:t>
      </w:r>
      <w:r w:rsidRPr="0059439F">
        <w:rPr>
          <w:rFonts w:asciiTheme="minorHAnsi" w:hAnsiTheme="minorHAnsi" w:cs="Arial"/>
          <w:sz w:val="22"/>
          <w:szCs w:val="22"/>
        </w:rPr>
        <w:t xml:space="preserve"> Během let 2010 až 2016 se počet velmi velkých chovatelů sice výrazně snížil, ale u této kategorie k dalšímu růstu </w:t>
      </w:r>
      <w:r>
        <w:rPr>
          <w:rFonts w:asciiTheme="minorHAnsi" w:hAnsiTheme="minorHAnsi" w:cs="Arial"/>
          <w:sz w:val="22"/>
          <w:szCs w:val="22"/>
        </w:rPr>
        <w:t xml:space="preserve">počtu </w:t>
      </w:r>
      <w:r w:rsidRPr="0059439F">
        <w:rPr>
          <w:rFonts w:asciiTheme="minorHAnsi" w:hAnsiTheme="minorHAnsi" w:cs="Arial"/>
          <w:sz w:val="22"/>
          <w:szCs w:val="22"/>
        </w:rPr>
        <w:t>chovaných prasat. Chovatelé s vysokou koncentrací prasat v podniku pak mohou mít lepší vyjednávací pozici na trhu vůči odběratelům, neboť jsou schopni jim zajistit během roku stálý přísun suroviny. Jedná se většinou o vysoce specializované podniky s moderními technologiemi a vysokou normou obsluhy. Počet velmi malých chovatelů s počtem zvířat do 100 ks se v hodnoceném období příliš neměnil</w:t>
      </w:r>
      <w:r>
        <w:rPr>
          <w:rFonts w:asciiTheme="minorHAnsi" w:hAnsiTheme="minorHAnsi" w:cs="Arial"/>
          <w:sz w:val="22"/>
          <w:szCs w:val="22"/>
        </w:rPr>
        <w:t>.</w:t>
      </w:r>
      <w:r w:rsidRPr="0059439F">
        <w:rPr>
          <w:rFonts w:asciiTheme="minorHAnsi" w:hAnsiTheme="minorHAnsi" w:cs="Arial"/>
          <w:sz w:val="22"/>
          <w:szCs w:val="22"/>
        </w:rPr>
        <w:t xml:space="preserve"> Pro tyto producenty však není produkce vepřového masa zpravidla hlavním zdrojem příjmů. Odběrateli jsou v tomto případě často lokální zpracovatelé nebo se i sami chovatelé v rámci diverzifikace činnosti zabývají vlastním zpracováním masa a výrobou masných a uzenářských výrobků. Jatečná zvířata si však většinou nechávají porážet na jatkách.</w:t>
      </w:r>
    </w:p>
    <w:p w:rsidR="002B44EF" w:rsidRPr="0059439F" w:rsidRDefault="002B44EF" w:rsidP="002B44EF">
      <w:pPr>
        <w:tabs>
          <w:tab w:val="left" w:pos="0"/>
        </w:tabs>
        <w:spacing w:after="120"/>
        <w:ind w:firstLine="0"/>
        <w:rPr>
          <w:rFonts w:asciiTheme="minorHAnsi" w:hAnsiTheme="minorHAnsi" w:cs="Arial"/>
          <w:sz w:val="22"/>
          <w:szCs w:val="22"/>
        </w:rPr>
      </w:pPr>
      <w:r w:rsidRPr="0059439F">
        <w:rPr>
          <w:rFonts w:asciiTheme="minorHAnsi" w:hAnsiTheme="minorHAnsi" w:cs="Arial"/>
          <w:sz w:val="22"/>
          <w:szCs w:val="22"/>
        </w:rPr>
        <w:t xml:space="preserve">V ČR se nacházejí jatky porážející skot i prasata prakticky v každém kraji, </w:t>
      </w:r>
      <w:r>
        <w:rPr>
          <w:rFonts w:asciiTheme="minorHAnsi" w:hAnsiTheme="minorHAnsi" w:cs="Arial"/>
          <w:sz w:val="22"/>
          <w:szCs w:val="22"/>
        </w:rPr>
        <w:t>t</w:t>
      </w:r>
      <w:r w:rsidRPr="0059439F">
        <w:rPr>
          <w:rFonts w:asciiTheme="minorHAnsi" w:hAnsiTheme="minorHAnsi" w:cs="Arial"/>
          <w:sz w:val="22"/>
          <w:szCs w:val="22"/>
        </w:rPr>
        <w:t xml:space="preserve">o znamená, že se jatečný skot i prasata zpravidla nepřevážejí za účelem porážky na velké vzdálenosti. </w:t>
      </w:r>
    </w:p>
    <w:p w:rsidR="00EA5AF4" w:rsidRPr="00406AF1" w:rsidRDefault="002C5D11" w:rsidP="00036D58">
      <w:pPr>
        <w:pStyle w:val="Odstavecseseznamem"/>
        <w:numPr>
          <w:ilvl w:val="0"/>
          <w:numId w:val="10"/>
        </w:numPr>
        <w:tabs>
          <w:tab w:val="left" w:pos="284"/>
        </w:tabs>
        <w:spacing w:before="360"/>
        <w:ind w:left="284" w:hanging="284"/>
        <w:contextualSpacing w:val="0"/>
        <w:rPr>
          <w:rFonts w:ascii="Calibri" w:eastAsia="Calibri" w:hAnsi="Calibri"/>
          <w:b/>
          <w:sz w:val="22"/>
          <w:szCs w:val="22"/>
          <w:lang w:eastAsia="en-US"/>
        </w:rPr>
      </w:pPr>
      <w:r>
        <w:rPr>
          <w:rFonts w:ascii="Calibri" w:eastAsia="Calibri" w:hAnsi="Calibri"/>
          <w:b/>
          <w:sz w:val="22"/>
          <w:szCs w:val="22"/>
          <w:lang w:eastAsia="en-US"/>
        </w:rPr>
        <w:t xml:space="preserve">Absence diferenciace produktů prostřednictvím vertikálních režimů kvality zapojujících prvovýrobce </w:t>
      </w:r>
      <w:r w:rsidRPr="00406AF1">
        <w:rPr>
          <w:rFonts w:ascii="Calibri" w:eastAsia="Calibri" w:hAnsi="Calibri"/>
          <w:b/>
          <w:sz w:val="22"/>
          <w:szCs w:val="22"/>
          <w:lang w:eastAsia="en-US"/>
        </w:rPr>
        <w:t>k prosazení výrobků ve spotřebitelských preferencích</w:t>
      </w:r>
      <w:r w:rsidR="00EA5AF4" w:rsidRPr="00406AF1">
        <w:rPr>
          <w:rFonts w:ascii="Calibri" w:eastAsia="Calibri" w:hAnsi="Calibri"/>
          <w:b/>
          <w:sz w:val="22"/>
          <w:szCs w:val="22"/>
          <w:lang w:eastAsia="en-US"/>
        </w:rPr>
        <w:t xml:space="preserve">. </w:t>
      </w:r>
    </w:p>
    <w:p w:rsidR="00045C36" w:rsidRPr="00045C36" w:rsidRDefault="00264F72" w:rsidP="00045C36">
      <w:pPr>
        <w:ind w:firstLine="0"/>
        <w:rPr>
          <w:rFonts w:ascii="Calibri" w:eastAsia="Calibri" w:hAnsi="Calibri"/>
          <w:sz w:val="22"/>
          <w:szCs w:val="22"/>
          <w:lang w:eastAsia="en-US"/>
        </w:rPr>
      </w:pPr>
      <w:r>
        <w:rPr>
          <w:rFonts w:ascii="Calibri" w:eastAsia="Calibri" w:hAnsi="Calibri"/>
          <w:sz w:val="22"/>
          <w:szCs w:val="22"/>
          <w:lang w:eastAsia="en-US"/>
        </w:rPr>
        <w:t xml:space="preserve">Podle teorie informační asymetrie, v obecném pojetí vědí výrobci o kvalitě výrobku mnohem více než kupující </w:t>
      </w:r>
      <w:r w:rsidRPr="00927127">
        <w:rPr>
          <w:rFonts w:ascii="Calibri" w:eastAsia="Calibri" w:hAnsi="Calibri"/>
          <w:sz w:val="22"/>
          <w:szCs w:val="22"/>
          <w:lang w:eastAsia="en-US"/>
        </w:rPr>
        <w:t>(Luhmann 1979, Darby and Karni 1973).</w:t>
      </w:r>
      <w:r>
        <w:rPr>
          <w:rFonts w:ascii="Calibri" w:eastAsia="Calibri" w:hAnsi="Calibri"/>
          <w:sz w:val="22"/>
          <w:szCs w:val="22"/>
          <w:lang w:eastAsia="en-US"/>
        </w:rPr>
        <w:t xml:space="preserve"> </w:t>
      </w:r>
      <w:r w:rsidR="00045C36">
        <w:rPr>
          <w:rFonts w:ascii="Calibri" w:eastAsia="Calibri" w:hAnsi="Calibri"/>
          <w:sz w:val="22"/>
          <w:szCs w:val="22"/>
          <w:lang w:eastAsia="en-US"/>
        </w:rPr>
        <w:t xml:space="preserve">Zahraniční výzkumy </w:t>
      </w:r>
      <w:r w:rsidR="00EA5AF4" w:rsidRPr="00045C36">
        <w:rPr>
          <w:rFonts w:ascii="Calibri" w:eastAsia="Calibri" w:hAnsi="Calibri"/>
          <w:sz w:val="22"/>
          <w:szCs w:val="22"/>
          <w:lang w:eastAsia="en-US"/>
        </w:rPr>
        <w:t>(Teuber 2011; Meyer et al. 2012</w:t>
      </w:r>
      <w:r w:rsidR="00EA5AF4">
        <w:rPr>
          <w:rFonts w:ascii="Calibri" w:eastAsia="Calibri" w:hAnsi="Calibri"/>
          <w:sz w:val="22"/>
          <w:szCs w:val="22"/>
          <w:lang w:eastAsia="en-US"/>
        </w:rPr>
        <w:t xml:space="preserve">, aj.) </w:t>
      </w:r>
      <w:r w:rsidR="00045C36">
        <w:rPr>
          <w:rFonts w:ascii="Calibri" w:eastAsia="Calibri" w:hAnsi="Calibri"/>
          <w:sz w:val="22"/>
          <w:szCs w:val="22"/>
          <w:lang w:eastAsia="en-US"/>
        </w:rPr>
        <w:t>potvrzují, že řada faktorů (např. r</w:t>
      </w:r>
      <w:r w:rsidR="00045C36" w:rsidRPr="00045C36">
        <w:rPr>
          <w:rFonts w:ascii="Calibri" w:eastAsia="Calibri" w:hAnsi="Calibri"/>
          <w:sz w:val="22"/>
          <w:szCs w:val="22"/>
          <w:lang w:eastAsia="en-US"/>
        </w:rPr>
        <w:t>ůst vzdálenosti mezi</w:t>
      </w:r>
      <w:r w:rsidR="006342E1">
        <w:rPr>
          <w:rFonts w:ascii="Calibri" w:eastAsia="Calibri" w:hAnsi="Calibri"/>
          <w:sz w:val="22"/>
          <w:szCs w:val="22"/>
          <w:lang w:eastAsia="en-US"/>
        </w:rPr>
        <w:t xml:space="preserve"> </w:t>
      </w:r>
      <w:r w:rsidR="00045C36">
        <w:rPr>
          <w:rFonts w:ascii="Calibri" w:eastAsia="Calibri" w:hAnsi="Calibri"/>
          <w:sz w:val="22"/>
          <w:szCs w:val="22"/>
          <w:lang w:eastAsia="en-US"/>
        </w:rPr>
        <w:t xml:space="preserve">místem výroby a spotřeby, mizející kontakt mezi výrobcem a spotřebitelem, </w:t>
      </w:r>
      <w:r w:rsidR="00045C36" w:rsidRPr="00045C36">
        <w:rPr>
          <w:rFonts w:ascii="Calibri" w:eastAsia="Calibri" w:hAnsi="Calibri"/>
          <w:sz w:val="22"/>
          <w:szCs w:val="22"/>
          <w:lang w:eastAsia="en-US"/>
        </w:rPr>
        <w:t>složitost výrobních technologií</w:t>
      </w:r>
      <w:r w:rsidR="00045C36">
        <w:rPr>
          <w:rFonts w:ascii="Calibri" w:eastAsia="Calibri" w:hAnsi="Calibri"/>
          <w:sz w:val="22"/>
          <w:szCs w:val="22"/>
          <w:lang w:eastAsia="en-US"/>
        </w:rPr>
        <w:t xml:space="preserve"> aj.)</w:t>
      </w:r>
      <w:r w:rsidR="00045C36" w:rsidRPr="00045C36">
        <w:rPr>
          <w:rFonts w:ascii="Calibri" w:eastAsia="Calibri" w:hAnsi="Calibri"/>
          <w:sz w:val="22"/>
          <w:szCs w:val="22"/>
          <w:lang w:eastAsia="en-US"/>
        </w:rPr>
        <w:t xml:space="preserve"> evokují </w:t>
      </w:r>
      <w:r w:rsidR="00045C36" w:rsidRPr="00045C36">
        <w:rPr>
          <w:rFonts w:ascii="Calibri" w:eastAsia="Calibri" w:hAnsi="Calibri"/>
          <w:b/>
          <w:caps/>
          <w:sz w:val="22"/>
          <w:szCs w:val="22"/>
          <w:lang w:eastAsia="en-US"/>
        </w:rPr>
        <w:t>rostoucí zájem spotřebitelů o složení potravin, výrobní postupy, původ potravin a záruky kvality</w:t>
      </w:r>
      <w:r w:rsidR="00EA5AF4">
        <w:rPr>
          <w:rFonts w:ascii="Calibri" w:eastAsia="Calibri" w:hAnsi="Calibri"/>
          <w:b/>
          <w:caps/>
          <w:sz w:val="22"/>
          <w:szCs w:val="22"/>
          <w:lang w:eastAsia="en-US"/>
        </w:rPr>
        <w:t>.</w:t>
      </w:r>
      <w:r w:rsidR="00045C36" w:rsidRPr="00045C36">
        <w:rPr>
          <w:rFonts w:ascii="Calibri" w:eastAsia="Calibri" w:hAnsi="Calibri"/>
          <w:sz w:val="22"/>
          <w:szCs w:val="22"/>
          <w:lang w:eastAsia="en-US"/>
        </w:rPr>
        <w:t xml:space="preserve"> Rovněž v ČR existuje segment spotřebitelů, který o tyto charakteristiky projevuje zájem. </w:t>
      </w:r>
      <w:r w:rsidR="00045C36" w:rsidRPr="00045C36">
        <w:rPr>
          <w:rFonts w:ascii="Calibri" w:eastAsia="Calibri" w:hAnsi="Calibri"/>
          <w:b/>
          <w:sz w:val="22"/>
          <w:szCs w:val="22"/>
          <w:lang w:eastAsia="en-US"/>
        </w:rPr>
        <w:t>V rámci ČR však není podchyceno, jak velký tento segment je, zda má progresi, případně jak velkou.</w:t>
      </w:r>
      <w:r w:rsidR="00045C36" w:rsidRPr="00045C36">
        <w:rPr>
          <w:rFonts w:ascii="Calibri" w:eastAsia="Calibri" w:hAnsi="Calibri"/>
          <w:sz w:val="22"/>
          <w:szCs w:val="22"/>
          <w:lang w:eastAsia="en-US"/>
        </w:rPr>
        <w:t xml:space="preserve"> </w:t>
      </w:r>
    </w:p>
    <w:p w:rsidR="00045C36" w:rsidRDefault="00045C36" w:rsidP="00045C36">
      <w:pPr>
        <w:ind w:firstLine="0"/>
        <w:rPr>
          <w:rFonts w:ascii="Calibri" w:eastAsia="Calibri" w:hAnsi="Calibri"/>
          <w:sz w:val="22"/>
          <w:szCs w:val="22"/>
          <w:lang w:eastAsia="en-US"/>
        </w:rPr>
      </w:pPr>
      <w:r w:rsidRPr="00045C36">
        <w:rPr>
          <w:rFonts w:ascii="Calibri" w:eastAsia="Calibri" w:hAnsi="Calibri"/>
          <w:sz w:val="22"/>
          <w:szCs w:val="22"/>
          <w:lang w:eastAsia="en-US"/>
        </w:rPr>
        <w:t>Výzkum ÚZEI (Bošková a kol., 2017</w:t>
      </w:r>
      <w:r>
        <w:rPr>
          <w:rStyle w:val="Znakapoznpodarou"/>
          <w:rFonts w:eastAsia="Calibri"/>
          <w:szCs w:val="22"/>
          <w:lang w:eastAsia="en-US"/>
        </w:rPr>
        <w:footnoteReference w:id="11"/>
      </w:r>
      <w:r w:rsidRPr="00045C36">
        <w:rPr>
          <w:rFonts w:ascii="Calibri" w:eastAsia="Calibri" w:hAnsi="Calibri"/>
          <w:sz w:val="22"/>
          <w:szCs w:val="22"/>
          <w:lang w:eastAsia="en-US"/>
        </w:rPr>
        <w:t>) ukázal</w:t>
      </w:r>
      <w:r>
        <w:rPr>
          <w:rFonts w:ascii="Calibri" w:eastAsia="Calibri" w:hAnsi="Calibri"/>
          <w:sz w:val="22"/>
          <w:szCs w:val="22"/>
          <w:lang w:eastAsia="en-US"/>
        </w:rPr>
        <w:t xml:space="preserve"> m</w:t>
      </w:r>
      <w:r w:rsidR="002C1A6F">
        <w:rPr>
          <w:rFonts w:ascii="Calibri" w:eastAsia="Calibri" w:hAnsi="Calibri"/>
          <w:sz w:val="22"/>
          <w:szCs w:val="22"/>
          <w:lang w:eastAsia="en-US"/>
        </w:rPr>
        <w:t>imo jiné</w:t>
      </w:r>
      <w:r w:rsidRPr="00045C36">
        <w:rPr>
          <w:rFonts w:ascii="Calibri" w:eastAsia="Calibri" w:hAnsi="Calibri"/>
          <w:sz w:val="22"/>
          <w:szCs w:val="22"/>
          <w:lang w:eastAsia="en-US"/>
        </w:rPr>
        <w:t>, že</w:t>
      </w:r>
      <w:r w:rsidR="00726317">
        <w:rPr>
          <w:rFonts w:ascii="Calibri" w:eastAsia="Calibri" w:hAnsi="Calibri"/>
          <w:sz w:val="22"/>
          <w:szCs w:val="22"/>
          <w:lang w:eastAsia="en-US"/>
        </w:rPr>
        <w:t xml:space="preserve"> </w:t>
      </w:r>
      <w:r w:rsidR="00726317" w:rsidRPr="009436FE">
        <w:rPr>
          <w:rFonts w:ascii="Calibri" w:eastAsia="Calibri" w:hAnsi="Calibri"/>
          <w:b/>
          <w:sz w:val="22"/>
          <w:szCs w:val="22"/>
          <w:lang w:eastAsia="en-US"/>
        </w:rPr>
        <w:t>spotřebitelé deklarují</w:t>
      </w:r>
      <w:r w:rsidR="00726317">
        <w:rPr>
          <w:rFonts w:ascii="Calibri" w:eastAsia="Calibri" w:hAnsi="Calibri"/>
          <w:sz w:val="22"/>
          <w:szCs w:val="22"/>
          <w:lang w:eastAsia="en-US"/>
        </w:rPr>
        <w:t xml:space="preserve"> následující postoje:</w:t>
      </w:r>
      <w:r w:rsidRPr="00045C36">
        <w:rPr>
          <w:rFonts w:ascii="Calibri" w:eastAsia="Calibri" w:hAnsi="Calibri"/>
          <w:sz w:val="22"/>
          <w:szCs w:val="22"/>
          <w:lang w:eastAsia="en-US"/>
        </w:rPr>
        <w:t xml:space="preserve"> </w:t>
      </w:r>
    </w:p>
    <w:p w:rsidR="00045C36" w:rsidRPr="00045C36" w:rsidRDefault="00045C36" w:rsidP="00036D58">
      <w:pPr>
        <w:pStyle w:val="Odstavecseseznamem"/>
        <w:numPr>
          <w:ilvl w:val="0"/>
          <w:numId w:val="17"/>
        </w:numPr>
        <w:rPr>
          <w:rFonts w:ascii="Calibri" w:eastAsia="Calibri" w:hAnsi="Calibri"/>
          <w:sz w:val="22"/>
          <w:szCs w:val="22"/>
          <w:lang w:eastAsia="en-US"/>
        </w:rPr>
      </w:pPr>
      <w:r w:rsidRPr="00045C36">
        <w:rPr>
          <w:rFonts w:ascii="Calibri" w:eastAsia="Calibri" w:hAnsi="Calibri"/>
          <w:sz w:val="22"/>
          <w:szCs w:val="22"/>
          <w:lang w:eastAsia="en-US"/>
        </w:rPr>
        <w:t xml:space="preserve">více než polovina dotázaných spotřebitelů </w:t>
      </w:r>
      <w:r w:rsidR="00726317">
        <w:rPr>
          <w:rFonts w:ascii="Calibri" w:eastAsia="Calibri" w:hAnsi="Calibri"/>
          <w:sz w:val="22"/>
          <w:szCs w:val="22"/>
          <w:lang w:eastAsia="en-US"/>
        </w:rPr>
        <w:t xml:space="preserve">tvrdí, že </w:t>
      </w:r>
      <w:r w:rsidRPr="00045C36">
        <w:rPr>
          <w:rFonts w:ascii="Calibri" w:eastAsia="Calibri" w:hAnsi="Calibri"/>
          <w:sz w:val="22"/>
          <w:szCs w:val="22"/>
          <w:lang w:eastAsia="en-US"/>
        </w:rPr>
        <w:t>má zájem o potraviny s nadstandardní kvalitou převyšující zákonem stanovené normy,</w:t>
      </w:r>
    </w:p>
    <w:p w:rsidR="00045C36" w:rsidRPr="00045C36" w:rsidRDefault="00045C36" w:rsidP="00036D58">
      <w:pPr>
        <w:pStyle w:val="Odstavecseseznamem"/>
        <w:numPr>
          <w:ilvl w:val="0"/>
          <w:numId w:val="17"/>
        </w:numPr>
        <w:rPr>
          <w:rFonts w:ascii="Calibri" w:eastAsia="Calibri" w:hAnsi="Calibri"/>
          <w:sz w:val="22"/>
          <w:szCs w:val="22"/>
          <w:lang w:eastAsia="en-US"/>
        </w:rPr>
      </w:pPr>
      <w:r w:rsidRPr="00045C36">
        <w:rPr>
          <w:rFonts w:ascii="Calibri" w:eastAsia="Calibri" w:hAnsi="Calibri"/>
          <w:sz w:val="22"/>
          <w:szCs w:val="22"/>
          <w:lang w:eastAsia="en-US"/>
        </w:rPr>
        <w:t xml:space="preserve">téměř polovina dotázaných </w:t>
      </w:r>
      <w:r w:rsidR="00726317">
        <w:rPr>
          <w:rFonts w:ascii="Calibri" w:eastAsia="Calibri" w:hAnsi="Calibri"/>
          <w:sz w:val="22"/>
          <w:szCs w:val="22"/>
          <w:lang w:eastAsia="en-US"/>
        </w:rPr>
        <w:t xml:space="preserve">tvrdí, že </w:t>
      </w:r>
      <w:r w:rsidRPr="00045C36">
        <w:rPr>
          <w:rFonts w:ascii="Calibri" w:eastAsia="Calibri" w:hAnsi="Calibri"/>
          <w:sz w:val="22"/>
          <w:szCs w:val="22"/>
          <w:lang w:eastAsia="en-US"/>
        </w:rPr>
        <w:t xml:space="preserve">se zajímá, za jakých podmínek pro zvířata byly potraviny vyrobeny, </w:t>
      </w:r>
    </w:p>
    <w:p w:rsidR="00045C36" w:rsidRPr="00045C36" w:rsidRDefault="00045C36" w:rsidP="00036D58">
      <w:pPr>
        <w:pStyle w:val="Odstavecseseznamem"/>
        <w:numPr>
          <w:ilvl w:val="0"/>
          <w:numId w:val="17"/>
        </w:numPr>
        <w:rPr>
          <w:rFonts w:ascii="Calibri" w:eastAsia="Calibri" w:hAnsi="Calibri"/>
          <w:sz w:val="22"/>
          <w:szCs w:val="22"/>
          <w:lang w:eastAsia="en-US"/>
        </w:rPr>
      </w:pPr>
      <w:r w:rsidRPr="00045C36">
        <w:rPr>
          <w:rFonts w:ascii="Calibri" w:eastAsia="Calibri" w:hAnsi="Calibri"/>
          <w:sz w:val="22"/>
          <w:szCs w:val="22"/>
          <w:lang w:eastAsia="en-US"/>
        </w:rPr>
        <w:t xml:space="preserve">tři čtvrtiny dotázaných </w:t>
      </w:r>
      <w:r w:rsidR="00726317">
        <w:rPr>
          <w:rFonts w:ascii="Calibri" w:eastAsia="Calibri" w:hAnsi="Calibri"/>
          <w:sz w:val="22"/>
          <w:szCs w:val="22"/>
          <w:lang w:eastAsia="en-US"/>
        </w:rPr>
        <w:t xml:space="preserve">tvrdí, že </w:t>
      </w:r>
      <w:r w:rsidRPr="00045C36">
        <w:rPr>
          <w:rFonts w:ascii="Calibri" w:eastAsia="Calibri" w:hAnsi="Calibri"/>
          <w:sz w:val="22"/>
          <w:szCs w:val="22"/>
          <w:lang w:eastAsia="en-US"/>
        </w:rPr>
        <w:t>sledují zemi původu</w:t>
      </w:r>
    </w:p>
    <w:p w:rsidR="00045C36" w:rsidRPr="00045C36" w:rsidRDefault="00045C36" w:rsidP="00036D58">
      <w:pPr>
        <w:pStyle w:val="Odstavecseseznamem"/>
        <w:numPr>
          <w:ilvl w:val="0"/>
          <w:numId w:val="17"/>
        </w:numPr>
        <w:rPr>
          <w:rFonts w:ascii="Calibri" w:eastAsia="Calibri" w:hAnsi="Calibri"/>
          <w:sz w:val="22"/>
          <w:szCs w:val="22"/>
          <w:lang w:eastAsia="en-US"/>
        </w:rPr>
      </w:pPr>
      <w:r w:rsidRPr="00045C36">
        <w:rPr>
          <w:rFonts w:ascii="Calibri" w:eastAsia="Calibri" w:hAnsi="Calibri"/>
          <w:sz w:val="22"/>
          <w:szCs w:val="22"/>
          <w:lang w:eastAsia="en-US"/>
        </w:rPr>
        <w:t xml:space="preserve">více než tři čtvrtiny </w:t>
      </w:r>
      <w:r w:rsidR="00726317">
        <w:rPr>
          <w:rFonts w:ascii="Calibri" w:eastAsia="Calibri" w:hAnsi="Calibri"/>
          <w:sz w:val="22"/>
          <w:szCs w:val="22"/>
          <w:lang w:eastAsia="en-US"/>
        </w:rPr>
        <w:t>respon</w:t>
      </w:r>
      <w:r w:rsidR="001E1BC5">
        <w:rPr>
          <w:rFonts w:ascii="Calibri" w:eastAsia="Calibri" w:hAnsi="Calibri"/>
          <w:sz w:val="22"/>
          <w:szCs w:val="22"/>
          <w:lang w:eastAsia="en-US"/>
        </w:rPr>
        <w:t>de</w:t>
      </w:r>
      <w:r w:rsidR="00726317">
        <w:rPr>
          <w:rFonts w:ascii="Calibri" w:eastAsia="Calibri" w:hAnsi="Calibri"/>
          <w:sz w:val="22"/>
          <w:szCs w:val="22"/>
          <w:lang w:eastAsia="en-US"/>
        </w:rPr>
        <w:t xml:space="preserve">ntů tvrdí, že </w:t>
      </w:r>
      <w:r w:rsidRPr="00045C36">
        <w:rPr>
          <w:rFonts w:ascii="Calibri" w:eastAsia="Calibri" w:hAnsi="Calibri"/>
          <w:sz w:val="22"/>
          <w:szCs w:val="22"/>
          <w:lang w:eastAsia="en-US"/>
        </w:rPr>
        <w:t xml:space="preserve">by daly přednost českému máslu před německým, francouzským a polským. </w:t>
      </w:r>
    </w:p>
    <w:p w:rsidR="00045C36" w:rsidRPr="00045C36" w:rsidRDefault="00045C36" w:rsidP="00232861">
      <w:pPr>
        <w:spacing w:after="120"/>
        <w:ind w:firstLine="0"/>
        <w:rPr>
          <w:rFonts w:ascii="Calibri" w:eastAsia="Calibri" w:hAnsi="Calibri"/>
          <w:sz w:val="22"/>
          <w:szCs w:val="22"/>
          <w:lang w:eastAsia="en-US"/>
        </w:rPr>
      </w:pPr>
      <w:r w:rsidRPr="00045C36">
        <w:rPr>
          <w:rFonts w:ascii="Calibri" w:eastAsia="Calibri" w:hAnsi="Calibri"/>
          <w:sz w:val="22"/>
          <w:szCs w:val="22"/>
          <w:lang w:eastAsia="en-US"/>
        </w:rPr>
        <w:t xml:space="preserve">Proto je žádoucí, aby spotřebitelé dostali takové informace, které by jim umožnily provést „informovaný výběr potravin“, posílily důvěru v kvalitu surovin a jejich zpracování a tím by se omezila tržní selhání vlivem informační asymetrie. </w:t>
      </w:r>
    </w:p>
    <w:p w:rsidR="00382ED4" w:rsidRDefault="009537AB" w:rsidP="00BD62DD">
      <w:pPr>
        <w:pStyle w:val="Odstavecseseznamem"/>
        <w:tabs>
          <w:tab w:val="left" w:pos="0"/>
        </w:tabs>
        <w:spacing w:after="120"/>
        <w:ind w:left="0" w:firstLine="0"/>
        <w:contextualSpacing w:val="0"/>
        <w:rPr>
          <w:rFonts w:ascii="Calibri" w:eastAsia="Calibri" w:hAnsi="Calibri"/>
          <w:sz w:val="22"/>
          <w:szCs w:val="22"/>
          <w:lang w:eastAsia="en-US"/>
        </w:rPr>
      </w:pPr>
      <w:r>
        <w:rPr>
          <w:rFonts w:ascii="Calibri" w:eastAsia="Calibri" w:hAnsi="Calibri"/>
          <w:b/>
          <w:sz w:val="22"/>
          <w:szCs w:val="22"/>
          <w:lang w:eastAsia="en-US"/>
        </w:rPr>
        <w:t xml:space="preserve">V ČR </w:t>
      </w:r>
      <w:r w:rsidR="00045C36">
        <w:rPr>
          <w:rFonts w:ascii="Calibri" w:eastAsia="Calibri" w:hAnsi="Calibri"/>
          <w:b/>
          <w:sz w:val="22"/>
          <w:szCs w:val="22"/>
          <w:lang w:eastAsia="en-US"/>
        </w:rPr>
        <w:t xml:space="preserve">však </w:t>
      </w:r>
      <w:r>
        <w:rPr>
          <w:rFonts w:ascii="Calibri" w:eastAsia="Calibri" w:hAnsi="Calibri"/>
          <w:b/>
          <w:sz w:val="22"/>
          <w:szCs w:val="22"/>
          <w:lang w:eastAsia="en-US"/>
        </w:rPr>
        <w:t xml:space="preserve">chybí </w:t>
      </w:r>
      <w:r w:rsidR="00D14361" w:rsidRPr="00703155">
        <w:rPr>
          <w:rFonts w:ascii="Calibri" w:eastAsia="Calibri" w:hAnsi="Calibri"/>
          <w:b/>
          <w:caps/>
          <w:sz w:val="22"/>
          <w:szCs w:val="22"/>
          <w:lang w:eastAsia="en-US"/>
        </w:rPr>
        <w:t xml:space="preserve">systémové </w:t>
      </w:r>
      <w:r w:rsidR="00D05787">
        <w:rPr>
          <w:rFonts w:ascii="Calibri" w:eastAsia="Calibri" w:hAnsi="Calibri"/>
          <w:b/>
          <w:caps/>
          <w:sz w:val="22"/>
          <w:szCs w:val="22"/>
          <w:lang w:eastAsia="en-US"/>
        </w:rPr>
        <w:t xml:space="preserve">a na převážně soukromých iniciativách založené </w:t>
      </w:r>
      <w:r w:rsidRPr="00703155">
        <w:rPr>
          <w:rFonts w:ascii="Calibri" w:eastAsia="Calibri" w:hAnsi="Calibri"/>
          <w:b/>
          <w:caps/>
          <w:sz w:val="22"/>
          <w:szCs w:val="22"/>
          <w:lang w:eastAsia="en-US"/>
        </w:rPr>
        <w:t>programy kvality</w:t>
      </w:r>
      <w:r w:rsidRPr="00094396">
        <w:rPr>
          <w:rFonts w:ascii="Calibri" w:eastAsia="Calibri" w:hAnsi="Calibri"/>
          <w:b/>
          <w:sz w:val="22"/>
          <w:szCs w:val="22"/>
          <w:lang w:eastAsia="en-US"/>
        </w:rPr>
        <w:t xml:space="preserve"> </w:t>
      </w:r>
      <w:r>
        <w:rPr>
          <w:rFonts w:ascii="Calibri" w:eastAsia="Calibri" w:hAnsi="Calibri"/>
          <w:b/>
          <w:sz w:val="22"/>
          <w:szCs w:val="22"/>
          <w:lang w:eastAsia="en-US"/>
        </w:rPr>
        <w:t xml:space="preserve">vedené </w:t>
      </w:r>
      <w:r w:rsidRPr="00094396">
        <w:rPr>
          <w:rFonts w:ascii="Calibri" w:eastAsia="Calibri" w:hAnsi="Calibri"/>
          <w:b/>
          <w:sz w:val="22"/>
          <w:szCs w:val="22"/>
          <w:lang w:eastAsia="en-US"/>
        </w:rPr>
        <w:t>od prvovýrobce po maloobchod</w:t>
      </w:r>
      <w:r w:rsidR="00703155">
        <w:rPr>
          <w:rFonts w:ascii="Calibri" w:eastAsia="Calibri" w:hAnsi="Calibri"/>
          <w:b/>
          <w:sz w:val="22"/>
          <w:szCs w:val="22"/>
          <w:lang w:eastAsia="en-US"/>
        </w:rPr>
        <w:t xml:space="preserve">, </w:t>
      </w:r>
      <w:r w:rsidRPr="001E1BC5">
        <w:rPr>
          <w:rFonts w:ascii="Calibri" w:eastAsia="Calibri" w:hAnsi="Calibri"/>
          <w:b/>
          <w:sz w:val="22"/>
          <w:szCs w:val="22"/>
          <w:lang w:eastAsia="en-US"/>
        </w:rPr>
        <w:t>které by podpořily specifické kvalitativní charakteristiky produktu a</w:t>
      </w:r>
      <w:r w:rsidR="00D14361" w:rsidRPr="001E1BC5">
        <w:rPr>
          <w:rFonts w:ascii="Calibri" w:eastAsia="Calibri" w:hAnsi="Calibri"/>
          <w:b/>
          <w:sz w:val="22"/>
          <w:szCs w:val="22"/>
          <w:lang w:eastAsia="en-US"/>
        </w:rPr>
        <w:t> </w:t>
      </w:r>
      <w:r w:rsidRPr="001E1BC5">
        <w:rPr>
          <w:rFonts w:ascii="Calibri" w:eastAsia="Calibri" w:hAnsi="Calibri"/>
          <w:b/>
          <w:sz w:val="22"/>
          <w:szCs w:val="22"/>
          <w:lang w:eastAsia="en-US"/>
        </w:rPr>
        <w:t>spotřebitele na tyto kvality upozornily, jak je tomu v zahraničí.</w:t>
      </w:r>
      <w:r>
        <w:rPr>
          <w:rFonts w:ascii="Calibri" w:eastAsia="Calibri" w:hAnsi="Calibri"/>
          <w:sz w:val="22"/>
          <w:szCs w:val="22"/>
          <w:lang w:eastAsia="en-US"/>
        </w:rPr>
        <w:t xml:space="preserve"> Např. rakouský systém kvality AMA Gütesiegel (Pečeť kvality AMA)</w:t>
      </w:r>
      <w:r w:rsidRPr="00D14361">
        <w:rPr>
          <w:rFonts w:ascii="Calibri" w:eastAsia="Calibri" w:hAnsi="Calibri"/>
          <w:i/>
          <w:sz w:val="22"/>
          <w:vertAlign w:val="superscript"/>
        </w:rPr>
        <w:footnoteReference w:id="12"/>
      </w:r>
      <w:r>
        <w:rPr>
          <w:rFonts w:ascii="Calibri" w:eastAsia="Calibri" w:hAnsi="Calibri"/>
          <w:sz w:val="22"/>
          <w:szCs w:val="22"/>
          <w:lang w:eastAsia="en-US"/>
        </w:rPr>
        <w:t xml:space="preserve"> nebo německý systém kvality </w:t>
      </w:r>
      <w:r w:rsidRPr="006B7439">
        <w:rPr>
          <w:rFonts w:ascii="Calibri" w:eastAsia="Calibri" w:hAnsi="Calibri"/>
          <w:sz w:val="22"/>
          <w:szCs w:val="22"/>
          <w:lang w:eastAsia="en-US"/>
        </w:rPr>
        <w:t>QS. Ihr Prüfsystem für Lebensmittel</w:t>
      </w:r>
      <w:r>
        <w:rPr>
          <w:rFonts w:ascii="Calibri" w:eastAsia="Calibri" w:hAnsi="Calibri"/>
          <w:sz w:val="22"/>
          <w:szCs w:val="22"/>
          <w:lang w:eastAsia="en-US"/>
        </w:rPr>
        <w:t xml:space="preserve"> </w:t>
      </w:r>
      <w:r w:rsidRPr="006B7439">
        <w:rPr>
          <w:rFonts w:ascii="Calibri" w:eastAsia="Calibri" w:hAnsi="Calibri"/>
          <w:sz w:val="22"/>
          <w:szCs w:val="22"/>
          <w:lang w:eastAsia="en-US"/>
        </w:rPr>
        <w:t>(QS. Systém kvality potravin.)</w:t>
      </w:r>
      <w:r w:rsidRPr="00D14361">
        <w:rPr>
          <w:rFonts w:ascii="Calibri" w:eastAsia="Calibri" w:hAnsi="Calibri"/>
          <w:i/>
          <w:sz w:val="22"/>
          <w:vertAlign w:val="superscript"/>
        </w:rPr>
        <w:footnoteReference w:id="13"/>
      </w:r>
      <w:r w:rsidR="006D7F57">
        <w:rPr>
          <w:rFonts w:ascii="Calibri" w:eastAsia="Calibri" w:hAnsi="Calibri"/>
          <w:sz w:val="22"/>
          <w:szCs w:val="22"/>
          <w:lang w:eastAsia="en-US"/>
        </w:rPr>
        <w:t xml:space="preserve"> je založen na </w:t>
      </w:r>
      <w:r w:rsidR="00385F54">
        <w:rPr>
          <w:rFonts w:ascii="Calibri" w:eastAsia="Calibri" w:hAnsi="Calibri"/>
          <w:sz w:val="22"/>
          <w:szCs w:val="22"/>
          <w:lang w:eastAsia="en-US"/>
        </w:rPr>
        <w:t xml:space="preserve">dodržování </w:t>
      </w:r>
      <w:r w:rsidR="006D7F57">
        <w:rPr>
          <w:rFonts w:ascii="Calibri" w:eastAsia="Calibri" w:hAnsi="Calibri"/>
          <w:sz w:val="22"/>
          <w:szCs w:val="22"/>
          <w:lang w:eastAsia="en-US"/>
        </w:rPr>
        <w:t>předepsaných</w:t>
      </w:r>
      <w:r w:rsidR="00385F54">
        <w:rPr>
          <w:rFonts w:ascii="Calibri" w:eastAsia="Calibri" w:hAnsi="Calibri"/>
          <w:sz w:val="22"/>
          <w:szCs w:val="22"/>
          <w:lang w:eastAsia="en-US"/>
        </w:rPr>
        <w:t xml:space="preserve"> postupů</w:t>
      </w:r>
      <w:r w:rsidR="006D7F57">
        <w:rPr>
          <w:rFonts w:ascii="Calibri" w:eastAsia="Calibri" w:hAnsi="Calibri"/>
          <w:sz w:val="22"/>
          <w:szCs w:val="22"/>
          <w:lang w:eastAsia="en-US"/>
        </w:rPr>
        <w:t>, které začínají na zemědělské úrovni a přes zpracování a dopravu končí v maloobchodu. Postupy a normy jsou transparentní</w:t>
      </w:r>
      <w:r w:rsidR="00385F54">
        <w:rPr>
          <w:rFonts w:ascii="Calibri" w:eastAsia="Calibri" w:hAnsi="Calibri"/>
          <w:sz w:val="22"/>
          <w:szCs w:val="22"/>
          <w:lang w:eastAsia="en-US"/>
        </w:rPr>
        <w:t xml:space="preserve"> </w:t>
      </w:r>
      <w:r w:rsidR="006D7F57">
        <w:rPr>
          <w:rFonts w:ascii="Calibri" w:eastAsia="Calibri" w:hAnsi="Calibri"/>
          <w:sz w:val="22"/>
          <w:szCs w:val="22"/>
          <w:lang w:eastAsia="en-US"/>
        </w:rPr>
        <w:t>a dostupné spotřebitelům</w:t>
      </w:r>
      <w:r w:rsidR="00385F54">
        <w:rPr>
          <w:rFonts w:ascii="Calibri" w:eastAsia="Calibri" w:hAnsi="Calibri"/>
          <w:sz w:val="22"/>
          <w:szCs w:val="22"/>
          <w:lang w:eastAsia="en-US"/>
        </w:rPr>
        <w:t xml:space="preserve">, a jejich dodržování je ověřováno </w:t>
      </w:r>
      <w:r w:rsidR="00D05787">
        <w:rPr>
          <w:rFonts w:ascii="Calibri" w:eastAsia="Calibri" w:hAnsi="Calibri"/>
          <w:sz w:val="22"/>
          <w:szCs w:val="22"/>
          <w:lang w:eastAsia="en-US"/>
        </w:rPr>
        <w:t xml:space="preserve">několikastupňovou </w:t>
      </w:r>
      <w:r w:rsidR="00385F54">
        <w:rPr>
          <w:rFonts w:ascii="Calibri" w:eastAsia="Calibri" w:hAnsi="Calibri"/>
          <w:sz w:val="22"/>
          <w:szCs w:val="22"/>
          <w:lang w:eastAsia="en-US"/>
        </w:rPr>
        <w:t>kontrolou.</w:t>
      </w:r>
      <w:r w:rsidR="006D7F57">
        <w:rPr>
          <w:rFonts w:ascii="Calibri" w:eastAsia="Calibri" w:hAnsi="Calibri"/>
          <w:sz w:val="22"/>
          <w:szCs w:val="22"/>
          <w:lang w:eastAsia="en-US"/>
        </w:rPr>
        <w:t xml:space="preserve"> </w:t>
      </w:r>
    </w:p>
    <w:p w:rsidR="00BD62DD" w:rsidRDefault="00BD62DD" w:rsidP="007E5BA0">
      <w:pPr>
        <w:pStyle w:val="Odstavecseseznamem"/>
        <w:tabs>
          <w:tab w:val="left" w:pos="0"/>
        </w:tabs>
        <w:spacing w:after="240"/>
        <w:ind w:left="0" w:firstLine="0"/>
        <w:contextualSpacing w:val="0"/>
        <w:rPr>
          <w:rFonts w:ascii="Calibri" w:eastAsia="Calibri" w:hAnsi="Calibri"/>
          <w:sz w:val="22"/>
          <w:szCs w:val="22"/>
          <w:lang w:eastAsia="en-US"/>
        </w:rPr>
      </w:pPr>
      <w:r w:rsidRPr="00382ED4">
        <w:rPr>
          <w:rFonts w:asciiTheme="minorHAnsi" w:hAnsiTheme="minorHAnsi"/>
          <w:sz w:val="22"/>
          <w:szCs w:val="22"/>
        </w:rPr>
        <w:t>V ČR se podařilo dostat do povědomí spotřebitelů několik málo značek kvality (</w:t>
      </w:r>
      <w:r w:rsidRPr="00382ED4">
        <w:rPr>
          <w:rFonts w:asciiTheme="minorHAnsi" w:hAnsiTheme="minorHAnsi"/>
          <w:b/>
          <w:sz w:val="22"/>
          <w:szCs w:val="22"/>
        </w:rPr>
        <w:t>Klasa, Regionální potravina</w:t>
      </w:r>
      <w:r>
        <w:rPr>
          <w:rFonts w:asciiTheme="minorHAnsi" w:hAnsiTheme="minorHAnsi"/>
          <w:b/>
          <w:sz w:val="22"/>
          <w:szCs w:val="22"/>
        </w:rPr>
        <w:t xml:space="preserve"> (RP)</w:t>
      </w:r>
      <w:r w:rsidRPr="00382ED4">
        <w:rPr>
          <w:rFonts w:asciiTheme="minorHAnsi" w:hAnsiTheme="minorHAnsi"/>
          <w:b/>
          <w:sz w:val="22"/>
          <w:szCs w:val="22"/>
        </w:rPr>
        <w:t>, Bio potravina</w:t>
      </w:r>
      <w:r w:rsidRPr="00382ED4">
        <w:rPr>
          <w:rFonts w:asciiTheme="minorHAnsi" w:hAnsiTheme="minorHAnsi"/>
          <w:sz w:val="22"/>
          <w:szCs w:val="22"/>
        </w:rPr>
        <w:t>)</w:t>
      </w:r>
      <w:r>
        <w:rPr>
          <w:rFonts w:asciiTheme="minorHAnsi" w:hAnsiTheme="minorHAnsi"/>
          <w:sz w:val="22"/>
          <w:szCs w:val="22"/>
        </w:rPr>
        <w:t xml:space="preserve">. </w:t>
      </w:r>
      <w:r w:rsidRPr="00723F4D">
        <w:rPr>
          <w:rFonts w:asciiTheme="minorHAnsi" w:hAnsiTheme="minorHAnsi"/>
          <w:sz w:val="22"/>
          <w:szCs w:val="22"/>
        </w:rPr>
        <w:t xml:space="preserve">Klasa </w:t>
      </w:r>
      <w:r>
        <w:rPr>
          <w:rFonts w:asciiTheme="minorHAnsi" w:hAnsiTheme="minorHAnsi"/>
          <w:sz w:val="22"/>
          <w:szCs w:val="22"/>
        </w:rPr>
        <w:t>ani</w:t>
      </w:r>
      <w:r w:rsidRPr="00723F4D">
        <w:rPr>
          <w:rFonts w:asciiTheme="minorHAnsi" w:hAnsiTheme="minorHAnsi"/>
          <w:sz w:val="22"/>
          <w:szCs w:val="22"/>
        </w:rPr>
        <w:t xml:space="preserve"> Regionální potravina </w:t>
      </w:r>
      <w:r>
        <w:rPr>
          <w:rFonts w:asciiTheme="minorHAnsi" w:hAnsiTheme="minorHAnsi"/>
          <w:sz w:val="22"/>
          <w:szCs w:val="22"/>
        </w:rPr>
        <w:t>však nejsou plnohodnotným řešením.</w:t>
      </w:r>
    </w:p>
    <w:p w:rsidR="0009247E" w:rsidRDefault="00E4113A" w:rsidP="0009247E">
      <w:pPr>
        <w:pStyle w:val="Nadpis1"/>
        <w:numPr>
          <w:ilvl w:val="0"/>
          <w:numId w:val="1"/>
        </w:numPr>
      </w:pPr>
      <w:bookmarkStart w:id="4" w:name="_Toc525760680"/>
      <w:r w:rsidRPr="00736EA3">
        <w:t>Mechanismus a příčiny problému</w:t>
      </w:r>
      <w:bookmarkEnd w:id="4"/>
      <w:r w:rsidRPr="00736EA3">
        <w:t xml:space="preserve"> </w:t>
      </w:r>
    </w:p>
    <w:p w:rsidR="001F38E3" w:rsidRDefault="001F38E3" w:rsidP="00036D58">
      <w:pPr>
        <w:pStyle w:val="Odstavecseseznamem"/>
        <w:numPr>
          <w:ilvl w:val="0"/>
          <w:numId w:val="19"/>
        </w:numPr>
        <w:spacing w:after="120"/>
        <w:rPr>
          <w:rFonts w:ascii="Calibri" w:eastAsia="Calibri" w:hAnsi="Calibri"/>
          <w:b/>
          <w:sz w:val="22"/>
          <w:szCs w:val="22"/>
          <w:lang w:eastAsia="en-US"/>
        </w:rPr>
      </w:pPr>
      <w:r w:rsidRPr="00406AF1">
        <w:rPr>
          <w:rFonts w:ascii="Calibri" w:eastAsia="Calibri" w:hAnsi="Calibri"/>
          <w:b/>
          <w:sz w:val="22"/>
          <w:szCs w:val="22"/>
          <w:lang w:eastAsia="en-US"/>
        </w:rPr>
        <w:t>Dominantní vliv obchodních řetězců na úrovni maloobchodního odběratele.</w:t>
      </w:r>
    </w:p>
    <w:p w:rsidR="00314CAF" w:rsidRPr="00314CAF" w:rsidRDefault="00314CAF" w:rsidP="00036D58">
      <w:pPr>
        <w:pStyle w:val="Odstavecseseznamem"/>
        <w:numPr>
          <w:ilvl w:val="0"/>
          <w:numId w:val="20"/>
        </w:numPr>
        <w:spacing w:after="120"/>
        <w:rPr>
          <w:rFonts w:ascii="Calibri" w:eastAsia="Calibri" w:hAnsi="Calibri"/>
          <w:sz w:val="22"/>
          <w:szCs w:val="22"/>
          <w:lang w:eastAsia="en-US"/>
        </w:rPr>
      </w:pPr>
      <w:r w:rsidRPr="00314CAF">
        <w:rPr>
          <w:rFonts w:ascii="Calibri" w:eastAsia="Calibri" w:hAnsi="Calibri"/>
          <w:sz w:val="22"/>
          <w:szCs w:val="22"/>
          <w:lang w:eastAsia="en-US"/>
        </w:rPr>
        <w:t xml:space="preserve">Liberální prostředí devadesátých let umožnilo </w:t>
      </w:r>
      <w:r w:rsidR="001517E1">
        <w:rPr>
          <w:rFonts w:ascii="Calibri" w:eastAsia="Calibri" w:hAnsi="Calibri"/>
          <w:sz w:val="22"/>
          <w:szCs w:val="22"/>
          <w:lang w:eastAsia="en-US"/>
        </w:rPr>
        <w:t xml:space="preserve">rychlý </w:t>
      </w:r>
      <w:r w:rsidRPr="00314CAF">
        <w:rPr>
          <w:rFonts w:ascii="Calibri" w:eastAsia="Calibri" w:hAnsi="Calibri"/>
          <w:sz w:val="22"/>
          <w:szCs w:val="22"/>
          <w:lang w:eastAsia="en-US"/>
        </w:rPr>
        <w:t>vstup maloobchodních řetězců na domácí trh</w:t>
      </w:r>
      <w:r w:rsidR="001517E1">
        <w:rPr>
          <w:rFonts w:ascii="Calibri" w:eastAsia="Calibri" w:hAnsi="Calibri"/>
          <w:sz w:val="22"/>
          <w:szCs w:val="22"/>
          <w:lang w:eastAsia="en-US"/>
        </w:rPr>
        <w:t xml:space="preserve"> bez omezujících podmínek</w:t>
      </w:r>
      <w:r w:rsidRPr="00314CAF">
        <w:rPr>
          <w:rFonts w:ascii="Calibri" w:eastAsia="Calibri" w:hAnsi="Calibri"/>
          <w:sz w:val="22"/>
          <w:szCs w:val="22"/>
          <w:lang w:eastAsia="en-US"/>
        </w:rPr>
        <w:t>.</w:t>
      </w:r>
    </w:p>
    <w:p w:rsidR="00314CAF" w:rsidRDefault="001517E1" w:rsidP="00036D58">
      <w:pPr>
        <w:pStyle w:val="Odstavecseseznamem"/>
        <w:numPr>
          <w:ilvl w:val="0"/>
          <w:numId w:val="20"/>
        </w:numPr>
        <w:spacing w:after="120"/>
        <w:rPr>
          <w:rFonts w:ascii="Calibri" w:eastAsia="Calibri" w:hAnsi="Calibri"/>
          <w:sz w:val="22"/>
          <w:szCs w:val="22"/>
          <w:lang w:eastAsia="en-US"/>
        </w:rPr>
      </w:pPr>
      <w:r>
        <w:rPr>
          <w:rFonts w:ascii="Calibri" w:eastAsia="Calibri" w:hAnsi="Calibri"/>
          <w:sz w:val="22"/>
          <w:szCs w:val="22"/>
          <w:lang w:eastAsia="en-US"/>
        </w:rPr>
        <w:t>E</w:t>
      </w:r>
      <w:r w:rsidR="00314CAF" w:rsidRPr="00314CAF">
        <w:rPr>
          <w:rFonts w:ascii="Calibri" w:eastAsia="Calibri" w:hAnsi="Calibri"/>
          <w:sz w:val="22"/>
          <w:szCs w:val="22"/>
          <w:lang w:eastAsia="en-US"/>
        </w:rPr>
        <w:t xml:space="preserve">konomické prostředí vedlo k ústupu tradičních malo-formátových prodejen. </w:t>
      </w:r>
    </w:p>
    <w:p w:rsidR="00343D91" w:rsidRPr="00343D91" w:rsidRDefault="009436FE" w:rsidP="00036D58">
      <w:pPr>
        <w:pStyle w:val="Odstavecseseznamem"/>
        <w:numPr>
          <w:ilvl w:val="0"/>
          <w:numId w:val="20"/>
        </w:numPr>
        <w:spacing w:after="120"/>
        <w:rPr>
          <w:rFonts w:ascii="Calibri" w:eastAsia="Calibri" w:hAnsi="Calibri"/>
          <w:sz w:val="22"/>
          <w:szCs w:val="22"/>
          <w:lang w:eastAsia="en-US"/>
        </w:rPr>
      </w:pPr>
      <w:r>
        <w:rPr>
          <w:rFonts w:ascii="Calibri" w:eastAsia="Calibri" w:hAnsi="Calibri"/>
          <w:sz w:val="22"/>
          <w:szCs w:val="22"/>
          <w:lang w:eastAsia="en-US"/>
        </w:rPr>
        <w:t>Na trhu potravin je n</w:t>
      </w:r>
      <w:r w:rsidR="00343D91" w:rsidRPr="00343D91">
        <w:rPr>
          <w:rFonts w:ascii="Calibri" w:eastAsia="Calibri" w:hAnsi="Calibri"/>
          <w:sz w:val="22"/>
          <w:szCs w:val="22"/>
          <w:lang w:eastAsia="en-US"/>
        </w:rPr>
        <w:t>edokonalá konkurence</w:t>
      </w:r>
      <w:r>
        <w:rPr>
          <w:rFonts w:ascii="Calibri" w:eastAsia="Calibri" w:hAnsi="Calibri"/>
          <w:sz w:val="22"/>
          <w:szCs w:val="22"/>
          <w:lang w:eastAsia="en-US"/>
        </w:rPr>
        <w:t xml:space="preserve"> a d</w:t>
      </w:r>
      <w:r w:rsidR="00343D91" w:rsidRPr="00343D91">
        <w:rPr>
          <w:rFonts w:ascii="Calibri" w:eastAsia="Calibri" w:hAnsi="Calibri"/>
          <w:sz w:val="22"/>
          <w:szCs w:val="22"/>
          <w:lang w:eastAsia="en-US"/>
        </w:rPr>
        <w:t>ochází k nerovnováze pod vlivem využití oligopolní nebo monopolní moci</w:t>
      </w:r>
      <w:r w:rsidR="00343D91">
        <w:rPr>
          <w:rFonts w:ascii="Calibri" w:eastAsia="Calibri" w:hAnsi="Calibri"/>
          <w:sz w:val="22"/>
          <w:szCs w:val="22"/>
          <w:lang w:eastAsia="en-US"/>
        </w:rPr>
        <w:t>.</w:t>
      </w:r>
    </w:p>
    <w:p w:rsidR="00314CAF" w:rsidRDefault="00314CAF" w:rsidP="00036D58">
      <w:pPr>
        <w:pStyle w:val="Odstavecseseznamem"/>
        <w:numPr>
          <w:ilvl w:val="0"/>
          <w:numId w:val="20"/>
        </w:numPr>
        <w:spacing w:after="120"/>
        <w:rPr>
          <w:rFonts w:ascii="Calibri" w:eastAsia="Calibri" w:hAnsi="Calibri"/>
          <w:sz w:val="22"/>
          <w:szCs w:val="22"/>
          <w:lang w:eastAsia="en-US"/>
        </w:rPr>
      </w:pPr>
      <w:r w:rsidRPr="00314CAF">
        <w:rPr>
          <w:rFonts w:ascii="Calibri" w:eastAsia="Calibri" w:hAnsi="Calibri"/>
          <w:sz w:val="22"/>
          <w:szCs w:val="22"/>
          <w:lang w:eastAsia="en-US"/>
        </w:rPr>
        <w:t xml:space="preserve">Nedostatečná legislativní úprava umožňuje zneužívání tržní síly. </w:t>
      </w:r>
    </w:p>
    <w:p w:rsidR="00E21132" w:rsidRDefault="00E21132" w:rsidP="00036D58">
      <w:pPr>
        <w:pStyle w:val="Odstavecseseznamem"/>
        <w:numPr>
          <w:ilvl w:val="0"/>
          <w:numId w:val="20"/>
        </w:numPr>
        <w:spacing w:after="120"/>
        <w:ind w:left="1434" w:hanging="357"/>
        <w:contextualSpacing w:val="0"/>
        <w:rPr>
          <w:rFonts w:ascii="Calibri" w:eastAsia="Calibri" w:hAnsi="Calibri"/>
          <w:sz w:val="22"/>
          <w:szCs w:val="22"/>
          <w:lang w:eastAsia="en-US"/>
        </w:rPr>
      </w:pPr>
      <w:r>
        <w:rPr>
          <w:rFonts w:ascii="Calibri" w:eastAsia="Calibri" w:hAnsi="Calibri"/>
          <w:sz w:val="22"/>
          <w:szCs w:val="22"/>
          <w:lang w:eastAsia="en-US"/>
        </w:rPr>
        <w:t>Nákupní zvyklosti spotřebitelů.</w:t>
      </w:r>
    </w:p>
    <w:p w:rsidR="001E1BC5" w:rsidRPr="00406AF1" w:rsidRDefault="001E1BC5" w:rsidP="00036D58">
      <w:pPr>
        <w:pStyle w:val="Odstavecseseznamem"/>
        <w:numPr>
          <w:ilvl w:val="0"/>
          <w:numId w:val="19"/>
        </w:numPr>
        <w:spacing w:after="120"/>
        <w:contextualSpacing w:val="0"/>
        <w:rPr>
          <w:rFonts w:ascii="Calibri" w:eastAsia="Calibri" w:hAnsi="Calibri"/>
          <w:b/>
          <w:sz w:val="22"/>
          <w:szCs w:val="22"/>
          <w:lang w:eastAsia="en-US"/>
        </w:rPr>
      </w:pPr>
      <w:r w:rsidRPr="00406AF1">
        <w:rPr>
          <w:rFonts w:ascii="Calibri" w:eastAsia="Calibri" w:hAnsi="Calibri"/>
          <w:b/>
          <w:sz w:val="22"/>
          <w:szCs w:val="22"/>
          <w:lang w:eastAsia="en-US"/>
        </w:rPr>
        <w:t>Nízká míra sdružování výrobců při odbytu.</w:t>
      </w:r>
    </w:p>
    <w:p w:rsidR="001E1BC5" w:rsidRPr="00E21132" w:rsidRDefault="001E1BC5" w:rsidP="00036D58">
      <w:pPr>
        <w:pStyle w:val="Odstavecseseznamem"/>
        <w:numPr>
          <w:ilvl w:val="0"/>
          <w:numId w:val="20"/>
        </w:numPr>
        <w:spacing w:after="120"/>
        <w:rPr>
          <w:rFonts w:ascii="Calibri" w:eastAsia="Calibri" w:hAnsi="Calibri"/>
          <w:sz w:val="22"/>
          <w:szCs w:val="22"/>
          <w:lang w:eastAsia="en-US"/>
        </w:rPr>
      </w:pPr>
      <w:r w:rsidRPr="00E21132">
        <w:rPr>
          <w:rFonts w:ascii="Calibri" w:eastAsia="Calibri" w:hAnsi="Calibri"/>
          <w:sz w:val="22"/>
          <w:szCs w:val="22"/>
          <w:lang w:eastAsia="en-US"/>
        </w:rPr>
        <w:t xml:space="preserve">Absence </w:t>
      </w:r>
      <w:r w:rsidRPr="00E21132">
        <w:rPr>
          <w:rFonts w:ascii="Calibri" w:eastAsia="Calibri" w:hAnsi="Calibri"/>
          <w:bCs/>
          <w:sz w:val="22"/>
          <w:szCs w:val="22"/>
          <w:lang w:eastAsia="en-US"/>
        </w:rPr>
        <w:t>vůdců</w:t>
      </w:r>
      <w:r>
        <w:rPr>
          <w:rFonts w:ascii="Calibri" w:eastAsia="Calibri" w:hAnsi="Calibri"/>
          <w:sz w:val="22"/>
          <w:szCs w:val="22"/>
          <w:lang w:eastAsia="en-US"/>
        </w:rPr>
        <w:t>.</w:t>
      </w:r>
    </w:p>
    <w:p w:rsidR="001E1BC5" w:rsidRPr="00E21132" w:rsidRDefault="001E1BC5" w:rsidP="00036D58">
      <w:pPr>
        <w:pStyle w:val="Odstavecseseznamem"/>
        <w:numPr>
          <w:ilvl w:val="0"/>
          <w:numId w:val="20"/>
        </w:numPr>
        <w:spacing w:after="120"/>
        <w:rPr>
          <w:rFonts w:ascii="Calibri" w:eastAsia="Calibri" w:hAnsi="Calibri"/>
          <w:sz w:val="22"/>
          <w:szCs w:val="22"/>
          <w:lang w:eastAsia="en-US"/>
        </w:rPr>
      </w:pPr>
      <w:r w:rsidRPr="00E21132">
        <w:rPr>
          <w:rFonts w:ascii="Calibri" w:eastAsia="Calibri" w:hAnsi="Calibri"/>
          <w:sz w:val="22"/>
          <w:szCs w:val="22"/>
          <w:lang w:eastAsia="en-US"/>
        </w:rPr>
        <w:t xml:space="preserve">Absence předem nastavených </w:t>
      </w:r>
      <w:r w:rsidRPr="00E21132">
        <w:rPr>
          <w:rFonts w:ascii="Calibri" w:eastAsia="Calibri" w:hAnsi="Calibri"/>
          <w:bCs/>
          <w:sz w:val="22"/>
          <w:szCs w:val="22"/>
          <w:lang w:eastAsia="en-US"/>
        </w:rPr>
        <w:t xml:space="preserve">interních pravidel </w:t>
      </w:r>
      <w:r w:rsidRPr="00E21132">
        <w:rPr>
          <w:rFonts w:ascii="Calibri" w:eastAsia="Calibri" w:hAnsi="Calibri"/>
          <w:sz w:val="22"/>
          <w:szCs w:val="22"/>
          <w:lang w:eastAsia="en-US"/>
        </w:rPr>
        <w:t xml:space="preserve">organizací. </w:t>
      </w:r>
    </w:p>
    <w:p w:rsidR="001E1BC5" w:rsidRPr="00E21132" w:rsidRDefault="001E1BC5" w:rsidP="00036D58">
      <w:pPr>
        <w:pStyle w:val="Odstavecseseznamem"/>
        <w:numPr>
          <w:ilvl w:val="0"/>
          <w:numId w:val="20"/>
        </w:numPr>
        <w:spacing w:after="120"/>
        <w:rPr>
          <w:rFonts w:ascii="Calibri" w:eastAsia="Calibri" w:hAnsi="Calibri"/>
          <w:sz w:val="22"/>
          <w:szCs w:val="22"/>
          <w:lang w:eastAsia="en-US"/>
        </w:rPr>
      </w:pPr>
      <w:r w:rsidRPr="00E21132">
        <w:rPr>
          <w:rFonts w:ascii="Calibri" w:eastAsia="Calibri" w:hAnsi="Calibri"/>
          <w:sz w:val="22"/>
          <w:szCs w:val="22"/>
          <w:lang w:eastAsia="en-US"/>
        </w:rPr>
        <w:t xml:space="preserve">Obavy ze ztráty </w:t>
      </w:r>
      <w:r w:rsidRPr="00E21132">
        <w:rPr>
          <w:rFonts w:ascii="Calibri" w:eastAsia="Calibri" w:hAnsi="Calibri"/>
          <w:bCs/>
          <w:sz w:val="22"/>
          <w:szCs w:val="22"/>
          <w:lang w:eastAsia="en-US"/>
        </w:rPr>
        <w:t>individuálního rozhodování</w:t>
      </w:r>
      <w:r w:rsidRPr="00E21132">
        <w:rPr>
          <w:rFonts w:ascii="Calibri" w:eastAsia="Calibri" w:hAnsi="Calibri"/>
          <w:sz w:val="22"/>
          <w:szCs w:val="22"/>
          <w:lang w:eastAsia="en-US"/>
        </w:rPr>
        <w:t xml:space="preserve">. </w:t>
      </w:r>
    </w:p>
    <w:p w:rsidR="001E1BC5" w:rsidRDefault="001E1BC5" w:rsidP="00036D58">
      <w:pPr>
        <w:pStyle w:val="Odstavecseseznamem"/>
        <w:numPr>
          <w:ilvl w:val="0"/>
          <w:numId w:val="20"/>
        </w:numPr>
        <w:spacing w:after="120"/>
        <w:ind w:left="1434" w:hanging="357"/>
        <w:contextualSpacing w:val="0"/>
        <w:rPr>
          <w:rFonts w:ascii="Calibri" w:eastAsia="Calibri" w:hAnsi="Calibri"/>
          <w:sz w:val="22"/>
          <w:szCs w:val="22"/>
          <w:lang w:eastAsia="en-US"/>
        </w:rPr>
      </w:pPr>
      <w:r w:rsidRPr="00E21132">
        <w:rPr>
          <w:rFonts w:ascii="Calibri" w:eastAsia="Calibri" w:hAnsi="Calibri"/>
          <w:sz w:val="22"/>
          <w:szCs w:val="22"/>
          <w:lang w:eastAsia="en-US"/>
        </w:rPr>
        <w:t>Specifická velikostní struktura</w:t>
      </w:r>
      <w:r>
        <w:rPr>
          <w:rFonts w:ascii="Calibri" w:eastAsia="Calibri" w:hAnsi="Calibri"/>
          <w:sz w:val="22"/>
          <w:szCs w:val="22"/>
          <w:lang w:eastAsia="en-US"/>
        </w:rPr>
        <w:t xml:space="preserve"> zemědělských podniků v ČR. Velké zemědělské podniky mají zřejmě nižší pocit potřeby spolupráce.</w:t>
      </w:r>
    </w:p>
    <w:p w:rsidR="00EE7FC4" w:rsidRPr="00EE7FC4" w:rsidRDefault="00EE7FC4" w:rsidP="00EE7FC4">
      <w:pPr>
        <w:spacing w:after="120"/>
        <w:ind w:firstLine="0"/>
        <w:rPr>
          <w:rFonts w:ascii="Calibri" w:eastAsia="Calibri" w:hAnsi="Calibri"/>
          <w:sz w:val="22"/>
          <w:szCs w:val="22"/>
          <w:lang w:eastAsia="en-US"/>
        </w:rPr>
      </w:pPr>
      <w:r w:rsidRPr="00EE7FC4">
        <w:rPr>
          <w:rFonts w:ascii="Calibri" w:eastAsia="Calibri" w:hAnsi="Calibri"/>
          <w:sz w:val="22"/>
          <w:szCs w:val="22"/>
          <w:lang w:eastAsia="en-US"/>
        </w:rPr>
        <w:t>Příčin je zřejmě více a patrně působí současně. Mohou spočívat ve specifické velikostní struktuře podniků v ČR, kdy velké podniky nepociťují potřebu se sdružovat tak, jako menší výrobci. Další příčinou mohou být obavy ze ztráty možnosti individuálně rozhodovat. Pro vytvoření úspěšného seskupení výrobců je zapotřebí zapojení vůdců. Jejich absence či nečinnost může spočívat v pracovním vytížení špičkových kapacit v oboru. V neposlední řadě je třeba jmenovat provozní podpory, které podporují ekonomiku zemědělských podniků a snižují stimulaci ke sdružování.  </w:t>
      </w:r>
    </w:p>
    <w:p w:rsidR="001F38E3" w:rsidRDefault="001F38E3" w:rsidP="00036D58">
      <w:pPr>
        <w:pStyle w:val="Odstavecseseznamem"/>
        <w:numPr>
          <w:ilvl w:val="0"/>
          <w:numId w:val="19"/>
        </w:numPr>
        <w:spacing w:after="240"/>
        <w:rPr>
          <w:rFonts w:ascii="Calibri" w:eastAsia="Calibri" w:hAnsi="Calibri"/>
          <w:b/>
          <w:sz w:val="22"/>
          <w:szCs w:val="22"/>
          <w:lang w:eastAsia="en-US"/>
        </w:rPr>
      </w:pPr>
      <w:r>
        <w:rPr>
          <w:rFonts w:ascii="Calibri" w:eastAsia="Calibri" w:hAnsi="Calibri"/>
          <w:b/>
          <w:sz w:val="22"/>
          <w:szCs w:val="22"/>
          <w:lang w:eastAsia="en-US"/>
        </w:rPr>
        <w:t xml:space="preserve">Absence diferenciace produktů prostřednictvím </w:t>
      </w:r>
      <w:r w:rsidR="002C5D11">
        <w:rPr>
          <w:rFonts w:ascii="Calibri" w:eastAsia="Calibri" w:hAnsi="Calibri"/>
          <w:b/>
          <w:sz w:val="22"/>
          <w:szCs w:val="22"/>
          <w:lang w:eastAsia="en-US"/>
        </w:rPr>
        <w:t>vertikálníc</w:t>
      </w:r>
      <w:r>
        <w:rPr>
          <w:rFonts w:ascii="Calibri" w:eastAsia="Calibri" w:hAnsi="Calibri"/>
          <w:b/>
          <w:sz w:val="22"/>
          <w:szCs w:val="22"/>
          <w:lang w:eastAsia="en-US"/>
        </w:rPr>
        <w:t xml:space="preserve">h režimů kvality </w:t>
      </w:r>
      <w:r w:rsidR="002C5D11">
        <w:rPr>
          <w:rFonts w:ascii="Calibri" w:eastAsia="Calibri" w:hAnsi="Calibri"/>
          <w:b/>
          <w:sz w:val="22"/>
          <w:szCs w:val="22"/>
          <w:lang w:eastAsia="en-US"/>
        </w:rPr>
        <w:t xml:space="preserve">zapojujících prvovýrobce </w:t>
      </w:r>
      <w:r w:rsidRPr="00406AF1">
        <w:rPr>
          <w:rFonts w:ascii="Calibri" w:eastAsia="Calibri" w:hAnsi="Calibri"/>
          <w:b/>
          <w:sz w:val="22"/>
          <w:szCs w:val="22"/>
          <w:lang w:eastAsia="en-US"/>
        </w:rPr>
        <w:t xml:space="preserve">k prosazení výrobků ve spotřebitelských preferencích. </w:t>
      </w:r>
    </w:p>
    <w:p w:rsidR="00343D91" w:rsidRDefault="00343D91" w:rsidP="00036D58">
      <w:pPr>
        <w:pStyle w:val="Odstavecseseznamem"/>
        <w:numPr>
          <w:ilvl w:val="0"/>
          <w:numId w:val="20"/>
        </w:numPr>
        <w:spacing w:after="120"/>
        <w:rPr>
          <w:rFonts w:ascii="Calibri" w:eastAsia="Calibri" w:hAnsi="Calibri"/>
          <w:sz w:val="22"/>
          <w:szCs w:val="22"/>
          <w:lang w:eastAsia="en-US"/>
        </w:rPr>
      </w:pPr>
      <w:r w:rsidRPr="00343D91">
        <w:rPr>
          <w:rFonts w:ascii="Calibri" w:eastAsia="Calibri" w:hAnsi="Calibri"/>
          <w:sz w:val="22"/>
          <w:szCs w:val="22"/>
          <w:lang w:eastAsia="en-US"/>
        </w:rPr>
        <w:t>Velmi pomalu se rozvíjí chápání marketingu nikoliv jen jako úkol státu, ale především privátní sféry (Strategie, MZe, 2015, s. 21).</w:t>
      </w:r>
    </w:p>
    <w:p w:rsidR="00E21132" w:rsidRDefault="00E21132" w:rsidP="00036D58">
      <w:pPr>
        <w:pStyle w:val="Odstavecseseznamem"/>
        <w:numPr>
          <w:ilvl w:val="0"/>
          <w:numId w:val="20"/>
        </w:numPr>
        <w:spacing w:after="120"/>
        <w:rPr>
          <w:rFonts w:ascii="Calibri" w:eastAsia="Calibri" w:hAnsi="Calibri"/>
          <w:sz w:val="22"/>
          <w:szCs w:val="22"/>
          <w:lang w:eastAsia="en-US"/>
        </w:rPr>
      </w:pPr>
      <w:r w:rsidRPr="00E21132">
        <w:rPr>
          <w:rFonts w:ascii="Calibri" w:eastAsia="Calibri" w:hAnsi="Calibri"/>
          <w:sz w:val="22"/>
          <w:szCs w:val="22"/>
          <w:lang w:eastAsia="en-US"/>
        </w:rPr>
        <w:t>Vstupní náklady na vybudování systémů.</w:t>
      </w:r>
    </w:p>
    <w:p w:rsidR="00343D91" w:rsidRDefault="005771AB" w:rsidP="00036D58">
      <w:pPr>
        <w:pStyle w:val="Odstavecseseznamem"/>
        <w:numPr>
          <w:ilvl w:val="0"/>
          <w:numId w:val="20"/>
        </w:numPr>
        <w:spacing w:after="120"/>
        <w:rPr>
          <w:rFonts w:ascii="Calibri" w:eastAsia="Calibri" w:hAnsi="Calibri"/>
          <w:sz w:val="22"/>
          <w:szCs w:val="22"/>
          <w:lang w:eastAsia="en-US"/>
        </w:rPr>
      </w:pPr>
      <w:r w:rsidRPr="001517E1">
        <w:rPr>
          <w:rFonts w:ascii="Calibri" w:eastAsia="Calibri" w:hAnsi="Calibri"/>
          <w:sz w:val="22"/>
          <w:szCs w:val="22"/>
          <w:lang w:eastAsia="en-US"/>
        </w:rPr>
        <w:t xml:space="preserve">Nejistota </w:t>
      </w:r>
      <w:r w:rsidR="00BA7C1C" w:rsidRPr="001517E1">
        <w:rPr>
          <w:rFonts w:ascii="Calibri" w:eastAsia="Calibri" w:hAnsi="Calibri"/>
          <w:sz w:val="22"/>
          <w:szCs w:val="22"/>
          <w:lang w:eastAsia="en-US"/>
        </w:rPr>
        <w:t xml:space="preserve"> v </w:t>
      </w:r>
      <w:r w:rsidR="00E21132" w:rsidRPr="001517E1">
        <w:rPr>
          <w:rFonts w:ascii="Calibri" w:eastAsia="Calibri" w:hAnsi="Calibri"/>
          <w:sz w:val="22"/>
          <w:szCs w:val="22"/>
          <w:lang w:eastAsia="en-US"/>
        </w:rPr>
        <w:t>ochot</w:t>
      </w:r>
      <w:r w:rsidR="00BA7C1C" w:rsidRPr="001517E1">
        <w:rPr>
          <w:rFonts w:ascii="Calibri" w:eastAsia="Calibri" w:hAnsi="Calibri"/>
          <w:sz w:val="22"/>
          <w:szCs w:val="22"/>
          <w:lang w:eastAsia="en-US"/>
        </w:rPr>
        <w:t>ě</w:t>
      </w:r>
      <w:r w:rsidR="00E21132" w:rsidRPr="001517E1">
        <w:rPr>
          <w:rFonts w:ascii="Calibri" w:eastAsia="Calibri" w:hAnsi="Calibri"/>
          <w:sz w:val="22"/>
          <w:szCs w:val="22"/>
          <w:lang w:eastAsia="en-US"/>
        </w:rPr>
        <w:t xml:space="preserve"> </w:t>
      </w:r>
      <w:r w:rsidRPr="001517E1">
        <w:rPr>
          <w:rFonts w:ascii="Calibri" w:eastAsia="Calibri" w:hAnsi="Calibri"/>
          <w:sz w:val="22"/>
          <w:szCs w:val="22"/>
          <w:lang w:eastAsia="en-US"/>
        </w:rPr>
        <w:t>spotřebitelů</w:t>
      </w:r>
      <w:r w:rsidR="00E21132" w:rsidRPr="001517E1">
        <w:rPr>
          <w:rFonts w:ascii="Calibri" w:eastAsia="Calibri" w:hAnsi="Calibri"/>
          <w:sz w:val="22"/>
          <w:szCs w:val="22"/>
          <w:lang w:eastAsia="en-US"/>
        </w:rPr>
        <w:t xml:space="preserve"> platit cenovou prémii za výrobky v režimu kvality</w:t>
      </w:r>
      <w:r w:rsidR="001517E1" w:rsidRPr="001517E1">
        <w:rPr>
          <w:rFonts w:ascii="Calibri" w:eastAsia="Calibri" w:hAnsi="Calibri"/>
          <w:sz w:val="22"/>
          <w:szCs w:val="22"/>
          <w:lang w:eastAsia="en-US"/>
        </w:rPr>
        <w:t xml:space="preserve">, averze k rizikům ve výrobě a očekávání řešení ze strany státu. </w:t>
      </w:r>
    </w:p>
    <w:p w:rsidR="001517E1" w:rsidRPr="001517E1" w:rsidRDefault="001517E1" w:rsidP="00036D58">
      <w:pPr>
        <w:pStyle w:val="Odstavecseseznamem"/>
        <w:numPr>
          <w:ilvl w:val="0"/>
          <w:numId w:val="20"/>
        </w:numPr>
        <w:spacing w:after="120"/>
        <w:rPr>
          <w:rFonts w:ascii="Calibri" w:eastAsia="Calibri" w:hAnsi="Calibri"/>
          <w:sz w:val="22"/>
          <w:szCs w:val="22"/>
          <w:lang w:eastAsia="en-US"/>
        </w:rPr>
      </w:pPr>
      <w:r>
        <w:rPr>
          <w:rFonts w:ascii="Calibri" w:eastAsia="Calibri" w:hAnsi="Calibri"/>
          <w:sz w:val="22"/>
          <w:szCs w:val="22"/>
          <w:lang w:eastAsia="en-US"/>
        </w:rPr>
        <w:t xml:space="preserve">Vysoké provozní podpory významně snižují stimulaci k vlastní aktivitě v marketingu prostřednictvím režimů kvality. </w:t>
      </w:r>
    </w:p>
    <w:p w:rsidR="0063240C" w:rsidRPr="007B6A29" w:rsidRDefault="00D60BFD" w:rsidP="005771AB">
      <w:pPr>
        <w:ind w:firstLine="0"/>
        <w:rPr>
          <w:rFonts w:ascii="Calibri" w:eastAsia="Calibri" w:hAnsi="Calibri"/>
          <w:sz w:val="22"/>
          <w:szCs w:val="22"/>
          <w:lang w:eastAsia="en-US"/>
        </w:rPr>
      </w:pPr>
      <w:r>
        <w:rPr>
          <w:rFonts w:ascii="Calibri" w:eastAsia="Calibri" w:hAnsi="Calibri"/>
          <w:sz w:val="22"/>
          <w:szCs w:val="22"/>
          <w:lang w:eastAsia="en-US"/>
        </w:rPr>
        <w:t>V</w:t>
      </w:r>
      <w:r w:rsidR="00AB02D2">
        <w:rPr>
          <w:rFonts w:ascii="Calibri" w:eastAsia="Calibri" w:hAnsi="Calibri"/>
          <w:sz w:val="22"/>
          <w:szCs w:val="22"/>
          <w:lang w:eastAsia="en-US"/>
        </w:rPr>
        <w:t> </w:t>
      </w:r>
      <w:r>
        <w:rPr>
          <w:rFonts w:ascii="Calibri" w:eastAsia="Calibri" w:hAnsi="Calibri"/>
          <w:sz w:val="22"/>
          <w:szCs w:val="22"/>
          <w:lang w:eastAsia="en-US"/>
        </w:rPr>
        <w:t>obec</w:t>
      </w:r>
      <w:r w:rsidR="00AB02D2">
        <w:rPr>
          <w:rFonts w:ascii="Calibri" w:eastAsia="Calibri" w:hAnsi="Calibri"/>
          <w:sz w:val="22"/>
          <w:szCs w:val="22"/>
          <w:lang w:eastAsia="en-US"/>
        </w:rPr>
        <w:t xml:space="preserve">ném pojetí </w:t>
      </w:r>
      <w:r w:rsidR="003F7B59">
        <w:rPr>
          <w:rFonts w:ascii="Calibri" w:eastAsia="Calibri" w:hAnsi="Calibri"/>
          <w:sz w:val="22"/>
          <w:szCs w:val="22"/>
          <w:lang w:eastAsia="en-US"/>
        </w:rPr>
        <w:t xml:space="preserve">souvisí </w:t>
      </w:r>
      <w:r w:rsidR="00AB02D2">
        <w:rPr>
          <w:rFonts w:ascii="Calibri" w:eastAsia="Calibri" w:hAnsi="Calibri"/>
          <w:sz w:val="22"/>
          <w:szCs w:val="22"/>
          <w:lang w:eastAsia="en-US"/>
        </w:rPr>
        <w:t>p</w:t>
      </w:r>
      <w:r w:rsidR="0063240C" w:rsidRPr="007B6A29">
        <w:rPr>
          <w:rFonts w:ascii="Calibri" w:eastAsia="Calibri" w:hAnsi="Calibri"/>
          <w:sz w:val="22"/>
          <w:szCs w:val="22"/>
          <w:lang w:eastAsia="en-US"/>
        </w:rPr>
        <w:t xml:space="preserve">říčiny </w:t>
      </w:r>
      <w:r w:rsidR="008B4333">
        <w:rPr>
          <w:rFonts w:ascii="Calibri" w:eastAsia="Calibri" w:hAnsi="Calibri"/>
          <w:sz w:val="22"/>
          <w:szCs w:val="22"/>
          <w:lang w:eastAsia="en-US"/>
        </w:rPr>
        <w:t xml:space="preserve">uvedené </w:t>
      </w:r>
      <w:r w:rsidR="0063240C" w:rsidRPr="007B6A29">
        <w:rPr>
          <w:rFonts w:ascii="Calibri" w:eastAsia="Calibri" w:hAnsi="Calibri"/>
          <w:sz w:val="22"/>
          <w:szCs w:val="22"/>
          <w:lang w:eastAsia="en-US"/>
        </w:rPr>
        <w:t xml:space="preserve">situace </w:t>
      </w:r>
      <w:r w:rsidR="00921C39">
        <w:rPr>
          <w:rFonts w:ascii="Calibri" w:eastAsia="Calibri" w:hAnsi="Calibri"/>
          <w:sz w:val="22"/>
          <w:szCs w:val="22"/>
          <w:lang w:eastAsia="en-US"/>
        </w:rPr>
        <w:t>s průvodními jevy globalizace trhů a</w:t>
      </w:r>
      <w:r w:rsidR="00AB02D2">
        <w:rPr>
          <w:rFonts w:ascii="Calibri" w:eastAsia="Calibri" w:hAnsi="Calibri"/>
          <w:sz w:val="22"/>
          <w:szCs w:val="22"/>
          <w:lang w:eastAsia="en-US"/>
        </w:rPr>
        <w:t> </w:t>
      </w:r>
      <w:r w:rsidR="00921C39">
        <w:rPr>
          <w:rFonts w:ascii="Calibri" w:eastAsia="Calibri" w:hAnsi="Calibri"/>
          <w:sz w:val="22"/>
          <w:szCs w:val="22"/>
          <w:lang w:eastAsia="en-US"/>
        </w:rPr>
        <w:t>kumulace kapitálu.</w:t>
      </w:r>
      <w:r w:rsidR="0084425B">
        <w:rPr>
          <w:rFonts w:ascii="Calibri" w:eastAsia="Calibri" w:hAnsi="Calibri"/>
          <w:sz w:val="22"/>
          <w:szCs w:val="22"/>
          <w:lang w:eastAsia="en-US"/>
        </w:rPr>
        <w:t xml:space="preserve"> K vybraným příčinám blíže:</w:t>
      </w:r>
    </w:p>
    <w:p w:rsidR="009D2101" w:rsidRPr="00EB7A14" w:rsidRDefault="009D2101" w:rsidP="009D2101">
      <w:pPr>
        <w:ind w:firstLine="0"/>
        <w:rPr>
          <w:rFonts w:asciiTheme="minorHAnsi" w:eastAsia="Calibri" w:hAnsiTheme="minorHAnsi"/>
          <w:sz w:val="22"/>
          <w:szCs w:val="22"/>
          <w:lang w:eastAsia="en-US"/>
        </w:rPr>
      </w:pPr>
      <w:r w:rsidRPr="00AB02D2">
        <w:rPr>
          <w:rFonts w:ascii="Calibri" w:eastAsia="Calibri" w:hAnsi="Calibri"/>
          <w:b/>
          <w:sz w:val="22"/>
          <w:szCs w:val="22"/>
          <w:lang w:eastAsia="en-US"/>
        </w:rPr>
        <w:t xml:space="preserve">Příčiny </w:t>
      </w:r>
      <w:r w:rsidR="00AB02D2">
        <w:rPr>
          <w:rFonts w:ascii="Calibri" w:eastAsia="Calibri" w:hAnsi="Calibri"/>
          <w:b/>
          <w:sz w:val="22"/>
          <w:szCs w:val="22"/>
          <w:lang w:eastAsia="en-US"/>
        </w:rPr>
        <w:t xml:space="preserve">asymetrické </w:t>
      </w:r>
      <w:r w:rsidRPr="00AB02D2">
        <w:rPr>
          <w:rFonts w:ascii="Calibri" w:eastAsia="Calibri" w:hAnsi="Calibri"/>
          <w:b/>
          <w:sz w:val="22"/>
          <w:szCs w:val="22"/>
          <w:lang w:eastAsia="en-US"/>
        </w:rPr>
        <w:t>cenové transmise.</w:t>
      </w:r>
      <w:r w:rsidRPr="00AB02D2">
        <w:rPr>
          <w:rFonts w:ascii="Calibri" w:eastAsia="Calibri" w:hAnsi="Calibri"/>
          <w:sz w:val="22"/>
          <w:szCs w:val="22"/>
          <w:lang w:eastAsia="en-US"/>
        </w:rPr>
        <w:t xml:space="preserve"> Otázce se věnovalo </w:t>
      </w:r>
      <w:r w:rsidR="00AB02D2">
        <w:rPr>
          <w:rFonts w:ascii="Calibri" w:eastAsia="Calibri" w:hAnsi="Calibri"/>
          <w:sz w:val="22"/>
          <w:szCs w:val="22"/>
          <w:lang w:eastAsia="en-US"/>
        </w:rPr>
        <w:t xml:space="preserve">značné </w:t>
      </w:r>
      <w:r w:rsidRPr="00AB02D2">
        <w:rPr>
          <w:rFonts w:asciiTheme="minorHAnsi" w:eastAsia="Calibri" w:hAnsiTheme="minorHAnsi"/>
          <w:sz w:val="22"/>
          <w:szCs w:val="22"/>
          <w:lang w:eastAsia="en-US"/>
        </w:rPr>
        <w:t xml:space="preserve">množství </w:t>
      </w:r>
      <w:r w:rsidR="002B44EF">
        <w:rPr>
          <w:rFonts w:asciiTheme="minorHAnsi" w:eastAsia="Calibri" w:hAnsiTheme="minorHAnsi"/>
          <w:sz w:val="22"/>
          <w:szCs w:val="22"/>
          <w:lang w:eastAsia="en-US"/>
        </w:rPr>
        <w:t>výzkumů, jejichž autoři</w:t>
      </w:r>
      <w:r w:rsidRPr="00AB02D2">
        <w:rPr>
          <w:rFonts w:asciiTheme="minorHAnsi" w:eastAsia="Calibri" w:hAnsiTheme="minorHAnsi"/>
          <w:sz w:val="22"/>
          <w:szCs w:val="22"/>
          <w:lang w:eastAsia="en-US"/>
        </w:rPr>
        <w:t xml:space="preserve"> dospěli k rozličným závěrům. </w:t>
      </w:r>
      <w:r w:rsidR="00AB02D2">
        <w:rPr>
          <w:rFonts w:asciiTheme="minorHAnsi" w:eastAsia="Calibri" w:hAnsiTheme="minorHAnsi"/>
          <w:sz w:val="22"/>
          <w:szCs w:val="22"/>
          <w:lang w:eastAsia="en-US"/>
        </w:rPr>
        <w:t>N</w:t>
      </w:r>
      <w:r w:rsidRPr="00AB02D2">
        <w:rPr>
          <w:rFonts w:asciiTheme="minorHAnsi" w:eastAsia="Calibri" w:hAnsiTheme="minorHAnsi"/>
          <w:sz w:val="22"/>
          <w:szCs w:val="22"/>
          <w:lang w:eastAsia="en-US"/>
        </w:rPr>
        <w:t xml:space="preserve">apř. </w:t>
      </w:r>
      <w:r w:rsidRPr="00AB02D2">
        <w:rPr>
          <w:rFonts w:asciiTheme="minorHAnsi" w:hAnsiTheme="minorHAnsi" w:cs="Arial"/>
          <w:sz w:val="22"/>
          <w:szCs w:val="22"/>
        </w:rPr>
        <w:t xml:space="preserve">Abdulai (2002) </w:t>
      </w:r>
      <w:r w:rsidR="00AB02D2">
        <w:rPr>
          <w:rFonts w:asciiTheme="minorHAnsi" w:hAnsiTheme="minorHAnsi" w:cs="Arial"/>
          <w:sz w:val="22"/>
          <w:szCs w:val="22"/>
        </w:rPr>
        <w:t xml:space="preserve">patří k těm, kdo </w:t>
      </w:r>
      <w:r w:rsidRPr="00AB02D2">
        <w:rPr>
          <w:rFonts w:asciiTheme="minorHAnsi" w:hAnsiTheme="minorHAnsi" w:cs="Arial"/>
          <w:sz w:val="22"/>
          <w:szCs w:val="22"/>
        </w:rPr>
        <w:t>vypočítal</w:t>
      </w:r>
      <w:r w:rsidR="00AB02D2">
        <w:rPr>
          <w:rFonts w:asciiTheme="minorHAnsi" w:hAnsiTheme="minorHAnsi" w:cs="Arial"/>
          <w:sz w:val="22"/>
          <w:szCs w:val="22"/>
        </w:rPr>
        <w:t>i</w:t>
      </w:r>
      <w:r w:rsidRPr="00AB02D2">
        <w:rPr>
          <w:rFonts w:asciiTheme="minorHAnsi" w:hAnsiTheme="minorHAnsi" w:cs="Arial"/>
          <w:sz w:val="22"/>
          <w:szCs w:val="22"/>
        </w:rPr>
        <w:t>, že zvýšení producentských cen masa se na maloobchodní ceny přenáší rychleji než jejich snížení. Von Cramon</w:t>
      </w:r>
      <w:r w:rsidRPr="00AB02D2">
        <w:rPr>
          <w:rFonts w:asciiTheme="minorHAnsi" w:hAnsiTheme="minorHAnsi" w:cs="Arial"/>
          <w:sz w:val="22"/>
          <w:szCs w:val="22"/>
        </w:rPr>
        <w:noBreakHyphen/>
        <w:t>Taubadel (1998) zjistil totéž ve vztahu CZV a CPV</w:t>
      </w:r>
      <w:r w:rsidRPr="00AB02D2">
        <w:rPr>
          <w:rFonts w:cs="Arial"/>
          <w:sz w:val="20"/>
          <w:szCs w:val="20"/>
        </w:rPr>
        <w:t xml:space="preserve">. </w:t>
      </w:r>
      <w:r w:rsidRPr="00AB02D2">
        <w:rPr>
          <w:rFonts w:ascii="Calibri" w:eastAsia="Calibri" w:hAnsi="Calibri"/>
          <w:sz w:val="22"/>
          <w:szCs w:val="22"/>
          <w:lang w:eastAsia="en-US"/>
        </w:rPr>
        <w:t xml:space="preserve">McCorriston &amp; Sheldon (1996) zjistili, že čím vyšší počet aktérů s tržní silou je ve vertikální tržní struktuře, tím nižší je přenos cenových změn. Podle Blindera (1994) a Blindera et al. (1998) může být příčinou to, že při růstu nákladů obchody nechtějí vybočovat z chování konkurentů. Zachariasse &amp; Bunte (2003) uvádí dva důvody: vzájemnou </w:t>
      </w:r>
      <w:r w:rsidRPr="00EB7A14">
        <w:rPr>
          <w:rFonts w:asciiTheme="minorHAnsi" w:eastAsia="Calibri" w:hAnsiTheme="minorHAnsi"/>
          <w:sz w:val="22"/>
          <w:szCs w:val="22"/>
          <w:lang w:eastAsia="en-US"/>
        </w:rPr>
        <w:t>závislost v rámci oligopol</w:t>
      </w:r>
      <w:r w:rsidR="003F7B59">
        <w:rPr>
          <w:rFonts w:asciiTheme="minorHAnsi" w:eastAsia="Calibri" w:hAnsiTheme="minorHAnsi"/>
          <w:sz w:val="22"/>
          <w:szCs w:val="22"/>
          <w:lang w:eastAsia="en-US"/>
        </w:rPr>
        <w:t>ních</w:t>
      </w:r>
      <w:r w:rsidRPr="00EB7A14">
        <w:rPr>
          <w:rFonts w:asciiTheme="minorHAnsi" w:eastAsia="Calibri" w:hAnsiTheme="minorHAnsi"/>
          <w:sz w:val="22"/>
          <w:szCs w:val="22"/>
          <w:lang w:eastAsia="en-US"/>
        </w:rPr>
        <w:t xml:space="preserve"> a</w:t>
      </w:r>
      <w:r w:rsidR="00AB02D2" w:rsidRPr="00EB7A14">
        <w:rPr>
          <w:rFonts w:asciiTheme="minorHAnsi" w:eastAsia="Calibri" w:hAnsiTheme="minorHAnsi"/>
          <w:sz w:val="22"/>
          <w:szCs w:val="22"/>
          <w:lang w:eastAsia="en-US"/>
        </w:rPr>
        <w:t> </w:t>
      </w:r>
      <w:r w:rsidRPr="00EB7A14">
        <w:rPr>
          <w:rFonts w:asciiTheme="minorHAnsi" w:eastAsia="Calibri" w:hAnsiTheme="minorHAnsi"/>
          <w:sz w:val="22"/>
          <w:szCs w:val="22"/>
          <w:lang w:eastAsia="en-US"/>
        </w:rPr>
        <w:t xml:space="preserve"> oligopso</w:t>
      </w:r>
      <w:r w:rsidR="003F7B59">
        <w:rPr>
          <w:rFonts w:asciiTheme="minorHAnsi" w:eastAsia="Calibri" w:hAnsiTheme="minorHAnsi"/>
          <w:sz w:val="22"/>
          <w:szCs w:val="22"/>
          <w:lang w:eastAsia="en-US"/>
        </w:rPr>
        <w:t>nní</w:t>
      </w:r>
      <w:r w:rsidRPr="00EB7A14">
        <w:rPr>
          <w:rFonts w:asciiTheme="minorHAnsi" w:eastAsia="Calibri" w:hAnsiTheme="minorHAnsi"/>
          <w:sz w:val="22"/>
          <w:szCs w:val="22"/>
          <w:lang w:eastAsia="en-US"/>
        </w:rPr>
        <w:t>ch struktur, která způsobuje prodlevy, a asi vůbec nejdůležitější důvod, že riziko vyvolání cenové války v rámci těchto struktur vede k neochotě snižovat ceny.</w:t>
      </w:r>
      <w:r w:rsidR="002B44EF" w:rsidRPr="00EB7A14">
        <w:rPr>
          <w:rFonts w:asciiTheme="minorHAnsi" w:eastAsia="Calibri" w:hAnsiTheme="minorHAnsi"/>
          <w:sz w:val="22"/>
          <w:szCs w:val="22"/>
          <w:lang w:eastAsia="en-US"/>
        </w:rPr>
        <w:t xml:space="preserve"> </w:t>
      </w:r>
      <w:r w:rsidR="00EB7A14" w:rsidRPr="00EB7A14">
        <w:rPr>
          <w:rFonts w:asciiTheme="minorHAnsi" w:eastAsia="Calibri" w:hAnsiTheme="minorHAnsi"/>
          <w:sz w:val="22"/>
          <w:szCs w:val="22"/>
          <w:lang w:eastAsia="en-US"/>
        </w:rPr>
        <w:t>P</w:t>
      </w:r>
      <w:r w:rsidR="002B44EF" w:rsidRPr="00EB7A14">
        <w:rPr>
          <w:rFonts w:asciiTheme="minorHAnsi" w:eastAsia="Calibri" w:hAnsiTheme="minorHAnsi"/>
          <w:sz w:val="22"/>
          <w:szCs w:val="22"/>
          <w:lang w:eastAsia="en-US"/>
        </w:rPr>
        <w:t>říčin</w:t>
      </w:r>
      <w:r w:rsidR="00EB7A14" w:rsidRPr="00EB7A14">
        <w:rPr>
          <w:rFonts w:asciiTheme="minorHAnsi" w:eastAsia="Calibri" w:hAnsiTheme="minorHAnsi"/>
          <w:sz w:val="22"/>
          <w:szCs w:val="22"/>
          <w:lang w:eastAsia="en-US"/>
        </w:rPr>
        <w:t>y asymetri</w:t>
      </w:r>
      <w:r w:rsidR="003F7B59">
        <w:rPr>
          <w:rFonts w:asciiTheme="minorHAnsi" w:eastAsia="Calibri" w:hAnsiTheme="minorHAnsi"/>
          <w:sz w:val="22"/>
          <w:szCs w:val="22"/>
          <w:lang w:eastAsia="en-US"/>
        </w:rPr>
        <w:t>e</w:t>
      </w:r>
      <w:r w:rsidR="002B44EF" w:rsidRPr="00EB7A14">
        <w:rPr>
          <w:rFonts w:asciiTheme="minorHAnsi" w:eastAsia="Calibri" w:hAnsiTheme="minorHAnsi"/>
          <w:sz w:val="22"/>
          <w:szCs w:val="22"/>
          <w:lang w:eastAsia="en-US"/>
        </w:rPr>
        <w:t xml:space="preserve"> v ČR </w:t>
      </w:r>
      <w:r w:rsidR="00EB7A14" w:rsidRPr="00EB7A14">
        <w:rPr>
          <w:rFonts w:asciiTheme="minorHAnsi" w:eastAsia="Calibri" w:hAnsiTheme="minorHAnsi"/>
          <w:sz w:val="22"/>
          <w:szCs w:val="22"/>
          <w:lang w:eastAsia="en-US"/>
        </w:rPr>
        <w:t xml:space="preserve">se mohou pohybovat </w:t>
      </w:r>
      <w:r w:rsidR="00EB7A14" w:rsidRPr="00EB7A14">
        <w:rPr>
          <w:rFonts w:asciiTheme="minorHAnsi" w:eastAsia="Calibri" w:hAnsiTheme="minorHAnsi"/>
          <w:sz w:val="22"/>
          <w:szCs w:val="22"/>
        </w:rPr>
        <w:t>v</w:t>
      </w:r>
      <w:r w:rsidR="003F7B59">
        <w:rPr>
          <w:rFonts w:asciiTheme="minorHAnsi" w:eastAsia="Calibri" w:hAnsiTheme="minorHAnsi"/>
          <w:sz w:val="22"/>
          <w:szCs w:val="22"/>
        </w:rPr>
        <w:t> </w:t>
      </w:r>
      <w:r w:rsidR="00EB7A14" w:rsidRPr="00EB7A14">
        <w:rPr>
          <w:rFonts w:asciiTheme="minorHAnsi" w:eastAsia="Calibri" w:hAnsiTheme="minorHAnsi"/>
          <w:sz w:val="22"/>
          <w:szCs w:val="22"/>
        </w:rPr>
        <w:t xml:space="preserve">intencích uvedených výzkumů. Rozklíčování je obtížné. </w:t>
      </w:r>
    </w:p>
    <w:p w:rsidR="00D212DE" w:rsidRDefault="00F86A94" w:rsidP="00AB02D2">
      <w:pPr>
        <w:ind w:firstLine="0"/>
        <w:rPr>
          <w:rFonts w:ascii="Calibri" w:eastAsia="Calibri" w:hAnsi="Calibri"/>
          <w:sz w:val="22"/>
          <w:szCs w:val="22"/>
          <w:lang w:eastAsia="en-US"/>
        </w:rPr>
      </w:pPr>
      <w:r w:rsidRPr="00AB02D2">
        <w:rPr>
          <w:rFonts w:ascii="Calibri" w:eastAsia="Calibri" w:hAnsi="Calibri"/>
          <w:b/>
          <w:sz w:val="22"/>
          <w:szCs w:val="22"/>
          <w:lang w:eastAsia="en-US"/>
        </w:rPr>
        <w:t>Krátké řetězce</w:t>
      </w:r>
      <w:r w:rsidR="005B7970">
        <w:rPr>
          <w:rFonts w:ascii="Calibri" w:eastAsia="Calibri" w:hAnsi="Calibri"/>
          <w:sz w:val="22"/>
          <w:szCs w:val="22"/>
          <w:lang w:eastAsia="en-US"/>
        </w:rPr>
        <w:t xml:space="preserve"> jsou využívány zejména malými zpracovateli.  </w:t>
      </w:r>
      <w:r w:rsidR="00467E2E">
        <w:rPr>
          <w:rFonts w:ascii="Calibri" w:eastAsia="Calibri" w:hAnsi="Calibri"/>
          <w:sz w:val="22"/>
          <w:szCs w:val="22"/>
          <w:lang w:eastAsia="en-US"/>
        </w:rPr>
        <w:t xml:space="preserve">Prodej v místě výroby </w:t>
      </w:r>
      <w:r w:rsidR="003F7B59">
        <w:rPr>
          <w:rFonts w:ascii="Calibri" w:eastAsia="Calibri" w:hAnsi="Calibri"/>
          <w:sz w:val="22"/>
          <w:szCs w:val="22"/>
          <w:lang w:eastAsia="en-US"/>
        </w:rPr>
        <w:t xml:space="preserve">však </w:t>
      </w:r>
      <w:r w:rsidR="00467E2E">
        <w:rPr>
          <w:rFonts w:ascii="Calibri" w:eastAsia="Calibri" w:hAnsi="Calibri"/>
          <w:sz w:val="22"/>
          <w:szCs w:val="22"/>
          <w:lang w:eastAsia="en-US"/>
        </w:rPr>
        <w:t>často naráží na cenovou bariéru a je tak podmíněn dopravou do urbanistických center nebo dobrým logistickým managementem</w:t>
      </w:r>
      <w:r w:rsidR="003F7B59">
        <w:rPr>
          <w:rFonts w:ascii="Calibri" w:eastAsia="Calibri" w:hAnsi="Calibri"/>
          <w:sz w:val="22"/>
          <w:szCs w:val="22"/>
          <w:lang w:eastAsia="en-US"/>
        </w:rPr>
        <w:t>, což je pro malé podnikatele často obtížné</w:t>
      </w:r>
      <w:r w:rsidR="00467E2E">
        <w:rPr>
          <w:rFonts w:ascii="Calibri" w:eastAsia="Calibri" w:hAnsi="Calibri"/>
          <w:sz w:val="22"/>
          <w:szCs w:val="22"/>
          <w:lang w:eastAsia="en-US"/>
        </w:rPr>
        <w:t xml:space="preserve">. </w:t>
      </w:r>
    </w:p>
    <w:p w:rsidR="00AC0E4C" w:rsidRPr="00D212DE" w:rsidRDefault="00412032" w:rsidP="00AB02D2">
      <w:pPr>
        <w:ind w:firstLine="0"/>
        <w:rPr>
          <w:rFonts w:ascii="Calibri" w:eastAsia="Calibri" w:hAnsi="Calibri"/>
          <w:sz w:val="22"/>
          <w:szCs w:val="22"/>
          <w:lang w:eastAsia="en-US"/>
        </w:rPr>
      </w:pPr>
      <w:r w:rsidRPr="00AB02D2">
        <w:rPr>
          <w:rFonts w:ascii="Calibri" w:eastAsia="Calibri" w:hAnsi="Calibri"/>
          <w:b/>
          <w:sz w:val="22"/>
          <w:szCs w:val="22"/>
          <w:lang w:eastAsia="en-US"/>
        </w:rPr>
        <w:t>Z</w:t>
      </w:r>
      <w:r w:rsidR="00AC0E4C" w:rsidRPr="00AB02D2">
        <w:rPr>
          <w:rFonts w:ascii="Calibri" w:eastAsia="Calibri" w:hAnsi="Calibri"/>
          <w:b/>
          <w:sz w:val="22"/>
          <w:szCs w:val="22"/>
          <w:lang w:eastAsia="en-US"/>
        </w:rPr>
        <w:t>pracování v zemědělském podniku</w:t>
      </w:r>
      <w:r w:rsidR="00AC0E4C" w:rsidRPr="00D212DE">
        <w:rPr>
          <w:rFonts w:ascii="Calibri" w:eastAsia="Calibri" w:hAnsi="Calibri"/>
          <w:sz w:val="22"/>
          <w:szCs w:val="22"/>
          <w:lang w:eastAsia="en-US"/>
        </w:rPr>
        <w:t xml:space="preserve"> je spojeno </w:t>
      </w:r>
      <w:r w:rsidR="00D212DE" w:rsidRPr="00D212DE">
        <w:rPr>
          <w:rFonts w:ascii="Calibri" w:eastAsia="Calibri" w:hAnsi="Calibri"/>
          <w:sz w:val="22"/>
          <w:szCs w:val="22"/>
          <w:lang w:eastAsia="en-US"/>
        </w:rPr>
        <w:t>s vysokými počátečními náklady pro vybudování finalizační fáze výroby</w:t>
      </w:r>
      <w:r>
        <w:rPr>
          <w:rFonts w:ascii="Calibri" w:eastAsia="Calibri" w:hAnsi="Calibri"/>
          <w:sz w:val="22"/>
          <w:szCs w:val="22"/>
          <w:lang w:eastAsia="en-US"/>
        </w:rPr>
        <w:t xml:space="preserve"> i </w:t>
      </w:r>
      <w:r w:rsidR="00AC0E4C" w:rsidRPr="00D212DE">
        <w:rPr>
          <w:rFonts w:ascii="Calibri" w:eastAsia="Calibri" w:hAnsi="Calibri"/>
          <w:sz w:val="22"/>
          <w:szCs w:val="22"/>
          <w:lang w:eastAsia="en-US"/>
        </w:rPr>
        <w:t>s řadou legislativních a administrativních nároků</w:t>
      </w:r>
      <w:r w:rsidR="00D212DE" w:rsidRPr="00D212DE">
        <w:rPr>
          <w:rFonts w:ascii="Calibri" w:eastAsia="Calibri" w:hAnsi="Calibri"/>
          <w:sz w:val="22"/>
          <w:szCs w:val="22"/>
          <w:lang w:eastAsia="en-US"/>
        </w:rPr>
        <w:t xml:space="preserve"> a se znalostí požadavků kontrolních organizací. </w:t>
      </w:r>
    </w:p>
    <w:p w:rsidR="003A6F51" w:rsidRDefault="00AB02D2" w:rsidP="00AB02D2">
      <w:pPr>
        <w:ind w:firstLine="0"/>
        <w:rPr>
          <w:rFonts w:ascii="Calibri" w:eastAsia="Calibri" w:hAnsi="Calibri"/>
          <w:sz w:val="22"/>
          <w:szCs w:val="22"/>
          <w:lang w:eastAsia="en-US"/>
        </w:rPr>
      </w:pPr>
      <w:r>
        <w:rPr>
          <w:rFonts w:ascii="Calibri" w:eastAsia="Calibri" w:hAnsi="Calibri"/>
          <w:b/>
          <w:sz w:val="22"/>
          <w:szCs w:val="22"/>
          <w:lang w:eastAsia="en-US"/>
        </w:rPr>
        <w:t xml:space="preserve">Spolupráce při </w:t>
      </w:r>
      <w:r w:rsidR="00DA1181" w:rsidRPr="00AB02D2">
        <w:rPr>
          <w:rFonts w:ascii="Calibri" w:eastAsia="Calibri" w:hAnsi="Calibri"/>
          <w:b/>
          <w:sz w:val="22"/>
          <w:szCs w:val="22"/>
          <w:lang w:eastAsia="en-US"/>
        </w:rPr>
        <w:t>odbytu výrobků</w:t>
      </w:r>
      <w:r w:rsidR="00DA1181">
        <w:rPr>
          <w:rFonts w:ascii="Calibri" w:eastAsia="Calibri" w:hAnsi="Calibri"/>
          <w:sz w:val="22"/>
          <w:szCs w:val="22"/>
          <w:lang w:eastAsia="en-US"/>
        </w:rPr>
        <w:t xml:space="preserve"> funguje v podstatě pouze tam, kde to vyžaduje po</w:t>
      </w:r>
      <w:r w:rsidR="002228A1">
        <w:rPr>
          <w:rFonts w:ascii="Calibri" w:eastAsia="Calibri" w:hAnsi="Calibri"/>
          <w:sz w:val="22"/>
          <w:szCs w:val="22"/>
          <w:lang w:eastAsia="en-US"/>
        </w:rPr>
        <w:t>vaha</w:t>
      </w:r>
      <w:r w:rsidR="00DA1181">
        <w:rPr>
          <w:rFonts w:ascii="Calibri" w:eastAsia="Calibri" w:hAnsi="Calibri"/>
          <w:sz w:val="22"/>
          <w:szCs w:val="22"/>
          <w:lang w:eastAsia="en-US"/>
        </w:rPr>
        <w:t xml:space="preserve"> produktu. V dalších odvětvích </w:t>
      </w:r>
      <w:r w:rsidR="002228A1">
        <w:rPr>
          <w:rFonts w:ascii="Calibri" w:eastAsia="Calibri" w:hAnsi="Calibri"/>
          <w:sz w:val="22"/>
          <w:szCs w:val="22"/>
          <w:lang w:eastAsia="en-US"/>
        </w:rPr>
        <w:t xml:space="preserve">vznikla řada </w:t>
      </w:r>
      <w:r w:rsidR="00DA1181">
        <w:rPr>
          <w:rFonts w:ascii="Calibri" w:eastAsia="Calibri" w:hAnsi="Calibri"/>
          <w:sz w:val="22"/>
          <w:szCs w:val="22"/>
          <w:lang w:eastAsia="en-US"/>
        </w:rPr>
        <w:t>organizac</w:t>
      </w:r>
      <w:r w:rsidR="002228A1">
        <w:rPr>
          <w:rFonts w:ascii="Calibri" w:eastAsia="Calibri" w:hAnsi="Calibri"/>
          <w:sz w:val="22"/>
          <w:szCs w:val="22"/>
          <w:lang w:eastAsia="en-US"/>
        </w:rPr>
        <w:t>í</w:t>
      </w:r>
      <w:r w:rsidR="00DA1181">
        <w:rPr>
          <w:rFonts w:ascii="Calibri" w:eastAsia="Calibri" w:hAnsi="Calibri"/>
          <w:sz w:val="22"/>
          <w:szCs w:val="22"/>
          <w:lang w:eastAsia="en-US"/>
        </w:rPr>
        <w:t xml:space="preserve"> výrobců či odbytov</w:t>
      </w:r>
      <w:r w:rsidR="002228A1">
        <w:rPr>
          <w:rFonts w:ascii="Calibri" w:eastAsia="Calibri" w:hAnsi="Calibri"/>
          <w:sz w:val="22"/>
          <w:szCs w:val="22"/>
          <w:lang w:eastAsia="en-US"/>
        </w:rPr>
        <w:t>ých</w:t>
      </w:r>
      <w:r w:rsidR="00DA1181">
        <w:rPr>
          <w:rFonts w:ascii="Calibri" w:eastAsia="Calibri" w:hAnsi="Calibri"/>
          <w:sz w:val="22"/>
          <w:szCs w:val="22"/>
          <w:lang w:eastAsia="en-US"/>
        </w:rPr>
        <w:t xml:space="preserve"> sdružení</w:t>
      </w:r>
      <w:r w:rsidR="002228A1">
        <w:rPr>
          <w:rFonts w:ascii="Calibri" w:eastAsia="Calibri" w:hAnsi="Calibri"/>
          <w:sz w:val="22"/>
          <w:szCs w:val="22"/>
          <w:lang w:eastAsia="en-US"/>
        </w:rPr>
        <w:t xml:space="preserve"> z podnětu dotačního titulu PRV 2007-2013 na zakládání skupin výrobců. </w:t>
      </w:r>
      <w:r w:rsidR="00DA1181">
        <w:rPr>
          <w:rFonts w:ascii="Calibri" w:eastAsia="Calibri" w:hAnsi="Calibri"/>
          <w:sz w:val="22"/>
          <w:szCs w:val="22"/>
          <w:lang w:eastAsia="en-US"/>
        </w:rPr>
        <w:t xml:space="preserve"> </w:t>
      </w:r>
      <w:r w:rsidR="002228A1">
        <w:rPr>
          <w:rFonts w:ascii="Calibri" w:eastAsia="Calibri" w:hAnsi="Calibri"/>
          <w:sz w:val="22"/>
          <w:szCs w:val="22"/>
          <w:lang w:eastAsia="en-US"/>
        </w:rPr>
        <w:t xml:space="preserve">Po vyčerpání podpory velká část organizací zanikla nebo funguje pouze formálně. </w:t>
      </w:r>
      <w:r w:rsidR="00EB7A14">
        <w:rPr>
          <w:rFonts w:ascii="Calibri" w:eastAsia="Calibri" w:hAnsi="Calibri"/>
          <w:sz w:val="22"/>
          <w:szCs w:val="22"/>
          <w:lang w:eastAsia="en-US"/>
        </w:rPr>
        <w:t xml:space="preserve">Neúspěch </w:t>
      </w:r>
      <w:r w:rsidR="0084425B">
        <w:rPr>
          <w:rFonts w:ascii="Calibri" w:eastAsia="Calibri" w:hAnsi="Calibri"/>
          <w:sz w:val="22"/>
          <w:szCs w:val="22"/>
          <w:lang w:eastAsia="en-US"/>
        </w:rPr>
        <w:t>v setrvání ustavených organizací je negativním precedentem pro současné postoje zemědělců.</w:t>
      </w:r>
      <w:r w:rsidR="003000F5">
        <w:rPr>
          <w:rFonts w:ascii="Calibri" w:eastAsia="Calibri" w:hAnsi="Calibri"/>
          <w:sz w:val="22"/>
          <w:szCs w:val="22"/>
          <w:lang w:eastAsia="en-US"/>
        </w:rPr>
        <w:t xml:space="preserve"> Problémem mohou být i administrativní kroky spojené se vznikem a činností organizací. </w:t>
      </w:r>
    </w:p>
    <w:p w:rsidR="00450FE6" w:rsidRDefault="003A6F51" w:rsidP="00AB02D2">
      <w:pPr>
        <w:ind w:firstLine="0"/>
        <w:rPr>
          <w:rFonts w:ascii="Calibri" w:eastAsia="Calibri" w:hAnsi="Calibri"/>
          <w:sz w:val="22"/>
          <w:szCs w:val="22"/>
          <w:lang w:eastAsia="en-US"/>
        </w:rPr>
      </w:pPr>
      <w:r w:rsidRPr="00AB02D2">
        <w:rPr>
          <w:rFonts w:ascii="Calibri" w:eastAsia="Calibri" w:hAnsi="Calibri"/>
          <w:b/>
          <w:sz w:val="22"/>
          <w:szCs w:val="22"/>
          <w:lang w:eastAsia="en-US"/>
        </w:rPr>
        <w:t>Vertikální programy kvality</w:t>
      </w:r>
      <w:r>
        <w:rPr>
          <w:rFonts w:ascii="Calibri" w:eastAsia="Calibri" w:hAnsi="Calibri"/>
          <w:sz w:val="22"/>
          <w:szCs w:val="22"/>
          <w:lang w:eastAsia="en-US"/>
        </w:rPr>
        <w:t xml:space="preserve"> musí být založeny na spolupráci. Základem je ochota ke spolupráci a pochopení společného cíle – uspět na trhu a získat si věrnou spotřebitelskou klientelu. Předpokladem účasti v systému je dodržet předem dané postupy, což může vyžadovat dodatečné investice. Současně jsou nutné vstupní náklady na vybudování systémů a vytvoření obecného povědomí spotřebitelů o jeho kvalitě. Příčinou absence programů může být též nejistota výrobců, zda tvrzení spotřebitelů týkajícího se </w:t>
      </w:r>
      <w:r w:rsidRPr="003000F5">
        <w:rPr>
          <w:rFonts w:ascii="Calibri" w:eastAsia="Calibri" w:hAnsi="Calibri"/>
          <w:sz w:val="22"/>
          <w:szCs w:val="22"/>
          <w:lang w:eastAsia="en-US"/>
        </w:rPr>
        <w:t xml:space="preserve">zájmu </w:t>
      </w:r>
      <w:r>
        <w:rPr>
          <w:rFonts w:ascii="Calibri" w:eastAsia="Calibri" w:hAnsi="Calibri"/>
          <w:sz w:val="22"/>
          <w:szCs w:val="22"/>
          <w:lang w:eastAsia="en-US"/>
        </w:rPr>
        <w:t>o </w:t>
      </w:r>
      <w:r w:rsidRPr="003000F5">
        <w:rPr>
          <w:rFonts w:ascii="Calibri" w:eastAsia="Calibri" w:hAnsi="Calibri"/>
          <w:sz w:val="22"/>
          <w:szCs w:val="22"/>
          <w:lang w:eastAsia="en-US"/>
        </w:rPr>
        <w:t>výrob</w:t>
      </w:r>
      <w:r>
        <w:rPr>
          <w:rFonts w:ascii="Calibri" w:eastAsia="Calibri" w:hAnsi="Calibri"/>
          <w:sz w:val="22"/>
          <w:szCs w:val="22"/>
          <w:lang w:eastAsia="en-US"/>
        </w:rPr>
        <w:t>ky</w:t>
      </w:r>
      <w:r w:rsidRPr="003000F5">
        <w:rPr>
          <w:rFonts w:ascii="Calibri" w:eastAsia="Calibri" w:hAnsi="Calibri"/>
          <w:sz w:val="22"/>
          <w:szCs w:val="22"/>
          <w:lang w:eastAsia="en-US"/>
        </w:rPr>
        <w:t xml:space="preserve"> s nadstandardní kvalitou jsou jen deklarovaná, či se potvrdí v praxi.</w:t>
      </w:r>
      <w:r w:rsidR="00E72300" w:rsidRPr="00181756">
        <w:rPr>
          <w:rFonts w:ascii="Calibri" w:eastAsia="Calibri" w:hAnsi="Calibri"/>
          <w:sz w:val="22"/>
          <w:szCs w:val="22"/>
          <w:lang w:eastAsia="en-US"/>
        </w:rPr>
        <w:t xml:space="preserve"> </w:t>
      </w:r>
    </w:p>
    <w:p w:rsidR="00F245B1" w:rsidRPr="00724397" w:rsidRDefault="00E326BC" w:rsidP="00E4113A">
      <w:pPr>
        <w:pStyle w:val="Nadpis1"/>
        <w:numPr>
          <w:ilvl w:val="0"/>
          <w:numId w:val="1"/>
        </w:numPr>
      </w:pPr>
      <w:bookmarkStart w:id="5" w:name="_Toc525760681"/>
      <w:r w:rsidRPr="00724397">
        <w:t>Závažnost problému</w:t>
      </w:r>
      <w:bookmarkEnd w:id="5"/>
      <w:r w:rsidR="00E4113A" w:rsidRPr="00724397">
        <w:t xml:space="preserve"> </w:t>
      </w:r>
    </w:p>
    <w:p w:rsidR="004D757D" w:rsidRDefault="004D757D" w:rsidP="00036D58">
      <w:pPr>
        <w:pStyle w:val="Odstavecseseznamem"/>
        <w:numPr>
          <w:ilvl w:val="0"/>
          <w:numId w:val="21"/>
        </w:numPr>
        <w:spacing w:after="120"/>
        <w:rPr>
          <w:rFonts w:ascii="Calibri" w:eastAsia="Calibri" w:hAnsi="Calibri"/>
          <w:b/>
          <w:sz w:val="22"/>
          <w:szCs w:val="22"/>
          <w:lang w:eastAsia="en-US"/>
        </w:rPr>
      </w:pPr>
      <w:r w:rsidRPr="00406AF1">
        <w:rPr>
          <w:rFonts w:ascii="Calibri" w:eastAsia="Calibri" w:hAnsi="Calibri"/>
          <w:b/>
          <w:sz w:val="22"/>
          <w:szCs w:val="22"/>
          <w:lang w:eastAsia="en-US"/>
        </w:rPr>
        <w:t>Dominantní vliv obchodních řetězců na úrovni maloobchodního odběratele.</w:t>
      </w:r>
    </w:p>
    <w:p w:rsidR="001B36C4" w:rsidRDefault="001B36C4" w:rsidP="00024A3A">
      <w:pPr>
        <w:spacing w:after="120"/>
        <w:ind w:firstLine="0"/>
        <w:rPr>
          <w:rFonts w:ascii="Calibri" w:eastAsia="Calibri" w:hAnsi="Calibri"/>
          <w:sz w:val="22"/>
          <w:szCs w:val="22"/>
          <w:lang w:eastAsia="en-US"/>
        </w:rPr>
      </w:pPr>
      <w:r w:rsidRPr="00024A3A">
        <w:rPr>
          <w:rFonts w:ascii="Calibri" w:eastAsia="Calibri" w:hAnsi="Calibri"/>
          <w:sz w:val="22"/>
          <w:szCs w:val="22"/>
          <w:lang w:eastAsia="en-US"/>
        </w:rPr>
        <w:t xml:space="preserve">Problém se vyskytuje napříč odvětvími zemědělské produkce. Na jedné straně stojí vztah výrobců potravin a maloobchodních řetězců na druhé straně význam řetězců pro spotřebitele. V prvním případě nebylo nalezeno odvětví, kde by na straně dodavatelů stála významná protiváha maloobchodním řetězcům. V případě významu maloobchodních řetězců pro spotřebitele existují jen mírné odchylky mezi skupinami potravin, kdy např. </w:t>
      </w:r>
      <w:r w:rsidR="00024A3A" w:rsidRPr="00024A3A">
        <w:rPr>
          <w:rFonts w:ascii="Calibri" w:eastAsia="Calibri" w:hAnsi="Calibri"/>
          <w:sz w:val="22"/>
          <w:szCs w:val="22"/>
          <w:lang w:eastAsia="en-US"/>
        </w:rPr>
        <w:t xml:space="preserve">pro </w:t>
      </w:r>
      <w:r w:rsidRPr="00024A3A">
        <w:rPr>
          <w:rFonts w:ascii="Calibri" w:eastAsia="Calibri" w:hAnsi="Calibri"/>
          <w:sz w:val="22"/>
          <w:szCs w:val="22"/>
          <w:lang w:eastAsia="en-US"/>
        </w:rPr>
        <w:t xml:space="preserve">masné výrobky jsou </w:t>
      </w:r>
      <w:r w:rsidR="00024A3A" w:rsidRPr="00024A3A">
        <w:rPr>
          <w:rFonts w:ascii="Calibri" w:eastAsia="Calibri" w:hAnsi="Calibri"/>
          <w:sz w:val="22"/>
          <w:szCs w:val="22"/>
          <w:lang w:eastAsia="en-US"/>
        </w:rPr>
        <w:t xml:space="preserve">jako hlavní nákupní místo </w:t>
      </w:r>
      <w:r w:rsidRPr="00024A3A">
        <w:rPr>
          <w:rFonts w:ascii="Calibri" w:eastAsia="Calibri" w:hAnsi="Calibri"/>
          <w:sz w:val="22"/>
          <w:szCs w:val="22"/>
          <w:lang w:eastAsia="en-US"/>
        </w:rPr>
        <w:t>udávány</w:t>
      </w:r>
      <w:r w:rsidR="00024A3A" w:rsidRPr="00024A3A">
        <w:rPr>
          <w:rFonts w:ascii="Calibri" w:eastAsia="Calibri" w:hAnsi="Calibri"/>
          <w:sz w:val="22"/>
          <w:szCs w:val="22"/>
          <w:lang w:eastAsia="en-US"/>
        </w:rPr>
        <w:t xml:space="preserve"> maloobchodní řetězce o něco méně než např. v případě ovoce a zeleniny (viz data GfK v kapitole </w:t>
      </w:r>
      <w:r w:rsidR="00BD69B1">
        <w:rPr>
          <w:rFonts w:ascii="Calibri" w:eastAsia="Calibri" w:hAnsi="Calibri"/>
          <w:sz w:val="22"/>
          <w:szCs w:val="22"/>
          <w:lang w:eastAsia="en-US"/>
        </w:rPr>
        <w:t>„</w:t>
      </w:r>
      <w:r w:rsidR="00024A3A" w:rsidRPr="00024A3A">
        <w:rPr>
          <w:rFonts w:ascii="Calibri" w:eastAsia="Calibri" w:hAnsi="Calibri"/>
          <w:sz w:val="22"/>
          <w:szCs w:val="22"/>
          <w:lang w:eastAsia="en-US"/>
        </w:rPr>
        <w:t>Stanovení skutečného problému</w:t>
      </w:r>
      <w:r w:rsidR="00BD69B1">
        <w:rPr>
          <w:rFonts w:ascii="Calibri" w:eastAsia="Calibri" w:hAnsi="Calibri"/>
          <w:sz w:val="22"/>
          <w:szCs w:val="22"/>
          <w:lang w:eastAsia="en-US"/>
        </w:rPr>
        <w:t xml:space="preserve"> …“</w:t>
      </w:r>
      <w:r w:rsidR="00024A3A" w:rsidRPr="00024A3A">
        <w:rPr>
          <w:rFonts w:ascii="Calibri" w:eastAsia="Calibri" w:hAnsi="Calibri"/>
          <w:sz w:val="22"/>
          <w:szCs w:val="22"/>
          <w:lang w:eastAsia="en-US"/>
        </w:rPr>
        <w:t>).</w:t>
      </w:r>
      <w:r w:rsidRPr="00024A3A">
        <w:rPr>
          <w:rFonts w:ascii="Calibri" w:eastAsia="Calibri" w:hAnsi="Calibri"/>
          <w:sz w:val="22"/>
          <w:szCs w:val="22"/>
          <w:lang w:eastAsia="en-US"/>
        </w:rPr>
        <w:t xml:space="preserve">  </w:t>
      </w:r>
    </w:p>
    <w:p w:rsidR="00CE7FAD" w:rsidRPr="00406AF1" w:rsidRDefault="00CE7FAD" w:rsidP="00036D58">
      <w:pPr>
        <w:pStyle w:val="Odstavecseseznamem"/>
        <w:numPr>
          <w:ilvl w:val="0"/>
          <w:numId w:val="21"/>
        </w:numPr>
        <w:spacing w:after="120"/>
        <w:rPr>
          <w:rFonts w:ascii="Calibri" w:eastAsia="Calibri" w:hAnsi="Calibri"/>
          <w:b/>
          <w:sz w:val="22"/>
          <w:szCs w:val="22"/>
          <w:lang w:eastAsia="en-US"/>
        </w:rPr>
      </w:pPr>
      <w:r w:rsidRPr="00406AF1">
        <w:rPr>
          <w:rFonts w:ascii="Calibri" w:eastAsia="Calibri" w:hAnsi="Calibri"/>
          <w:b/>
          <w:sz w:val="22"/>
          <w:szCs w:val="22"/>
          <w:lang w:eastAsia="en-US"/>
        </w:rPr>
        <w:t>Nízká míra sdružování výrobců při odbytu.</w:t>
      </w:r>
    </w:p>
    <w:p w:rsidR="008A65DC" w:rsidRDefault="00107114" w:rsidP="00CE7FAD">
      <w:pPr>
        <w:spacing w:after="120"/>
        <w:ind w:firstLine="0"/>
        <w:rPr>
          <w:rFonts w:ascii="Calibri" w:eastAsia="Calibri" w:hAnsi="Calibri"/>
          <w:sz w:val="22"/>
          <w:szCs w:val="22"/>
          <w:lang w:eastAsia="en-US"/>
        </w:rPr>
      </w:pPr>
      <w:r w:rsidRPr="00024A3A">
        <w:rPr>
          <w:rFonts w:ascii="Calibri" w:eastAsia="Calibri" w:hAnsi="Calibri"/>
          <w:sz w:val="22"/>
          <w:szCs w:val="22"/>
          <w:lang w:eastAsia="en-US"/>
        </w:rPr>
        <w:t>Problém se vyskytuje napříč odvětvími zemědělské produkce</w:t>
      </w:r>
      <w:r>
        <w:rPr>
          <w:rFonts w:ascii="Calibri" w:eastAsia="Calibri" w:hAnsi="Calibri"/>
          <w:sz w:val="22"/>
          <w:szCs w:val="22"/>
          <w:lang w:eastAsia="en-US"/>
        </w:rPr>
        <w:t xml:space="preserve">. Výjimku tvoří odvětví mléka a ovoce a zeleniny, kde je sdružování vynuceno podstatou produktu. Ani v těchto odvětvích však nelze zkonstatovat vyřešenou situaci. </w:t>
      </w:r>
    </w:p>
    <w:p w:rsidR="004D757D" w:rsidRDefault="004D757D" w:rsidP="00036D58">
      <w:pPr>
        <w:pStyle w:val="Odstavecseseznamem"/>
        <w:numPr>
          <w:ilvl w:val="0"/>
          <w:numId w:val="21"/>
        </w:numPr>
        <w:spacing w:after="120"/>
        <w:rPr>
          <w:rFonts w:ascii="Calibri" w:eastAsia="Calibri" w:hAnsi="Calibri"/>
          <w:b/>
          <w:sz w:val="22"/>
          <w:szCs w:val="22"/>
          <w:lang w:eastAsia="en-US"/>
        </w:rPr>
      </w:pPr>
      <w:r>
        <w:rPr>
          <w:rFonts w:ascii="Calibri" w:eastAsia="Calibri" w:hAnsi="Calibri"/>
          <w:b/>
          <w:sz w:val="22"/>
          <w:szCs w:val="22"/>
          <w:lang w:eastAsia="en-US"/>
        </w:rPr>
        <w:t xml:space="preserve">Absence diferenciace produktů prostřednictvím </w:t>
      </w:r>
      <w:r w:rsidR="00E127B2">
        <w:rPr>
          <w:rFonts w:ascii="Calibri" w:eastAsia="Calibri" w:hAnsi="Calibri"/>
          <w:b/>
          <w:sz w:val="22"/>
          <w:szCs w:val="22"/>
          <w:lang w:eastAsia="en-US"/>
        </w:rPr>
        <w:t>vertikálníc</w:t>
      </w:r>
      <w:r>
        <w:rPr>
          <w:rFonts w:ascii="Calibri" w:eastAsia="Calibri" w:hAnsi="Calibri"/>
          <w:b/>
          <w:sz w:val="22"/>
          <w:szCs w:val="22"/>
          <w:lang w:eastAsia="en-US"/>
        </w:rPr>
        <w:t xml:space="preserve">h režimů kvality </w:t>
      </w:r>
      <w:r w:rsidR="00E127B2">
        <w:rPr>
          <w:rFonts w:ascii="Calibri" w:eastAsia="Calibri" w:hAnsi="Calibri"/>
          <w:b/>
          <w:sz w:val="22"/>
          <w:szCs w:val="22"/>
          <w:lang w:eastAsia="en-US"/>
        </w:rPr>
        <w:t xml:space="preserve">zapojujících prvovýrobce </w:t>
      </w:r>
      <w:r w:rsidRPr="00406AF1">
        <w:rPr>
          <w:rFonts w:ascii="Calibri" w:eastAsia="Calibri" w:hAnsi="Calibri"/>
          <w:b/>
          <w:sz w:val="22"/>
          <w:szCs w:val="22"/>
          <w:lang w:eastAsia="en-US"/>
        </w:rPr>
        <w:t xml:space="preserve">k prosazení výrobků ve spotřebitelských preferencích. </w:t>
      </w:r>
    </w:p>
    <w:p w:rsidR="001579F0" w:rsidRPr="001579F0" w:rsidRDefault="00307736" w:rsidP="001579F0">
      <w:pPr>
        <w:spacing w:after="120"/>
        <w:ind w:firstLine="0"/>
        <w:rPr>
          <w:rFonts w:ascii="Calibri" w:eastAsia="Calibri" w:hAnsi="Calibri"/>
          <w:b/>
          <w:sz w:val="22"/>
          <w:szCs w:val="22"/>
          <w:lang w:eastAsia="en-US"/>
        </w:rPr>
      </w:pPr>
      <w:r>
        <w:rPr>
          <w:rFonts w:ascii="Calibri" w:eastAsia="Calibri" w:hAnsi="Calibri"/>
          <w:sz w:val="22"/>
          <w:szCs w:val="22"/>
          <w:lang w:eastAsia="en-US"/>
        </w:rPr>
        <w:t>V žádném odvětví nefunguje vertikální systém</w:t>
      </w:r>
      <w:r w:rsidR="00264F72">
        <w:rPr>
          <w:rFonts w:ascii="Calibri" w:eastAsia="Calibri" w:hAnsi="Calibri"/>
          <w:sz w:val="22"/>
          <w:szCs w:val="22"/>
          <w:lang w:eastAsia="en-US"/>
        </w:rPr>
        <w:t xml:space="preserve"> kvality, který by posiloval pozici zemědělců. Na trhu se vyskytuje celá škála značek kvality, u nichž jsou podmínky</w:t>
      </w:r>
      <w:r>
        <w:rPr>
          <w:rFonts w:ascii="Calibri" w:eastAsia="Calibri" w:hAnsi="Calibri"/>
          <w:sz w:val="22"/>
          <w:szCs w:val="22"/>
          <w:lang w:eastAsia="en-US"/>
        </w:rPr>
        <w:t xml:space="preserve"> </w:t>
      </w:r>
      <w:r w:rsidR="00264F72">
        <w:rPr>
          <w:rFonts w:ascii="Calibri" w:eastAsia="Calibri" w:hAnsi="Calibri"/>
          <w:sz w:val="22"/>
          <w:szCs w:val="22"/>
          <w:lang w:eastAsia="en-US"/>
        </w:rPr>
        <w:t>certifikace v naprosté většině definovány na úrovni zpracovatele</w:t>
      </w:r>
      <w:r w:rsidR="00264F72">
        <w:rPr>
          <w:rStyle w:val="Znakapoznpodarou"/>
          <w:rFonts w:eastAsia="Calibri"/>
          <w:szCs w:val="22"/>
          <w:lang w:eastAsia="en-US"/>
        </w:rPr>
        <w:footnoteReference w:id="14"/>
      </w:r>
      <w:r w:rsidR="00264F72">
        <w:rPr>
          <w:rFonts w:ascii="Calibri" w:eastAsia="Calibri" w:hAnsi="Calibri"/>
          <w:sz w:val="22"/>
          <w:szCs w:val="22"/>
          <w:lang w:eastAsia="en-US"/>
        </w:rPr>
        <w:t xml:space="preserve">. Mimoto je na trhu velké množství </w:t>
      </w:r>
      <w:r w:rsidR="00EB4FA3" w:rsidRPr="00EB4FA3">
        <w:rPr>
          <w:rFonts w:ascii="Calibri" w:eastAsia="Calibri" w:hAnsi="Calibri"/>
          <w:sz w:val="22"/>
          <w:szCs w:val="22"/>
          <w:lang w:eastAsia="en-US"/>
        </w:rPr>
        <w:t>různých značek kvality, ovšem spotřebitelé mají podle výzkumu ÚZEI (interní výzkumný projekt 1118/2017) znalost jen úzkého okruhu značek kvality, zatímco znalost velkého množství značek prokázalo jen nízké procento spotřebitelů</w:t>
      </w:r>
      <w:r w:rsidR="005122C8">
        <w:rPr>
          <w:rFonts w:ascii="Calibri" w:eastAsia="Calibri" w:hAnsi="Calibri"/>
          <w:sz w:val="22"/>
          <w:szCs w:val="22"/>
          <w:lang w:eastAsia="en-US"/>
        </w:rPr>
        <w:t>.</w:t>
      </w:r>
      <w:r w:rsidR="007514B7">
        <w:rPr>
          <w:rFonts w:ascii="Calibri" w:eastAsia="Calibri" w:hAnsi="Calibri"/>
          <w:sz w:val="22"/>
          <w:szCs w:val="22"/>
          <w:lang w:eastAsia="en-US"/>
        </w:rPr>
        <w:t xml:space="preserve"> </w:t>
      </w:r>
      <w:r w:rsidR="00264F72">
        <w:rPr>
          <w:rFonts w:ascii="Calibri" w:eastAsia="Calibri" w:hAnsi="Calibri"/>
          <w:sz w:val="22"/>
          <w:szCs w:val="22"/>
          <w:lang w:eastAsia="en-US"/>
        </w:rPr>
        <w:t xml:space="preserve"> </w:t>
      </w:r>
    </w:p>
    <w:p w:rsidR="00582806" w:rsidRDefault="00582806" w:rsidP="00E4113A">
      <w:pPr>
        <w:jc w:val="left"/>
        <w:rPr>
          <w:color w:val="FF0000"/>
        </w:rPr>
      </w:pPr>
    </w:p>
    <w:p w:rsidR="00582806" w:rsidRDefault="00582806" w:rsidP="00E4113A">
      <w:pPr>
        <w:jc w:val="left"/>
        <w:rPr>
          <w:color w:val="FF0000"/>
        </w:rPr>
      </w:pPr>
    </w:p>
    <w:p w:rsidR="00582806" w:rsidRDefault="00582806" w:rsidP="00E4113A">
      <w:pPr>
        <w:jc w:val="left"/>
        <w:rPr>
          <w:color w:val="FF0000"/>
        </w:rPr>
      </w:pPr>
    </w:p>
    <w:p w:rsidR="00582806" w:rsidRDefault="00582806" w:rsidP="00E4113A">
      <w:pPr>
        <w:jc w:val="left"/>
        <w:rPr>
          <w:color w:val="FF0000"/>
        </w:rPr>
      </w:pPr>
    </w:p>
    <w:p w:rsidR="00582806" w:rsidRDefault="00582806" w:rsidP="00E4113A">
      <w:pPr>
        <w:jc w:val="left"/>
        <w:rPr>
          <w:color w:val="FF0000"/>
        </w:rPr>
      </w:pPr>
    </w:p>
    <w:p w:rsidR="00582806" w:rsidRDefault="00582806" w:rsidP="00E4113A">
      <w:pPr>
        <w:jc w:val="left"/>
        <w:rPr>
          <w:color w:val="FF0000"/>
        </w:rPr>
      </w:pPr>
    </w:p>
    <w:p w:rsidR="00582806" w:rsidRDefault="00582806" w:rsidP="00E4113A">
      <w:pPr>
        <w:jc w:val="left"/>
        <w:rPr>
          <w:color w:val="FF0000"/>
        </w:rPr>
      </w:pPr>
    </w:p>
    <w:p w:rsidR="00582806" w:rsidRDefault="00582806" w:rsidP="00E4113A">
      <w:pPr>
        <w:jc w:val="left"/>
        <w:rPr>
          <w:color w:val="FF0000"/>
        </w:rPr>
      </w:pPr>
    </w:p>
    <w:p w:rsidR="00582806" w:rsidRDefault="00582806" w:rsidP="00E4113A">
      <w:pPr>
        <w:jc w:val="left"/>
        <w:rPr>
          <w:color w:val="FF0000"/>
        </w:rPr>
      </w:pPr>
    </w:p>
    <w:p w:rsidR="00582806" w:rsidRDefault="00582806" w:rsidP="00E4113A">
      <w:pPr>
        <w:jc w:val="left"/>
        <w:rPr>
          <w:color w:val="FF0000"/>
        </w:rPr>
      </w:pPr>
    </w:p>
    <w:p w:rsidR="00F245B1" w:rsidRDefault="00E4113A" w:rsidP="00F245B1">
      <w:pPr>
        <w:pStyle w:val="Nadpis1"/>
        <w:numPr>
          <w:ilvl w:val="0"/>
          <w:numId w:val="1"/>
        </w:numPr>
      </w:pPr>
      <w:bookmarkStart w:id="6" w:name="_Toc525760682"/>
      <w:r w:rsidRPr="00585370">
        <w:t xml:space="preserve">SWOT analýza </w:t>
      </w:r>
      <w:r w:rsidR="002F3207">
        <w:rPr>
          <w:lang w:val="cs-CZ"/>
        </w:rPr>
        <w:t>a potřeby</w:t>
      </w:r>
      <w:bookmarkEnd w:id="6"/>
      <w:r w:rsidR="002F3207">
        <w:rPr>
          <w:lang w:val="cs-CZ"/>
        </w:rPr>
        <w:t xml:space="preserve"> </w:t>
      </w:r>
    </w:p>
    <w:p w:rsidR="002F3207" w:rsidRDefault="002F3207" w:rsidP="002F3207">
      <w:pPr>
        <w:pStyle w:val="Nadpis1"/>
        <w:numPr>
          <w:ilvl w:val="1"/>
          <w:numId w:val="1"/>
        </w:numPr>
        <w:rPr>
          <w:lang w:val="cs-CZ"/>
        </w:rPr>
      </w:pPr>
      <w:bookmarkStart w:id="7" w:name="_Toc525760683"/>
      <w:r>
        <w:rPr>
          <w:lang w:val="cs-CZ"/>
        </w:rPr>
        <w:t>SWOT ANALÝZA</w:t>
      </w:r>
      <w:bookmarkEnd w:id="7"/>
    </w:p>
    <w:tbl>
      <w:tblPr>
        <w:tblStyle w:val="Mkatabulky"/>
        <w:tblW w:w="0" w:type="auto"/>
        <w:tblInd w:w="108" w:type="dxa"/>
        <w:tblLook w:val="04A0"/>
      </w:tblPr>
      <w:tblGrid>
        <w:gridCol w:w="4423"/>
        <w:gridCol w:w="4531"/>
      </w:tblGrid>
      <w:tr w:rsidR="002F3207" w:rsidRPr="005D5D58" w:rsidTr="002F3207">
        <w:trPr>
          <w:trHeight w:val="150"/>
        </w:trPr>
        <w:tc>
          <w:tcPr>
            <w:tcW w:w="4423" w:type="dxa"/>
            <w:shd w:val="clear" w:color="auto" w:fill="auto"/>
          </w:tcPr>
          <w:p w:rsidR="002F3207" w:rsidRPr="002F3207" w:rsidRDefault="002F3207" w:rsidP="00EB4FA3">
            <w:pPr>
              <w:jc w:val="center"/>
              <w:rPr>
                <w:rFonts w:ascii="Arial Narrow" w:hAnsi="Arial Narrow" w:cs="Arial"/>
                <w:b/>
                <w:szCs w:val="24"/>
              </w:rPr>
            </w:pPr>
            <w:r w:rsidRPr="002F3207">
              <w:rPr>
                <w:rFonts w:ascii="Arial Narrow" w:hAnsi="Arial Narrow" w:cs="Arial"/>
                <w:b/>
                <w:szCs w:val="24"/>
              </w:rPr>
              <w:t>Silné stránky</w:t>
            </w:r>
          </w:p>
        </w:tc>
        <w:tc>
          <w:tcPr>
            <w:tcW w:w="4531" w:type="dxa"/>
            <w:shd w:val="clear" w:color="auto" w:fill="auto"/>
          </w:tcPr>
          <w:p w:rsidR="002F3207" w:rsidRPr="002F3207" w:rsidRDefault="002F3207" w:rsidP="00EB4FA3">
            <w:pPr>
              <w:jc w:val="center"/>
              <w:rPr>
                <w:rFonts w:ascii="Arial Narrow" w:hAnsi="Arial Narrow" w:cs="Arial"/>
                <w:b/>
                <w:szCs w:val="24"/>
              </w:rPr>
            </w:pPr>
            <w:r w:rsidRPr="002F3207">
              <w:rPr>
                <w:rFonts w:ascii="Arial Narrow" w:hAnsi="Arial Narrow" w:cs="Arial"/>
                <w:b/>
                <w:szCs w:val="24"/>
              </w:rPr>
              <w:t>Slabé stránky</w:t>
            </w:r>
          </w:p>
        </w:tc>
      </w:tr>
      <w:tr w:rsidR="002F3207" w:rsidRPr="005D5D58" w:rsidTr="00EB4FA3">
        <w:tc>
          <w:tcPr>
            <w:tcW w:w="4423" w:type="dxa"/>
          </w:tcPr>
          <w:p w:rsidR="002F3207" w:rsidRPr="00FA243D" w:rsidRDefault="002F3207" w:rsidP="00EB4FA3">
            <w:pPr>
              <w:pStyle w:val="Odstavecseseznamem"/>
              <w:numPr>
                <w:ilvl w:val="0"/>
                <w:numId w:val="2"/>
              </w:numPr>
              <w:spacing w:before="0" w:after="120" w:line="240" w:lineRule="auto"/>
              <w:ind w:left="714" w:hanging="357"/>
              <w:contextualSpacing w:val="0"/>
              <w:rPr>
                <w:rFonts w:asciiTheme="minorHAnsi" w:hAnsiTheme="minorHAnsi" w:cs="Arial"/>
                <w:sz w:val="20"/>
                <w:szCs w:val="20"/>
              </w:rPr>
            </w:pPr>
            <w:r w:rsidRPr="00FA243D">
              <w:rPr>
                <w:rFonts w:asciiTheme="minorHAnsi" w:hAnsiTheme="minorHAnsi" w:cs="Arial"/>
                <w:sz w:val="20"/>
                <w:szCs w:val="20"/>
              </w:rPr>
              <w:t>Smluvní provázanost zemědělců se zpracovateli.</w:t>
            </w:r>
          </w:p>
          <w:p w:rsidR="002F3207" w:rsidRPr="00FA243D" w:rsidRDefault="002F3207" w:rsidP="00EB4FA3">
            <w:pPr>
              <w:pStyle w:val="Odstavecseseznamem"/>
              <w:numPr>
                <w:ilvl w:val="0"/>
                <w:numId w:val="2"/>
              </w:numPr>
              <w:spacing w:before="0" w:after="120" w:line="240" w:lineRule="auto"/>
              <w:ind w:left="714" w:hanging="357"/>
              <w:contextualSpacing w:val="0"/>
              <w:rPr>
                <w:rFonts w:asciiTheme="minorHAnsi" w:hAnsiTheme="minorHAnsi" w:cs="Arial"/>
                <w:b/>
                <w:i/>
                <w:sz w:val="20"/>
                <w:szCs w:val="20"/>
              </w:rPr>
            </w:pPr>
            <w:r w:rsidRPr="00FA243D">
              <w:rPr>
                <w:rFonts w:asciiTheme="minorHAnsi" w:hAnsiTheme="minorHAnsi" w:cs="Arial"/>
                <w:sz w:val="20"/>
                <w:szCs w:val="20"/>
              </w:rPr>
              <w:t>Fungující profesní svazy.</w:t>
            </w:r>
          </w:p>
          <w:p w:rsidR="002F3207" w:rsidRPr="00FA243D" w:rsidRDefault="002F3207" w:rsidP="00EB4FA3">
            <w:pPr>
              <w:pStyle w:val="Odstavecseseznamem"/>
              <w:numPr>
                <w:ilvl w:val="0"/>
                <w:numId w:val="2"/>
              </w:numPr>
              <w:spacing w:before="0" w:after="120" w:line="240" w:lineRule="auto"/>
              <w:ind w:left="714" w:hanging="357"/>
              <w:contextualSpacing w:val="0"/>
              <w:rPr>
                <w:rFonts w:asciiTheme="minorHAnsi" w:hAnsiTheme="minorHAnsi" w:cs="Arial"/>
                <w:sz w:val="20"/>
                <w:szCs w:val="20"/>
              </w:rPr>
            </w:pPr>
            <w:r w:rsidRPr="00FA243D">
              <w:rPr>
                <w:rFonts w:asciiTheme="minorHAnsi" w:hAnsiTheme="minorHAnsi" w:cs="Arial"/>
                <w:sz w:val="20"/>
                <w:szCs w:val="20"/>
              </w:rPr>
              <w:t>Fungující organizace producentů v sektoru a ovoce a zelenina.</w:t>
            </w:r>
          </w:p>
          <w:p w:rsidR="002F3207" w:rsidRDefault="002F3207" w:rsidP="00EB4FA3">
            <w:pPr>
              <w:pStyle w:val="Odstavecseseznamem"/>
              <w:numPr>
                <w:ilvl w:val="0"/>
                <w:numId w:val="2"/>
              </w:numPr>
              <w:spacing w:before="0" w:after="120" w:line="240" w:lineRule="auto"/>
              <w:ind w:left="714" w:hanging="357"/>
              <w:contextualSpacing w:val="0"/>
              <w:rPr>
                <w:rFonts w:asciiTheme="minorHAnsi" w:hAnsiTheme="minorHAnsi" w:cs="Arial"/>
                <w:sz w:val="20"/>
                <w:szCs w:val="20"/>
              </w:rPr>
            </w:pPr>
            <w:r w:rsidRPr="00FA243D">
              <w:rPr>
                <w:rFonts w:asciiTheme="minorHAnsi" w:hAnsiTheme="minorHAnsi" w:cs="Arial"/>
                <w:sz w:val="20"/>
                <w:szCs w:val="20"/>
              </w:rPr>
              <w:t>Velké zemědělské podniky jsou významnými regionálními partnery pro zpracovatele.</w:t>
            </w:r>
          </w:p>
          <w:p w:rsidR="002F3207" w:rsidRPr="00221576" w:rsidRDefault="002F3207" w:rsidP="00EB4FA3">
            <w:pPr>
              <w:pStyle w:val="Odstavecseseznamem"/>
              <w:numPr>
                <w:ilvl w:val="0"/>
                <w:numId w:val="2"/>
              </w:numPr>
              <w:spacing w:before="0" w:after="120" w:line="240" w:lineRule="auto"/>
              <w:ind w:left="714" w:hanging="357"/>
              <w:contextualSpacing w:val="0"/>
              <w:rPr>
                <w:rFonts w:asciiTheme="minorHAnsi" w:hAnsiTheme="minorHAnsi" w:cs="Arial"/>
                <w:b/>
                <w:i/>
                <w:sz w:val="20"/>
                <w:szCs w:val="20"/>
              </w:rPr>
            </w:pPr>
            <w:r w:rsidRPr="00FA243D">
              <w:rPr>
                <w:rFonts w:asciiTheme="minorHAnsi" w:hAnsiTheme="minorHAnsi" w:cs="Arial"/>
                <w:sz w:val="20"/>
                <w:szCs w:val="20"/>
              </w:rPr>
              <w:t>Existující informační základna o vývoji produkce a cen v ČR a v EU.</w:t>
            </w:r>
          </w:p>
          <w:p w:rsidR="002F3207" w:rsidRPr="00FA243D" w:rsidRDefault="002F3207" w:rsidP="00EB4FA3">
            <w:pPr>
              <w:pStyle w:val="Odstavecseseznamem"/>
              <w:numPr>
                <w:ilvl w:val="0"/>
                <w:numId w:val="2"/>
              </w:numPr>
              <w:spacing w:before="0" w:after="120" w:line="240" w:lineRule="auto"/>
              <w:ind w:left="714" w:hanging="357"/>
              <w:contextualSpacing w:val="0"/>
              <w:rPr>
                <w:rFonts w:asciiTheme="minorHAnsi" w:hAnsiTheme="minorHAnsi" w:cs="Arial"/>
                <w:b/>
                <w:i/>
                <w:sz w:val="20"/>
                <w:szCs w:val="20"/>
              </w:rPr>
            </w:pPr>
            <w:r>
              <w:rPr>
                <w:rFonts w:asciiTheme="minorHAnsi" w:hAnsiTheme="minorHAnsi" w:cs="Arial"/>
                <w:sz w:val="20"/>
                <w:szCs w:val="20"/>
              </w:rPr>
              <w:t>Poptávka zahraničních zpracovatelů po zemědělských produktech z ČR.</w:t>
            </w:r>
          </w:p>
        </w:tc>
        <w:tc>
          <w:tcPr>
            <w:tcW w:w="4531" w:type="dxa"/>
          </w:tcPr>
          <w:p w:rsidR="002F3207" w:rsidRDefault="002F3207" w:rsidP="00EB4FA3">
            <w:pPr>
              <w:pStyle w:val="Odstavecseseznamem"/>
              <w:numPr>
                <w:ilvl w:val="0"/>
                <w:numId w:val="2"/>
              </w:numPr>
              <w:spacing w:before="0" w:after="120" w:line="240" w:lineRule="auto"/>
              <w:ind w:left="714" w:hanging="357"/>
              <w:contextualSpacing w:val="0"/>
              <w:rPr>
                <w:rFonts w:asciiTheme="minorHAnsi" w:hAnsiTheme="minorHAnsi" w:cs="Arial"/>
                <w:sz w:val="20"/>
                <w:szCs w:val="20"/>
              </w:rPr>
            </w:pPr>
            <w:r>
              <w:rPr>
                <w:rFonts w:asciiTheme="minorHAnsi" w:hAnsiTheme="minorHAnsi" w:cs="Arial"/>
                <w:sz w:val="20"/>
                <w:szCs w:val="20"/>
              </w:rPr>
              <w:t>Nerovnováha mezi vysokou mírou koncentrace maloobchodu a nízkou mírou koncentrace zpracovatelů.</w:t>
            </w:r>
          </w:p>
          <w:p w:rsidR="002F3207" w:rsidRDefault="002F3207" w:rsidP="00EB4FA3">
            <w:pPr>
              <w:pStyle w:val="Odstavecseseznamem"/>
              <w:numPr>
                <w:ilvl w:val="0"/>
                <w:numId w:val="2"/>
              </w:numPr>
              <w:spacing w:before="0" w:after="120" w:line="240" w:lineRule="auto"/>
              <w:ind w:left="714" w:hanging="357"/>
              <w:contextualSpacing w:val="0"/>
              <w:rPr>
                <w:rFonts w:asciiTheme="minorHAnsi" w:hAnsiTheme="minorHAnsi" w:cs="Arial"/>
                <w:sz w:val="20"/>
                <w:szCs w:val="20"/>
              </w:rPr>
            </w:pPr>
            <w:r>
              <w:rPr>
                <w:rFonts w:asciiTheme="minorHAnsi" w:hAnsiTheme="minorHAnsi" w:cs="Arial"/>
                <w:sz w:val="20"/>
                <w:szCs w:val="20"/>
              </w:rPr>
              <w:t>Převažující prodej potravin přes koncentrovaný segment maloobchodních řetězců.</w:t>
            </w:r>
          </w:p>
          <w:p w:rsidR="002F3207" w:rsidRPr="00FA243D" w:rsidRDefault="002F3207" w:rsidP="00EB4FA3">
            <w:pPr>
              <w:pStyle w:val="Odstavecseseznamem"/>
              <w:numPr>
                <w:ilvl w:val="0"/>
                <w:numId w:val="2"/>
              </w:numPr>
              <w:spacing w:before="0" w:after="120" w:line="240" w:lineRule="auto"/>
              <w:ind w:left="714" w:hanging="357"/>
              <w:contextualSpacing w:val="0"/>
              <w:rPr>
                <w:rFonts w:asciiTheme="minorHAnsi" w:hAnsiTheme="minorHAnsi" w:cs="Arial"/>
                <w:sz w:val="20"/>
                <w:szCs w:val="20"/>
              </w:rPr>
            </w:pPr>
            <w:r w:rsidRPr="00FA243D">
              <w:rPr>
                <w:rFonts w:asciiTheme="minorHAnsi" w:hAnsiTheme="minorHAnsi" w:cs="Arial"/>
                <w:sz w:val="20"/>
                <w:szCs w:val="20"/>
              </w:rPr>
              <w:t>Nízk</w:t>
            </w:r>
            <w:r>
              <w:rPr>
                <w:rFonts w:asciiTheme="minorHAnsi" w:hAnsiTheme="minorHAnsi" w:cs="Arial"/>
                <w:sz w:val="20"/>
                <w:szCs w:val="20"/>
              </w:rPr>
              <w:t>á míra sdružování prvovýrobců mimo odvětví ovoce a zelenina a mléko.</w:t>
            </w:r>
          </w:p>
          <w:p w:rsidR="002F3207" w:rsidRPr="00FA243D" w:rsidRDefault="002F3207" w:rsidP="00EB4FA3">
            <w:pPr>
              <w:pStyle w:val="Odstavecseseznamem"/>
              <w:numPr>
                <w:ilvl w:val="0"/>
                <w:numId w:val="2"/>
              </w:numPr>
              <w:spacing w:before="0" w:after="120" w:line="240" w:lineRule="auto"/>
              <w:ind w:left="714" w:hanging="357"/>
              <w:contextualSpacing w:val="0"/>
              <w:rPr>
                <w:rFonts w:asciiTheme="minorHAnsi" w:hAnsiTheme="minorHAnsi" w:cs="Arial"/>
                <w:sz w:val="20"/>
                <w:szCs w:val="20"/>
              </w:rPr>
            </w:pPr>
            <w:r w:rsidRPr="00FA243D">
              <w:rPr>
                <w:rFonts w:asciiTheme="minorHAnsi" w:hAnsiTheme="minorHAnsi" w:cs="Arial"/>
                <w:sz w:val="20"/>
                <w:szCs w:val="20"/>
              </w:rPr>
              <w:t>Absence vertikálních systémů kvality</w:t>
            </w:r>
            <w:r>
              <w:rPr>
                <w:rFonts w:asciiTheme="minorHAnsi" w:hAnsiTheme="minorHAnsi" w:cs="Arial"/>
                <w:sz w:val="20"/>
                <w:szCs w:val="20"/>
              </w:rPr>
              <w:t xml:space="preserve"> zapojujících prvovýrobce k prosazení výrobků u spotřebitelů</w:t>
            </w:r>
            <w:r w:rsidRPr="00FA243D">
              <w:rPr>
                <w:rFonts w:asciiTheme="minorHAnsi" w:hAnsiTheme="minorHAnsi" w:cs="Arial"/>
                <w:sz w:val="20"/>
                <w:szCs w:val="20"/>
              </w:rPr>
              <w:t>.</w:t>
            </w:r>
          </w:p>
          <w:p w:rsidR="002F3207" w:rsidRPr="00FA243D" w:rsidRDefault="002F3207" w:rsidP="002F3207">
            <w:pPr>
              <w:pStyle w:val="Odstavecseseznamem"/>
              <w:numPr>
                <w:ilvl w:val="0"/>
                <w:numId w:val="2"/>
              </w:numPr>
              <w:spacing w:before="0" w:after="120" w:line="240" w:lineRule="auto"/>
              <w:ind w:left="714" w:hanging="357"/>
              <w:contextualSpacing w:val="0"/>
              <w:rPr>
                <w:rFonts w:asciiTheme="minorHAnsi" w:hAnsiTheme="minorHAnsi" w:cs="Arial"/>
                <w:sz w:val="20"/>
                <w:szCs w:val="20"/>
              </w:rPr>
            </w:pPr>
            <w:r w:rsidRPr="00FA243D">
              <w:rPr>
                <w:rFonts w:asciiTheme="minorHAnsi" w:hAnsiTheme="minorHAnsi" w:cs="Arial"/>
                <w:sz w:val="20"/>
                <w:szCs w:val="20"/>
              </w:rPr>
              <w:t xml:space="preserve">Nevyužití státní podpory </w:t>
            </w:r>
            <w:r>
              <w:rPr>
                <w:rFonts w:asciiTheme="minorHAnsi" w:hAnsiTheme="minorHAnsi" w:cs="Arial"/>
                <w:sz w:val="20"/>
                <w:szCs w:val="20"/>
              </w:rPr>
              <w:t xml:space="preserve">režimu </w:t>
            </w:r>
            <w:r w:rsidRPr="00FA243D">
              <w:rPr>
                <w:rFonts w:asciiTheme="minorHAnsi" w:hAnsiTheme="minorHAnsi" w:cs="Arial"/>
                <w:sz w:val="20"/>
                <w:szCs w:val="20"/>
              </w:rPr>
              <w:t>kvality v odvětví mléka (mléko Q)</w:t>
            </w:r>
            <w:r>
              <w:rPr>
                <w:rFonts w:asciiTheme="minorHAnsi" w:hAnsiTheme="minorHAnsi" w:cs="Arial"/>
                <w:sz w:val="20"/>
                <w:szCs w:val="20"/>
              </w:rPr>
              <w:t xml:space="preserve"> k dotažení režimu ke spotřebiteli</w:t>
            </w:r>
            <w:r w:rsidRPr="00FA243D">
              <w:rPr>
                <w:rFonts w:asciiTheme="minorHAnsi" w:hAnsiTheme="minorHAnsi" w:cs="Arial"/>
                <w:sz w:val="20"/>
                <w:szCs w:val="20"/>
              </w:rPr>
              <w:t xml:space="preserve">. </w:t>
            </w:r>
          </w:p>
        </w:tc>
      </w:tr>
      <w:tr w:rsidR="002F3207" w:rsidRPr="005D5D58" w:rsidTr="002F3207">
        <w:trPr>
          <w:trHeight w:val="150"/>
        </w:trPr>
        <w:tc>
          <w:tcPr>
            <w:tcW w:w="4423" w:type="dxa"/>
            <w:shd w:val="clear" w:color="auto" w:fill="auto"/>
          </w:tcPr>
          <w:p w:rsidR="002F3207" w:rsidRPr="00FA243D" w:rsidRDefault="002F3207" w:rsidP="00EB4FA3">
            <w:pPr>
              <w:jc w:val="center"/>
              <w:rPr>
                <w:rFonts w:asciiTheme="minorHAnsi" w:hAnsiTheme="minorHAnsi" w:cs="Arial"/>
                <w:b/>
                <w:sz w:val="20"/>
                <w:szCs w:val="20"/>
              </w:rPr>
            </w:pPr>
            <w:r w:rsidRPr="00FA243D">
              <w:rPr>
                <w:rFonts w:asciiTheme="minorHAnsi" w:hAnsiTheme="minorHAnsi" w:cs="Arial"/>
                <w:b/>
                <w:sz w:val="20"/>
                <w:szCs w:val="20"/>
              </w:rPr>
              <w:t>Příležitosti</w:t>
            </w:r>
          </w:p>
        </w:tc>
        <w:tc>
          <w:tcPr>
            <w:tcW w:w="4531" w:type="dxa"/>
            <w:shd w:val="clear" w:color="auto" w:fill="auto"/>
          </w:tcPr>
          <w:p w:rsidR="002F3207" w:rsidRPr="00FA243D" w:rsidRDefault="002F3207" w:rsidP="00EB4FA3">
            <w:pPr>
              <w:jc w:val="center"/>
              <w:rPr>
                <w:rFonts w:asciiTheme="minorHAnsi" w:hAnsiTheme="minorHAnsi" w:cs="Arial"/>
                <w:b/>
                <w:sz w:val="20"/>
                <w:szCs w:val="20"/>
              </w:rPr>
            </w:pPr>
            <w:r w:rsidRPr="00FA243D">
              <w:rPr>
                <w:rFonts w:asciiTheme="minorHAnsi" w:hAnsiTheme="minorHAnsi" w:cs="Arial"/>
                <w:b/>
                <w:sz w:val="20"/>
                <w:szCs w:val="20"/>
              </w:rPr>
              <w:t>Rizika</w:t>
            </w:r>
          </w:p>
        </w:tc>
      </w:tr>
      <w:tr w:rsidR="002F3207" w:rsidRPr="005D5D58" w:rsidTr="00EB4FA3">
        <w:tc>
          <w:tcPr>
            <w:tcW w:w="4423" w:type="dxa"/>
          </w:tcPr>
          <w:p w:rsidR="002F3207" w:rsidRPr="00FA243D" w:rsidRDefault="002F3207" w:rsidP="00EB4FA3">
            <w:pPr>
              <w:pStyle w:val="Odstavecseseznamem"/>
              <w:numPr>
                <w:ilvl w:val="0"/>
                <w:numId w:val="2"/>
              </w:numPr>
              <w:spacing w:before="0" w:after="120" w:line="240" w:lineRule="auto"/>
              <w:ind w:left="714" w:hanging="357"/>
              <w:contextualSpacing w:val="0"/>
              <w:rPr>
                <w:rFonts w:asciiTheme="minorHAnsi" w:hAnsiTheme="minorHAnsi" w:cs="Arial"/>
                <w:sz w:val="20"/>
                <w:szCs w:val="20"/>
              </w:rPr>
            </w:pPr>
            <w:r w:rsidRPr="00FA243D">
              <w:rPr>
                <w:rFonts w:asciiTheme="minorHAnsi" w:hAnsiTheme="minorHAnsi" w:cs="Arial"/>
                <w:sz w:val="20"/>
                <w:szCs w:val="20"/>
              </w:rPr>
              <w:t>Budování vertikálních systémů kvality.</w:t>
            </w:r>
          </w:p>
          <w:p w:rsidR="002F3207" w:rsidRPr="00FA243D" w:rsidRDefault="002F3207" w:rsidP="00EB4FA3">
            <w:pPr>
              <w:pStyle w:val="Odstavecseseznamem"/>
              <w:numPr>
                <w:ilvl w:val="0"/>
                <w:numId w:val="2"/>
              </w:numPr>
              <w:spacing w:before="0" w:after="120" w:line="240" w:lineRule="auto"/>
              <w:ind w:left="714" w:hanging="357"/>
              <w:contextualSpacing w:val="0"/>
              <w:rPr>
                <w:rFonts w:asciiTheme="minorHAnsi" w:hAnsiTheme="minorHAnsi" w:cs="Arial"/>
                <w:sz w:val="20"/>
                <w:szCs w:val="20"/>
              </w:rPr>
            </w:pPr>
            <w:r>
              <w:rPr>
                <w:rFonts w:asciiTheme="minorHAnsi" w:hAnsiTheme="minorHAnsi" w:cs="Arial"/>
                <w:sz w:val="20"/>
                <w:szCs w:val="20"/>
              </w:rPr>
              <w:t>S</w:t>
            </w:r>
            <w:r w:rsidRPr="00FA243D">
              <w:rPr>
                <w:rFonts w:asciiTheme="minorHAnsi" w:hAnsiTheme="minorHAnsi" w:cs="Arial"/>
                <w:sz w:val="20"/>
                <w:szCs w:val="20"/>
              </w:rPr>
              <w:t xml:space="preserve">egment spotřebitelů se zájmem </w:t>
            </w:r>
            <w:r>
              <w:rPr>
                <w:rFonts w:asciiTheme="minorHAnsi" w:hAnsiTheme="minorHAnsi" w:cs="Arial"/>
                <w:sz w:val="20"/>
                <w:szCs w:val="20"/>
              </w:rPr>
              <w:t xml:space="preserve">                                   </w:t>
            </w:r>
            <w:r w:rsidRPr="00FA243D">
              <w:rPr>
                <w:rFonts w:asciiTheme="minorHAnsi" w:hAnsiTheme="minorHAnsi" w:cs="Arial"/>
                <w:sz w:val="20"/>
                <w:szCs w:val="20"/>
              </w:rPr>
              <w:t>o nadstandardní kvalitu výrobků.</w:t>
            </w:r>
          </w:p>
          <w:p w:rsidR="002F3207" w:rsidRPr="00FA243D" w:rsidRDefault="002F3207" w:rsidP="00EB4FA3">
            <w:pPr>
              <w:pStyle w:val="Odstavecseseznamem"/>
              <w:numPr>
                <w:ilvl w:val="0"/>
                <w:numId w:val="2"/>
              </w:numPr>
              <w:spacing w:before="0" w:after="120" w:line="240" w:lineRule="auto"/>
              <w:ind w:left="714" w:hanging="357"/>
              <w:contextualSpacing w:val="0"/>
              <w:rPr>
                <w:rFonts w:asciiTheme="minorHAnsi" w:hAnsiTheme="minorHAnsi" w:cs="Arial"/>
                <w:sz w:val="20"/>
                <w:szCs w:val="20"/>
              </w:rPr>
            </w:pPr>
            <w:r w:rsidRPr="00FA243D">
              <w:rPr>
                <w:rFonts w:asciiTheme="minorHAnsi" w:hAnsiTheme="minorHAnsi" w:cs="Arial"/>
                <w:sz w:val="20"/>
                <w:szCs w:val="20"/>
              </w:rPr>
              <w:t xml:space="preserve">Edukace spotřebitele o kvalitě výrobků, </w:t>
            </w:r>
            <w:r>
              <w:rPr>
                <w:rFonts w:asciiTheme="minorHAnsi" w:hAnsiTheme="minorHAnsi" w:cs="Arial"/>
                <w:sz w:val="20"/>
                <w:szCs w:val="20"/>
              </w:rPr>
              <w:t xml:space="preserve">                    </w:t>
            </w:r>
            <w:r w:rsidRPr="00FA243D">
              <w:rPr>
                <w:rFonts w:asciiTheme="minorHAnsi" w:hAnsiTheme="minorHAnsi" w:cs="Arial"/>
                <w:sz w:val="20"/>
                <w:szCs w:val="20"/>
              </w:rPr>
              <w:t>o pozitivních externalitách preference domácích výrobků.</w:t>
            </w:r>
          </w:p>
          <w:p w:rsidR="002F3207" w:rsidRPr="00FA243D" w:rsidRDefault="002F3207" w:rsidP="00EB4FA3">
            <w:pPr>
              <w:pStyle w:val="Odstavecseseznamem"/>
              <w:numPr>
                <w:ilvl w:val="0"/>
                <w:numId w:val="2"/>
              </w:numPr>
              <w:spacing w:before="0" w:after="120" w:line="240" w:lineRule="auto"/>
              <w:ind w:left="714" w:hanging="357"/>
              <w:contextualSpacing w:val="0"/>
              <w:rPr>
                <w:rFonts w:asciiTheme="minorHAnsi" w:hAnsiTheme="minorHAnsi" w:cs="Arial"/>
                <w:sz w:val="20"/>
                <w:szCs w:val="20"/>
              </w:rPr>
            </w:pPr>
            <w:r w:rsidRPr="00FA243D">
              <w:rPr>
                <w:rFonts w:asciiTheme="minorHAnsi" w:hAnsiTheme="minorHAnsi" w:cs="Arial"/>
                <w:sz w:val="20"/>
                <w:szCs w:val="20"/>
              </w:rPr>
              <w:t xml:space="preserve">Investice zemědělců do zpracování a prodeje. </w:t>
            </w:r>
          </w:p>
          <w:p w:rsidR="002F3207" w:rsidRPr="00FA243D" w:rsidRDefault="002F3207" w:rsidP="00EB4FA3">
            <w:pPr>
              <w:pStyle w:val="Odstavecseseznamem"/>
              <w:numPr>
                <w:ilvl w:val="0"/>
                <w:numId w:val="2"/>
              </w:numPr>
              <w:spacing w:before="0" w:after="120" w:line="240" w:lineRule="auto"/>
              <w:ind w:left="714" w:hanging="357"/>
              <w:contextualSpacing w:val="0"/>
              <w:rPr>
                <w:rFonts w:asciiTheme="minorHAnsi" w:hAnsiTheme="minorHAnsi" w:cs="Arial"/>
                <w:sz w:val="20"/>
                <w:szCs w:val="20"/>
              </w:rPr>
            </w:pPr>
            <w:r w:rsidRPr="00FA243D">
              <w:rPr>
                <w:rFonts w:asciiTheme="minorHAnsi" w:hAnsiTheme="minorHAnsi" w:cs="Arial"/>
                <w:sz w:val="20"/>
                <w:szCs w:val="20"/>
              </w:rPr>
              <w:t>Potenciál informačních technologií usnadnit přímý prodej ze zemědělského podniku (internetové prodeje).</w:t>
            </w:r>
          </w:p>
          <w:p w:rsidR="002F3207" w:rsidRPr="00FA243D" w:rsidRDefault="002F3207" w:rsidP="00EB4FA3">
            <w:pPr>
              <w:pStyle w:val="Odstavecseseznamem"/>
              <w:numPr>
                <w:ilvl w:val="0"/>
                <w:numId w:val="2"/>
              </w:numPr>
              <w:spacing w:before="0" w:after="120" w:line="240" w:lineRule="auto"/>
              <w:ind w:left="714" w:hanging="357"/>
              <w:contextualSpacing w:val="0"/>
              <w:rPr>
                <w:rFonts w:asciiTheme="minorHAnsi" w:hAnsiTheme="minorHAnsi" w:cs="Arial"/>
                <w:sz w:val="20"/>
                <w:szCs w:val="20"/>
              </w:rPr>
            </w:pPr>
            <w:r w:rsidRPr="00FA243D">
              <w:rPr>
                <w:rFonts w:asciiTheme="minorHAnsi" w:hAnsiTheme="minorHAnsi" w:cs="Arial"/>
                <w:sz w:val="20"/>
                <w:szCs w:val="20"/>
              </w:rPr>
              <w:t>Rozvoj sítí prodejen s farmářskými výrobky.</w:t>
            </w:r>
          </w:p>
          <w:p w:rsidR="002F3207" w:rsidRPr="00FA243D" w:rsidRDefault="002F3207" w:rsidP="00EB4FA3">
            <w:pPr>
              <w:pStyle w:val="Odstavecseseznamem"/>
              <w:numPr>
                <w:ilvl w:val="0"/>
                <w:numId w:val="2"/>
              </w:numPr>
              <w:spacing w:before="0" w:after="120" w:line="240" w:lineRule="auto"/>
              <w:ind w:left="714" w:hanging="357"/>
              <w:contextualSpacing w:val="0"/>
              <w:rPr>
                <w:rFonts w:asciiTheme="minorHAnsi" w:hAnsiTheme="minorHAnsi" w:cs="Arial"/>
                <w:sz w:val="20"/>
                <w:szCs w:val="20"/>
              </w:rPr>
            </w:pPr>
            <w:r w:rsidRPr="00FA243D">
              <w:rPr>
                <w:rFonts w:asciiTheme="minorHAnsi" w:hAnsiTheme="minorHAnsi" w:cs="Arial"/>
                <w:sz w:val="20"/>
                <w:szCs w:val="20"/>
              </w:rPr>
              <w:t>Využití agroturistiky a propagace regionů v rámci jiných resortů (MMR).</w:t>
            </w:r>
          </w:p>
          <w:p w:rsidR="002F3207" w:rsidRPr="00FA243D" w:rsidRDefault="002F3207" w:rsidP="00EB4FA3">
            <w:pPr>
              <w:pStyle w:val="Odstavecseseznamem"/>
              <w:spacing w:line="240" w:lineRule="auto"/>
              <w:ind w:left="785"/>
              <w:rPr>
                <w:rFonts w:asciiTheme="minorHAnsi" w:hAnsiTheme="minorHAnsi" w:cs="Arial"/>
                <w:sz w:val="20"/>
                <w:szCs w:val="20"/>
              </w:rPr>
            </w:pPr>
          </w:p>
        </w:tc>
        <w:tc>
          <w:tcPr>
            <w:tcW w:w="4531" w:type="dxa"/>
          </w:tcPr>
          <w:p w:rsidR="002F3207" w:rsidRPr="00FA243D" w:rsidRDefault="002F3207" w:rsidP="00EB4FA3">
            <w:pPr>
              <w:pStyle w:val="Odstavecseseznamem"/>
              <w:numPr>
                <w:ilvl w:val="0"/>
                <w:numId w:val="2"/>
              </w:numPr>
              <w:spacing w:before="0" w:after="120" w:line="240" w:lineRule="auto"/>
              <w:ind w:left="714" w:hanging="357"/>
              <w:contextualSpacing w:val="0"/>
              <w:rPr>
                <w:rFonts w:asciiTheme="minorHAnsi" w:hAnsiTheme="minorHAnsi" w:cs="Arial"/>
                <w:sz w:val="20"/>
                <w:szCs w:val="20"/>
              </w:rPr>
            </w:pPr>
            <w:r w:rsidRPr="00FA243D">
              <w:rPr>
                <w:rFonts w:asciiTheme="minorHAnsi" w:hAnsiTheme="minorHAnsi" w:cs="Arial"/>
                <w:sz w:val="20"/>
                <w:szCs w:val="20"/>
              </w:rPr>
              <w:t>Pokračující dominance obchodních řetězců v maloobchodním prodeji a jejich vliv na volbu dodavatele a podmínky prodeje.</w:t>
            </w:r>
          </w:p>
          <w:p w:rsidR="002F3207" w:rsidRDefault="002F3207" w:rsidP="00EB4FA3">
            <w:pPr>
              <w:pStyle w:val="Odstavecseseznamem"/>
              <w:numPr>
                <w:ilvl w:val="0"/>
                <w:numId w:val="2"/>
              </w:numPr>
              <w:spacing w:before="0" w:after="120" w:line="240" w:lineRule="auto"/>
              <w:ind w:left="714" w:hanging="357"/>
              <w:contextualSpacing w:val="0"/>
              <w:rPr>
                <w:rFonts w:asciiTheme="minorHAnsi" w:hAnsiTheme="minorHAnsi" w:cs="Arial"/>
                <w:sz w:val="20"/>
                <w:szCs w:val="20"/>
              </w:rPr>
            </w:pPr>
            <w:r w:rsidRPr="00FA243D">
              <w:rPr>
                <w:rFonts w:asciiTheme="minorHAnsi" w:hAnsiTheme="minorHAnsi" w:cs="Arial"/>
                <w:sz w:val="20"/>
                <w:szCs w:val="20"/>
              </w:rPr>
              <w:t>Nejistota zemědělců, zda deklarovaný zájem spotřebitelů o výrobky nadstandardní kvality se potvrdí reálnými nákupy i v případě vyšší ceny výrobků.</w:t>
            </w:r>
          </w:p>
          <w:p w:rsidR="002F3207" w:rsidRPr="00FA243D" w:rsidRDefault="002F3207" w:rsidP="00EB4FA3">
            <w:pPr>
              <w:pStyle w:val="Odstavecseseznamem"/>
              <w:numPr>
                <w:ilvl w:val="0"/>
                <w:numId w:val="2"/>
              </w:numPr>
              <w:spacing w:before="0" w:after="120" w:line="240" w:lineRule="auto"/>
              <w:ind w:left="714" w:hanging="357"/>
              <w:contextualSpacing w:val="0"/>
              <w:rPr>
                <w:rFonts w:asciiTheme="minorHAnsi" w:hAnsiTheme="minorHAnsi" w:cs="Arial"/>
                <w:sz w:val="20"/>
                <w:szCs w:val="20"/>
              </w:rPr>
            </w:pPr>
            <w:r>
              <w:rPr>
                <w:rFonts w:asciiTheme="minorHAnsi" w:hAnsiTheme="minorHAnsi" w:cs="Arial"/>
                <w:sz w:val="20"/>
                <w:szCs w:val="20"/>
              </w:rPr>
              <w:t xml:space="preserve">Značné množství </w:t>
            </w:r>
            <w:r w:rsidRPr="00FA243D">
              <w:rPr>
                <w:rFonts w:asciiTheme="minorHAnsi" w:hAnsiTheme="minorHAnsi" w:cs="Arial"/>
                <w:sz w:val="20"/>
                <w:szCs w:val="20"/>
              </w:rPr>
              <w:t xml:space="preserve">značek kvality na trhu s potravinami s netransparentními nebo nízkými kritérii kvality. </w:t>
            </w:r>
          </w:p>
          <w:p w:rsidR="002F3207" w:rsidRDefault="002F3207" w:rsidP="00EB4FA3">
            <w:pPr>
              <w:pStyle w:val="Odstavecseseznamem"/>
              <w:numPr>
                <w:ilvl w:val="0"/>
                <w:numId w:val="2"/>
              </w:numPr>
              <w:spacing w:before="0" w:after="120" w:line="240" w:lineRule="auto"/>
              <w:ind w:left="714" w:hanging="357"/>
              <w:contextualSpacing w:val="0"/>
              <w:rPr>
                <w:rFonts w:asciiTheme="minorHAnsi" w:hAnsiTheme="minorHAnsi" w:cs="Arial"/>
                <w:sz w:val="20"/>
                <w:szCs w:val="20"/>
              </w:rPr>
            </w:pPr>
            <w:r w:rsidRPr="00FA243D">
              <w:rPr>
                <w:rFonts w:asciiTheme="minorHAnsi" w:hAnsiTheme="minorHAnsi" w:cs="Arial"/>
                <w:sz w:val="20"/>
                <w:szCs w:val="20"/>
              </w:rPr>
              <w:t xml:space="preserve">Zneužití podpor </w:t>
            </w:r>
            <w:r>
              <w:rPr>
                <w:rFonts w:asciiTheme="minorHAnsi" w:hAnsiTheme="minorHAnsi" w:cs="Arial"/>
                <w:sz w:val="20"/>
                <w:szCs w:val="20"/>
              </w:rPr>
              <w:t xml:space="preserve"> organizacím producentů </w:t>
            </w:r>
            <w:r w:rsidRPr="00FA243D">
              <w:rPr>
                <w:rFonts w:asciiTheme="minorHAnsi" w:hAnsiTheme="minorHAnsi" w:cs="Arial"/>
                <w:sz w:val="20"/>
                <w:szCs w:val="20"/>
              </w:rPr>
              <w:t xml:space="preserve">- výhody černých pasažérů při vzniku velkých odbytových organizací.  </w:t>
            </w:r>
          </w:p>
          <w:p w:rsidR="002F3207" w:rsidRPr="00FA243D" w:rsidRDefault="002F3207" w:rsidP="00EB4FA3">
            <w:pPr>
              <w:pStyle w:val="Odstavecseseznamem"/>
              <w:numPr>
                <w:ilvl w:val="0"/>
                <w:numId w:val="2"/>
              </w:numPr>
              <w:spacing w:before="0" w:after="120" w:line="240" w:lineRule="auto"/>
              <w:ind w:left="714" w:hanging="357"/>
              <w:contextualSpacing w:val="0"/>
              <w:rPr>
                <w:rFonts w:asciiTheme="minorHAnsi" w:hAnsiTheme="minorHAnsi" w:cs="Arial"/>
                <w:sz w:val="20"/>
                <w:szCs w:val="20"/>
              </w:rPr>
            </w:pPr>
            <w:r w:rsidRPr="00FA243D">
              <w:rPr>
                <w:rFonts w:asciiTheme="minorHAnsi" w:hAnsiTheme="minorHAnsi" w:cs="Arial"/>
                <w:sz w:val="20"/>
                <w:szCs w:val="20"/>
              </w:rPr>
              <w:t>Vysoké počáteční náklady zemědělců na vybudování finalizační fáze výroby na výrobky s přidanou hodnotou a na distribuci výrobků.</w:t>
            </w:r>
          </w:p>
        </w:tc>
      </w:tr>
    </w:tbl>
    <w:p w:rsidR="002F3207" w:rsidRDefault="00D54BD3" w:rsidP="002F3207">
      <w:pPr>
        <w:pStyle w:val="Nadpis1"/>
        <w:numPr>
          <w:ilvl w:val="1"/>
          <w:numId w:val="1"/>
        </w:numPr>
      </w:pPr>
      <w:bookmarkStart w:id="8" w:name="_Toc525760684"/>
      <w:r>
        <w:rPr>
          <w:lang w:val="cs-CZ"/>
        </w:rPr>
        <w:t>P</w:t>
      </w:r>
      <w:r w:rsidR="003E1116">
        <w:rPr>
          <w:lang w:val="cs-CZ"/>
        </w:rPr>
        <w:t>řehled potřeb</w:t>
      </w:r>
      <w:bookmarkEnd w:id="8"/>
      <w:r w:rsidR="002F3207">
        <w:t xml:space="preserve"> </w:t>
      </w:r>
    </w:p>
    <w:p w:rsidR="002F3207" w:rsidRPr="00C8723F" w:rsidRDefault="002F3207" w:rsidP="002F3207">
      <w:pPr>
        <w:pStyle w:val="Point0"/>
        <w:rPr>
          <w:rFonts w:asciiTheme="minorHAnsi" w:hAnsiTheme="minorHAnsi"/>
          <w:b/>
          <w:noProof/>
          <w:sz w:val="22"/>
        </w:rPr>
      </w:pPr>
      <w:r>
        <w:rPr>
          <w:b/>
          <w:noProof/>
        </w:rPr>
        <w:t>Potřeba 1</w:t>
      </w:r>
      <w:r w:rsidRPr="0010085D">
        <w:rPr>
          <w:b/>
          <w:noProof/>
        </w:rPr>
        <w:t>:</w:t>
      </w:r>
      <w:r>
        <w:rPr>
          <w:b/>
          <w:noProof/>
        </w:rPr>
        <w:t xml:space="preserve"> </w:t>
      </w:r>
      <w:r w:rsidR="00C8723F" w:rsidRPr="00C8723F">
        <w:rPr>
          <w:rFonts w:asciiTheme="minorHAnsi" w:hAnsiTheme="minorHAnsi" w:cstheme="minorHAnsi"/>
          <w:sz w:val="22"/>
        </w:rPr>
        <w:t>Eliminovat nekalé obchodní praktiky  a dominanci maloobchodních řetězců</w:t>
      </w:r>
    </w:p>
    <w:p w:rsidR="002F3207" w:rsidRPr="00C8723F" w:rsidRDefault="002F3207" w:rsidP="00C8723F">
      <w:pPr>
        <w:pStyle w:val="Point0"/>
        <w:ind w:left="1134" w:hanging="1134"/>
        <w:rPr>
          <w:rFonts w:asciiTheme="minorHAnsi" w:hAnsiTheme="minorHAnsi" w:cstheme="minorHAnsi"/>
          <w:sz w:val="22"/>
        </w:rPr>
      </w:pPr>
      <w:r>
        <w:rPr>
          <w:b/>
          <w:noProof/>
        </w:rPr>
        <w:t>Potřeba 2</w:t>
      </w:r>
      <w:r w:rsidRPr="0010085D">
        <w:rPr>
          <w:b/>
          <w:noProof/>
        </w:rPr>
        <w:t>:</w:t>
      </w:r>
      <w:r>
        <w:rPr>
          <w:b/>
          <w:noProof/>
        </w:rPr>
        <w:t xml:space="preserve"> </w:t>
      </w:r>
      <w:r w:rsidR="00C8723F" w:rsidRPr="00C8723F">
        <w:rPr>
          <w:rFonts w:asciiTheme="minorHAnsi" w:hAnsiTheme="minorHAnsi" w:cstheme="minorHAnsi"/>
          <w:sz w:val="22"/>
        </w:rPr>
        <w:t>Posílit zavádění jakostních produktů či potravin zaručujících jejich jedinečnost v podobě zvláštních vlastností anebo výrobních metod a jejich marketing</w:t>
      </w:r>
      <w:r w:rsidR="00C8723F">
        <w:rPr>
          <w:rFonts w:asciiTheme="minorHAnsi" w:hAnsiTheme="minorHAnsi" w:cstheme="minorHAnsi"/>
          <w:sz w:val="22"/>
        </w:rPr>
        <w:t>.</w:t>
      </w:r>
    </w:p>
    <w:p w:rsidR="002F3207" w:rsidRPr="00C8723F" w:rsidRDefault="002F3207" w:rsidP="002F3207">
      <w:pPr>
        <w:pStyle w:val="Point0"/>
        <w:rPr>
          <w:rFonts w:asciiTheme="minorHAnsi" w:hAnsiTheme="minorHAnsi" w:cstheme="minorHAnsi"/>
          <w:sz w:val="22"/>
        </w:rPr>
      </w:pPr>
      <w:r>
        <w:rPr>
          <w:b/>
          <w:noProof/>
        </w:rPr>
        <w:t>Potřeba 3</w:t>
      </w:r>
      <w:r w:rsidRPr="0010085D">
        <w:rPr>
          <w:b/>
          <w:noProof/>
        </w:rPr>
        <w:t>:</w:t>
      </w:r>
      <w:r>
        <w:rPr>
          <w:b/>
          <w:noProof/>
        </w:rPr>
        <w:t xml:space="preserve"> </w:t>
      </w:r>
      <w:r w:rsidR="00C8723F" w:rsidRPr="00C8723F">
        <w:rPr>
          <w:rFonts w:asciiTheme="minorHAnsi" w:hAnsiTheme="minorHAnsi" w:cstheme="minorHAnsi"/>
          <w:sz w:val="22"/>
        </w:rPr>
        <w:t>Stimulovat funkční organizace producentů vyvažující tržní sílu navazujících článků.</w:t>
      </w:r>
    </w:p>
    <w:p w:rsidR="002F3207" w:rsidRDefault="00D54BD3" w:rsidP="002F3207">
      <w:pPr>
        <w:pStyle w:val="Nadpis1"/>
        <w:numPr>
          <w:ilvl w:val="1"/>
          <w:numId w:val="1"/>
        </w:numPr>
      </w:pPr>
      <w:bookmarkStart w:id="9" w:name="_Toc525760685"/>
      <w:r>
        <w:rPr>
          <w:lang w:val="cs-CZ"/>
        </w:rPr>
        <w:t>Z</w:t>
      </w:r>
      <w:r w:rsidR="003E1116">
        <w:rPr>
          <w:lang w:val="cs-CZ"/>
        </w:rPr>
        <w:t>důvodnění potřeb</w:t>
      </w:r>
      <w:bookmarkEnd w:id="9"/>
    </w:p>
    <w:p w:rsidR="004225B8" w:rsidRDefault="004225B8" w:rsidP="002F3207">
      <w:pPr>
        <w:rPr>
          <w:rFonts w:cstheme="minorHAnsi"/>
          <w:i/>
          <w:szCs w:val="24"/>
        </w:rPr>
      </w:pPr>
      <w:r>
        <w:rPr>
          <w:rFonts w:ascii="Calibri" w:eastAsia="Calibri" w:hAnsi="Calibri"/>
          <w:sz w:val="22"/>
          <w:szCs w:val="22"/>
          <w:lang w:eastAsia="en-US"/>
        </w:rPr>
        <w:t>Funkční a spravedlivá organizace trhů patří mezi hlavní cíle Strategie pro růst Ministerstva zemědělství České republiky do roku 2030</w:t>
      </w:r>
      <w:r w:rsidR="00BA5718">
        <w:rPr>
          <w:rFonts w:ascii="Calibri" w:eastAsia="Calibri" w:hAnsi="Calibri"/>
          <w:sz w:val="22"/>
          <w:szCs w:val="22"/>
          <w:lang w:eastAsia="en-US"/>
        </w:rPr>
        <w:t xml:space="preserve">. </w:t>
      </w:r>
      <w:r>
        <w:rPr>
          <w:rFonts w:ascii="Calibri" w:eastAsia="Calibri" w:hAnsi="Calibri"/>
          <w:sz w:val="22"/>
          <w:szCs w:val="22"/>
          <w:lang w:eastAsia="en-US"/>
        </w:rPr>
        <w:t xml:space="preserve">Jak </w:t>
      </w:r>
      <w:r w:rsidR="00D54BD3">
        <w:rPr>
          <w:rFonts w:ascii="Calibri" w:eastAsia="Calibri" w:hAnsi="Calibri"/>
          <w:sz w:val="22"/>
          <w:szCs w:val="22"/>
          <w:lang w:eastAsia="en-US"/>
        </w:rPr>
        <w:t xml:space="preserve">je </w:t>
      </w:r>
      <w:r>
        <w:rPr>
          <w:rFonts w:ascii="Calibri" w:eastAsia="Calibri" w:hAnsi="Calibri"/>
          <w:sz w:val="22"/>
          <w:szCs w:val="22"/>
          <w:lang w:eastAsia="en-US"/>
        </w:rPr>
        <w:t xml:space="preserve">argumentováno výše, ve vertikále panuje nerovnoměrná koncentrace výrobních subjektů na jednotlivých úrovních vertikály, jejímž průvodním jevem je nevyrovnaná tržní síla a výskyt tržních nedokonalostí. </w:t>
      </w:r>
      <w:r w:rsidR="0076764A">
        <w:rPr>
          <w:rFonts w:ascii="Calibri" w:eastAsia="Calibri" w:hAnsi="Calibri"/>
          <w:sz w:val="22"/>
          <w:szCs w:val="22"/>
          <w:lang w:eastAsia="en-US"/>
        </w:rPr>
        <w:t>Největší koncentrace se vyskytuje na úrovni maloobchodu. Vzhledem k tomu, že se jedná o </w:t>
      </w:r>
      <w:r w:rsidR="00BA5718">
        <w:rPr>
          <w:rFonts w:ascii="Calibri" w:eastAsia="Calibri" w:hAnsi="Calibri"/>
          <w:sz w:val="22"/>
          <w:szCs w:val="22"/>
          <w:lang w:eastAsia="en-US"/>
        </w:rPr>
        <w:t xml:space="preserve">poslední, </w:t>
      </w:r>
      <w:r w:rsidR="0076764A">
        <w:rPr>
          <w:rFonts w:ascii="Calibri" w:eastAsia="Calibri" w:hAnsi="Calibri"/>
          <w:sz w:val="22"/>
          <w:szCs w:val="22"/>
          <w:lang w:eastAsia="en-US"/>
        </w:rPr>
        <w:t>realizační</w:t>
      </w:r>
      <w:r w:rsidR="00BA5718">
        <w:rPr>
          <w:rFonts w:ascii="Calibri" w:eastAsia="Calibri" w:hAnsi="Calibri"/>
          <w:sz w:val="22"/>
          <w:szCs w:val="22"/>
          <w:lang w:eastAsia="en-US"/>
        </w:rPr>
        <w:t>,</w:t>
      </w:r>
      <w:r w:rsidR="0076764A">
        <w:rPr>
          <w:rFonts w:ascii="Calibri" w:eastAsia="Calibri" w:hAnsi="Calibri"/>
          <w:sz w:val="22"/>
          <w:szCs w:val="22"/>
          <w:lang w:eastAsia="en-US"/>
        </w:rPr>
        <w:t xml:space="preserve"> článek řetězce, je výrazně určující pro jeho předchozí články. </w:t>
      </w:r>
      <w:r w:rsidR="00301A03">
        <w:rPr>
          <w:rFonts w:ascii="Calibri" w:eastAsia="Calibri" w:hAnsi="Calibri"/>
          <w:sz w:val="22"/>
          <w:szCs w:val="22"/>
          <w:lang w:eastAsia="en-US"/>
        </w:rPr>
        <w:t>Rovnoměrnější rozložení tržní síly snižuje výskyt tržních nedokonalostí</w:t>
      </w:r>
      <w:r w:rsidR="00DF07BD">
        <w:rPr>
          <w:rFonts w:ascii="Calibri" w:eastAsia="Calibri" w:hAnsi="Calibri"/>
          <w:sz w:val="22"/>
          <w:szCs w:val="22"/>
          <w:lang w:eastAsia="en-US"/>
        </w:rPr>
        <w:t>.</w:t>
      </w:r>
      <w:r w:rsidR="00301A03">
        <w:rPr>
          <w:rFonts w:ascii="Calibri" w:eastAsia="Calibri" w:hAnsi="Calibri"/>
          <w:sz w:val="22"/>
          <w:szCs w:val="22"/>
          <w:lang w:eastAsia="en-US"/>
        </w:rPr>
        <w:t xml:space="preserve">   Je tak žádoucí nejen oslabení dominantního vlivu</w:t>
      </w:r>
      <w:r w:rsidR="00DF07BD">
        <w:rPr>
          <w:rFonts w:ascii="Calibri" w:eastAsia="Calibri" w:hAnsi="Calibri"/>
          <w:sz w:val="22"/>
          <w:szCs w:val="22"/>
          <w:lang w:eastAsia="en-US"/>
        </w:rPr>
        <w:t xml:space="preserve"> relativně malého počtu subjektů na konci vertikály, ale též posílení vlivu předchozích článků</w:t>
      </w:r>
      <w:r w:rsidR="00BA5718">
        <w:rPr>
          <w:rFonts w:ascii="Calibri" w:eastAsia="Calibri" w:hAnsi="Calibri"/>
          <w:sz w:val="22"/>
          <w:szCs w:val="22"/>
          <w:lang w:eastAsia="en-US"/>
        </w:rPr>
        <w:t>; v případě zemědělských výrobců cestou vytváření skupin výrobců a společných strategií. Mezi funkční strategie patří nejen posílení tržní síly, ale rovněž strategie diferenciace produktů, které by zviditelnily zpracovatelské podniky</w:t>
      </w:r>
      <w:r w:rsidR="007F491A">
        <w:rPr>
          <w:rFonts w:ascii="Calibri" w:eastAsia="Calibri" w:hAnsi="Calibri"/>
          <w:sz w:val="22"/>
          <w:szCs w:val="22"/>
          <w:lang w:eastAsia="en-US"/>
        </w:rPr>
        <w:t xml:space="preserve"> i </w:t>
      </w:r>
      <w:r w:rsidR="00BA5718">
        <w:rPr>
          <w:rFonts w:ascii="Calibri" w:eastAsia="Calibri" w:hAnsi="Calibri"/>
          <w:sz w:val="22"/>
          <w:szCs w:val="22"/>
          <w:lang w:eastAsia="en-US"/>
        </w:rPr>
        <w:t>dodavatele suroviny. Je pravděpodobné, že segment spotřebitelů vyžadujících zvláštní vlastnosti výrobků, bude mít v</w:t>
      </w:r>
      <w:r w:rsidR="00B54991">
        <w:rPr>
          <w:rFonts w:ascii="Calibri" w:eastAsia="Calibri" w:hAnsi="Calibri"/>
          <w:sz w:val="22"/>
          <w:szCs w:val="22"/>
          <w:lang w:eastAsia="en-US"/>
        </w:rPr>
        <w:t> </w:t>
      </w:r>
      <w:r w:rsidR="00BA5718">
        <w:rPr>
          <w:rFonts w:ascii="Calibri" w:eastAsia="Calibri" w:hAnsi="Calibri"/>
          <w:sz w:val="22"/>
          <w:szCs w:val="22"/>
          <w:lang w:eastAsia="en-US"/>
        </w:rPr>
        <w:t>budou</w:t>
      </w:r>
      <w:r w:rsidR="00B54991">
        <w:rPr>
          <w:rFonts w:ascii="Calibri" w:eastAsia="Calibri" w:hAnsi="Calibri"/>
          <w:sz w:val="22"/>
          <w:szCs w:val="22"/>
          <w:lang w:eastAsia="en-US"/>
        </w:rPr>
        <w:t>cím období rostoucí charakter.</w:t>
      </w:r>
    </w:p>
    <w:p w:rsidR="002F3207" w:rsidRDefault="00D54BD3" w:rsidP="002F3207">
      <w:pPr>
        <w:pStyle w:val="Nadpis1"/>
        <w:numPr>
          <w:ilvl w:val="1"/>
          <w:numId w:val="1"/>
        </w:numPr>
      </w:pPr>
      <w:bookmarkStart w:id="10" w:name="_Toc525760686"/>
      <w:r>
        <w:rPr>
          <w:lang w:val="cs-CZ"/>
        </w:rPr>
        <w:t>P</w:t>
      </w:r>
      <w:r w:rsidR="003E1116">
        <w:rPr>
          <w:lang w:val="cs-CZ"/>
        </w:rPr>
        <w:t>riority definovaných potřeb</w:t>
      </w:r>
      <w:bookmarkEnd w:id="10"/>
    </w:p>
    <w:tbl>
      <w:tblPr>
        <w:tblStyle w:val="Mkatabulky"/>
        <w:tblW w:w="0" w:type="auto"/>
        <w:tblLook w:val="04A0"/>
      </w:tblPr>
      <w:tblGrid>
        <w:gridCol w:w="1618"/>
        <w:gridCol w:w="1691"/>
        <w:gridCol w:w="2178"/>
        <w:gridCol w:w="3575"/>
      </w:tblGrid>
      <w:tr w:rsidR="003E1116" w:rsidRPr="00FB4D5D" w:rsidTr="003E1116">
        <w:tc>
          <w:tcPr>
            <w:tcW w:w="1618" w:type="dxa"/>
          </w:tcPr>
          <w:p w:rsidR="003E1116" w:rsidRPr="00FB4D5D" w:rsidRDefault="003E1116" w:rsidP="00EB4FA3">
            <w:pPr>
              <w:ind w:firstLine="0"/>
              <w:rPr>
                <w:rFonts w:cstheme="minorHAnsi"/>
                <w:sz w:val="20"/>
                <w:szCs w:val="20"/>
              </w:rPr>
            </w:pPr>
            <w:r w:rsidRPr="00FB4D5D">
              <w:rPr>
                <w:rFonts w:cstheme="minorHAnsi"/>
                <w:sz w:val="20"/>
                <w:szCs w:val="20"/>
              </w:rPr>
              <w:t>Počet bodů</w:t>
            </w:r>
            <w:r>
              <w:rPr>
                <w:rFonts w:cstheme="minorHAnsi"/>
                <w:sz w:val="20"/>
                <w:szCs w:val="20"/>
              </w:rPr>
              <w:t xml:space="preserve"> (expertní/MZE)</w:t>
            </w:r>
          </w:p>
        </w:tc>
        <w:tc>
          <w:tcPr>
            <w:tcW w:w="1691" w:type="dxa"/>
          </w:tcPr>
          <w:p w:rsidR="003E1116" w:rsidRPr="00FB4D5D" w:rsidRDefault="003E1116" w:rsidP="00EB4FA3">
            <w:pPr>
              <w:ind w:firstLine="0"/>
              <w:rPr>
                <w:rFonts w:cstheme="minorHAnsi"/>
                <w:sz w:val="20"/>
                <w:szCs w:val="20"/>
              </w:rPr>
            </w:pPr>
          </w:p>
        </w:tc>
        <w:tc>
          <w:tcPr>
            <w:tcW w:w="2178" w:type="dxa"/>
          </w:tcPr>
          <w:p w:rsidR="003E1116" w:rsidRPr="00FB4D5D" w:rsidRDefault="003E1116" w:rsidP="00EB4FA3">
            <w:pPr>
              <w:ind w:firstLine="0"/>
              <w:rPr>
                <w:rFonts w:cstheme="minorHAnsi"/>
                <w:sz w:val="20"/>
                <w:szCs w:val="20"/>
              </w:rPr>
            </w:pPr>
            <w:r w:rsidRPr="00FB4D5D">
              <w:rPr>
                <w:rFonts w:cstheme="minorHAnsi"/>
                <w:sz w:val="20"/>
                <w:szCs w:val="20"/>
              </w:rPr>
              <w:t>Potřeba</w:t>
            </w:r>
          </w:p>
        </w:tc>
        <w:tc>
          <w:tcPr>
            <w:tcW w:w="3575" w:type="dxa"/>
          </w:tcPr>
          <w:p w:rsidR="003E1116" w:rsidRPr="00FB4D5D" w:rsidRDefault="003E1116" w:rsidP="00EB4FA3">
            <w:pPr>
              <w:ind w:firstLine="0"/>
              <w:rPr>
                <w:rFonts w:cstheme="minorHAnsi"/>
                <w:sz w:val="20"/>
                <w:szCs w:val="20"/>
              </w:rPr>
            </w:pPr>
            <w:r w:rsidRPr="00FB4D5D">
              <w:rPr>
                <w:rFonts w:cstheme="minorHAnsi"/>
                <w:sz w:val="20"/>
                <w:szCs w:val="20"/>
              </w:rPr>
              <w:t>Zdůvodnění dle jednotlivých kritérií: 1</w:t>
            </w:r>
            <w:r w:rsidRPr="007270FB">
              <w:rPr>
                <w:rFonts w:cstheme="minorHAnsi"/>
                <w:b/>
                <w:sz w:val="20"/>
                <w:szCs w:val="20"/>
              </w:rPr>
              <w:t>. podíl plochy/počtu podniků, kterých se problém týká, jeho 2. závažnost a 3. veřejný zájem</w:t>
            </w:r>
          </w:p>
        </w:tc>
      </w:tr>
      <w:tr w:rsidR="003E1116" w:rsidRPr="00FB4D5D" w:rsidTr="003E1116">
        <w:tc>
          <w:tcPr>
            <w:tcW w:w="1618" w:type="dxa"/>
          </w:tcPr>
          <w:p w:rsidR="003E1116" w:rsidRPr="00F032DD" w:rsidRDefault="003E1116" w:rsidP="00F032DD">
            <w:pPr>
              <w:ind w:firstLine="27"/>
              <w:rPr>
                <w:rFonts w:cstheme="minorHAnsi"/>
                <w:i/>
                <w:sz w:val="18"/>
                <w:szCs w:val="18"/>
              </w:rPr>
            </w:pPr>
            <w:r w:rsidRPr="00F032DD">
              <w:rPr>
                <w:rFonts w:cstheme="minorHAnsi"/>
                <w:i/>
                <w:sz w:val="18"/>
                <w:szCs w:val="18"/>
              </w:rPr>
              <w:t>MZe 75 / ÚZEI 64 / průměr 69</w:t>
            </w:r>
          </w:p>
        </w:tc>
        <w:tc>
          <w:tcPr>
            <w:tcW w:w="1691" w:type="dxa"/>
          </w:tcPr>
          <w:p w:rsidR="003E1116" w:rsidRDefault="003E1116" w:rsidP="009E3E16">
            <w:pPr>
              <w:ind w:firstLine="0"/>
              <w:jc w:val="left"/>
              <w:rPr>
                <w:rFonts w:cstheme="minorHAnsi"/>
                <w:i/>
                <w:sz w:val="20"/>
                <w:szCs w:val="20"/>
              </w:rPr>
            </w:pPr>
          </w:p>
        </w:tc>
        <w:tc>
          <w:tcPr>
            <w:tcW w:w="2178" w:type="dxa"/>
          </w:tcPr>
          <w:p w:rsidR="003E1116" w:rsidRPr="0014168F" w:rsidRDefault="003E1116" w:rsidP="009E3E16">
            <w:pPr>
              <w:ind w:firstLine="0"/>
              <w:jc w:val="left"/>
              <w:rPr>
                <w:rFonts w:cstheme="minorHAnsi"/>
                <w:i/>
                <w:color w:val="FF0000"/>
                <w:sz w:val="20"/>
                <w:szCs w:val="20"/>
              </w:rPr>
            </w:pPr>
            <w:r>
              <w:rPr>
                <w:rFonts w:cstheme="minorHAnsi"/>
                <w:i/>
                <w:sz w:val="20"/>
                <w:szCs w:val="20"/>
              </w:rPr>
              <w:t xml:space="preserve">1. </w:t>
            </w:r>
            <w:r w:rsidRPr="009E3E16">
              <w:rPr>
                <w:rFonts w:cstheme="minorHAnsi"/>
                <w:i/>
                <w:sz w:val="20"/>
                <w:szCs w:val="20"/>
              </w:rPr>
              <w:t>Eliminovat nekalé obchodní praktiky a dominanci maloobchodních řetězců</w:t>
            </w:r>
            <w:r>
              <w:rPr>
                <w:rFonts w:cstheme="minorHAnsi"/>
                <w:i/>
                <w:sz w:val="20"/>
                <w:szCs w:val="20"/>
              </w:rPr>
              <w:t>.</w:t>
            </w:r>
          </w:p>
        </w:tc>
        <w:tc>
          <w:tcPr>
            <w:tcW w:w="3575" w:type="dxa"/>
          </w:tcPr>
          <w:p w:rsidR="003E1116" w:rsidRPr="00F032DD" w:rsidRDefault="003E1116" w:rsidP="00EB4FA3">
            <w:pPr>
              <w:ind w:firstLine="0"/>
              <w:rPr>
                <w:rFonts w:cstheme="minorHAnsi"/>
                <w:i/>
                <w:sz w:val="20"/>
                <w:szCs w:val="20"/>
              </w:rPr>
            </w:pPr>
            <w:r w:rsidRPr="00F032DD">
              <w:rPr>
                <w:rFonts w:cstheme="minorHAnsi"/>
                <w:i/>
                <w:sz w:val="20"/>
                <w:szCs w:val="20"/>
              </w:rPr>
              <w:t xml:space="preserve">1. Týká se většiny sektoru (řetězce jsou dle sortimentu hlavním nákupním místem pro 70 % až 90 % spotřebitelů). </w:t>
            </w:r>
          </w:p>
          <w:p w:rsidR="003E1116" w:rsidRPr="00F032DD" w:rsidRDefault="003E1116" w:rsidP="00F032DD">
            <w:pPr>
              <w:ind w:firstLine="0"/>
              <w:rPr>
                <w:rFonts w:cstheme="minorHAnsi"/>
                <w:i/>
                <w:sz w:val="20"/>
                <w:szCs w:val="20"/>
              </w:rPr>
            </w:pPr>
            <w:r w:rsidRPr="00F032DD">
              <w:rPr>
                <w:rFonts w:cstheme="minorHAnsi"/>
                <w:i/>
                <w:sz w:val="20"/>
                <w:szCs w:val="20"/>
              </w:rPr>
              <w:t xml:space="preserve">2. </w:t>
            </w:r>
            <w:r>
              <w:rPr>
                <w:rFonts w:cstheme="minorHAnsi"/>
                <w:i/>
                <w:sz w:val="20"/>
                <w:szCs w:val="20"/>
              </w:rPr>
              <w:t>Závažná potřeba, d</w:t>
            </w:r>
            <w:r w:rsidRPr="00F032DD">
              <w:rPr>
                <w:rFonts w:cstheme="minorHAnsi"/>
                <w:i/>
                <w:sz w:val="20"/>
                <w:szCs w:val="20"/>
              </w:rPr>
              <w:t>opad na úroveň cen v řetězci. Prokázány asymetrické cenové transmise.</w:t>
            </w:r>
          </w:p>
          <w:p w:rsidR="003E1116" w:rsidRPr="00FB4D5D" w:rsidRDefault="003E1116" w:rsidP="00F032DD">
            <w:pPr>
              <w:ind w:firstLine="0"/>
              <w:rPr>
                <w:rFonts w:cstheme="minorHAnsi"/>
                <w:i/>
                <w:sz w:val="20"/>
                <w:szCs w:val="20"/>
              </w:rPr>
            </w:pPr>
            <w:r w:rsidRPr="00F032DD">
              <w:rPr>
                <w:rFonts w:cstheme="minorHAnsi"/>
                <w:i/>
                <w:sz w:val="20"/>
                <w:szCs w:val="20"/>
              </w:rPr>
              <w:t xml:space="preserve">3. Soukromý i veřejný zájem. </w:t>
            </w:r>
          </w:p>
        </w:tc>
      </w:tr>
      <w:tr w:rsidR="003E1116" w:rsidRPr="00FB4D5D" w:rsidTr="003E1116">
        <w:tc>
          <w:tcPr>
            <w:tcW w:w="1618" w:type="dxa"/>
          </w:tcPr>
          <w:p w:rsidR="003E1116" w:rsidRPr="00FB4D5D" w:rsidRDefault="003E1116" w:rsidP="00FA7EEB">
            <w:pPr>
              <w:ind w:firstLine="27"/>
              <w:rPr>
                <w:rFonts w:cstheme="minorHAnsi"/>
                <w:sz w:val="20"/>
                <w:szCs w:val="20"/>
              </w:rPr>
            </w:pPr>
            <w:r w:rsidRPr="00FA7EEB">
              <w:rPr>
                <w:rFonts w:cstheme="minorHAnsi"/>
                <w:i/>
                <w:sz w:val="18"/>
                <w:szCs w:val="18"/>
              </w:rPr>
              <w:t>MZe 58 / ÚZEI 64 / průměr 61</w:t>
            </w:r>
          </w:p>
        </w:tc>
        <w:tc>
          <w:tcPr>
            <w:tcW w:w="1691" w:type="dxa"/>
          </w:tcPr>
          <w:p w:rsidR="003E1116" w:rsidRPr="009E3E16" w:rsidRDefault="003E1116" w:rsidP="009E3E16">
            <w:pPr>
              <w:ind w:firstLine="0"/>
              <w:jc w:val="left"/>
              <w:rPr>
                <w:rFonts w:cstheme="minorHAnsi"/>
                <w:i/>
                <w:sz w:val="20"/>
                <w:szCs w:val="20"/>
              </w:rPr>
            </w:pPr>
          </w:p>
        </w:tc>
        <w:tc>
          <w:tcPr>
            <w:tcW w:w="2178" w:type="dxa"/>
          </w:tcPr>
          <w:p w:rsidR="003E1116" w:rsidRPr="009E3E16" w:rsidRDefault="003E1116" w:rsidP="009E3E16">
            <w:pPr>
              <w:ind w:firstLine="0"/>
              <w:jc w:val="left"/>
              <w:rPr>
                <w:rFonts w:cstheme="minorHAnsi"/>
                <w:i/>
                <w:sz w:val="20"/>
                <w:szCs w:val="20"/>
              </w:rPr>
            </w:pPr>
            <w:r w:rsidRPr="009E3E16">
              <w:rPr>
                <w:rFonts w:cstheme="minorHAnsi"/>
                <w:i/>
                <w:sz w:val="20"/>
                <w:szCs w:val="20"/>
              </w:rPr>
              <w:t>2</w:t>
            </w:r>
            <w:r w:rsidRPr="00FA7EEB">
              <w:rPr>
                <w:i/>
                <w:sz w:val="18"/>
                <w:szCs w:val="18"/>
              </w:rPr>
              <w:t>.</w:t>
            </w:r>
            <w:r w:rsidRPr="00FA7EEB">
              <w:rPr>
                <w:sz w:val="18"/>
                <w:szCs w:val="18"/>
              </w:rPr>
              <w:t xml:space="preserve"> </w:t>
            </w:r>
            <w:r w:rsidRPr="00FA7EEB">
              <w:rPr>
                <w:i/>
                <w:sz w:val="18"/>
                <w:szCs w:val="18"/>
              </w:rPr>
              <w:t>Posílit zavádění jakostních produktů či potravin zaručujících jejich jedinečnost</w:t>
            </w:r>
            <w:r>
              <w:rPr>
                <w:i/>
                <w:sz w:val="18"/>
                <w:szCs w:val="18"/>
              </w:rPr>
              <w:t xml:space="preserve">  </w:t>
            </w:r>
            <w:r w:rsidRPr="00FA7EEB">
              <w:rPr>
                <w:i/>
                <w:sz w:val="18"/>
                <w:szCs w:val="18"/>
              </w:rPr>
              <w:t>v podobě zvláštních vlastností anebo výrobních metod a jejich marketing</w:t>
            </w:r>
            <w:r>
              <w:rPr>
                <w:i/>
                <w:sz w:val="18"/>
                <w:szCs w:val="18"/>
              </w:rPr>
              <w:t>.</w:t>
            </w:r>
          </w:p>
        </w:tc>
        <w:tc>
          <w:tcPr>
            <w:tcW w:w="3575" w:type="dxa"/>
          </w:tcPr>
          <w:p w:rsidR="003E1116" w:rsidRDefault="003E1116" w:rsidP="00DC2C53">
            <w:pPr>
              <w:ind w:firstLine="0"/>
              <w:rPr>
                <w:rFonts w:cstheme="minorHAnsi"/>
                <w:i/>
                <w:sz w:val="20"/>
                <w:szCs w:val="20"/>
              </w:rPr>
            </w:pPr>
            <w:r>
              <w:rPr>
                <w:rFonts w:cstheme="minorHAnsi"/>
                <w:i/>
                <w:sz w:val="20"/>
                <w:szCs w:val="20"/>
              </w:rPr>
              <w:t xml:space="preserve">1. </w:t>
            </w:r>
            <w:r w:rsidRPr="00CE158B">
              <w:rPr>
                <w:rFonts w:cstheme="minorHAnsi"/>
                <w:i/>
                <w:sz w:val="20"/>
                <w:szCs w:val="20"/>
              </w:rPr>
              <w:t>Žádoucí je zapojit maximum podniků.</w:t>
            </w:r>
          </w:p>
          <w:p w:rsidR="003E1116" w:rsidRDefault="003E1116" w:rsidP="00DC2C53">
            <w:pPr>
              <w:ind w:firstLine="0"/>
              <w:rPr>
                <w:rFonts w:cstheme="minorHAnsi"/>
                <w:i/>
                <w:sz w:val="20"/>
                <w:szCs w:val="20"/>
              </w:rPr>
            </w:pPr>
            <w:r>
              <w:rPr>
                <w:rFonts w:cstheme="minorHAnsi"/>
                <w:i/>
                <w:sz w:val="20"/>
                <w:szCs w:val="20"/>
              </w:rPr>
              <w:t>2. Závažnost v průběhu období 2021+ výrazně vzroste, konkurence v zahraničí  již tyto prostředky využívá a jejich absence pozici producentů oslabí.</w:t>
            </w:r>
          </w:p>
          <w:p w:rsidR="003E1116" w:rsidRPr="00FB4D5D" w:rsidRDefault="003E1116" w:rsidP="00DC2C53">
            <w:pPr>
              <w:ind w:firstLine="0"/>
              <w:rPr>
                <w:rFonts w:cstheme="minorHAnsi"/>
                <w:sz w:val="20"/>
                <w:szCs w:val="20"/>
              </w:rPr>
            </w:pPr>
            <w:r>
              <w:rPr>
                <w:rFonts w:cstheme="minorHAnsi"/>
                <w:i/>
                <w:sz w:val="20"/>
                <w:szCs w:val="20"/>
              </w:rPr>
              <w:t xml:space="preserve">3. </w:t>
            </w:r>
            <w:r w:rsidRPr="00F032DD">
              <w:rPr>
                <w:rFonts w:cstheme="minorHAnsi"/>
                <w:i/>
                <w:sz w:val="20"/>
                <w:szCs w:val="20"/>
              </w:rPr>
              <w:t>Soukromý i veřejný zájem.</w:t>
            </w:r>
          </w:p>
        </w:tc>
      </w:tr>
      <w:tr w:rsidR="003E1116" w:rsidRPr="00FB4D5D" w:rsidTr="003E1116">
        <w:tc>
          <w:tcPr>
            <w:tcW w:w="1618" w:type="dxa"/>
          </w:tcPr>
          <w:p w:rsidR="003E1116" w:rsidRPr="00FB4D5D" w:rsidRDefault="003E1116" w:rsidP="00CE158B">
            <w:pPr>
              <w:ind w:firstLine="27"/>
              <w:rPr>
                <w:rFonts w:cstheme="minorHAnsi"/>
                <w:sz w:val="20"/>
                <w:szCs w:val="20"/>
              </w:rPr>
            </w:pPr>
            <w:r w:rsidRPr="00CE158B">
              <w:rPr>
                <w:rFonts w:cstheme="minorHAnsi"/>
                <w:i/>
                <w:sz w:val="18"/>
                <w:szCs w:val="18"/>
              </w:rPr>
              <w:t>MZe 67 / ÚZEI 57 / průměr 61</w:t>
            </w:r>
          </w:p>
        </w:tc>
        <w:tc>
          <w:tcPr>
            <w:tcW w:w="1691" w:type="dxa"/>
          </w:tcPr>
          <w:p w:rsidR="003E1116" w:rsidRPr="003B0863" w:rsidRDefault="003E1116" w:rsidP="003B0863">
            <w:pPr>
              <w:ind w:firstLine="0"/>
              <w:jc w:val="left"/>
              <w:rPr>
                <w:rFonts w:cstheme="minorHAnsi"/>
                <w:i/>
                <w:sz w:val="20"/>
                <w:szCs w:val="20"/>
              </w:rPr>
            </w:pPr>
          </w:p>
        </w:tc>
        <w:tc>
          <w:tcPr>
            <w:tcW w:w="2178" w:type="dxa"/>
          </w:tcPr>
          <w:p w:rsidR="003E1116" w:rsidRPr="00FB4D5D" w:rsidRDefault="003E1116" w:rsidP="003B0863">
            <w:pPr>
              <w:ind w:firstLine="0"/>
              <w:jc w:val="left"/>
              <w:rPr>
                <w:rFonts w:cstheme="minorHAnsi"/>
                <w:i/>
                <w:color w:val="FF0000"/>
                <w:sz w:val="20"/>
                <w:szCs w:val="20"/>
              </w:rPr>
            </w:pPr>
            <w:r w:rsidRPr="003B0863">
              <w:rPr>
                <w:rFonts w:cstheme="minorHAnsi"/>
                <w:i/>
                <w:sz w:val="20"/>
                <w:szCs w:val="20"/>
              </w:rPr>
              <w:t xml:space="preserve">3. </w:t>
            </w:r>
            <w:r w:rsidRPr="00FA7EEB">
              <w:rPr>
                <w:i/>
                <w:sz w:val="18"/>
                <w:szCs w:val="18"/>
              </w:rPr>
              <w:t>Stimulovat funkční organizace producentů vyvažující tržní sílu navazujících článků.</w:t>
            </w:r>
          </w:p>
        </w:tc>
        <w:tc>
          <w:tcPr>
            <w:tcW w:w="3575" w:type="dxa"/>
          </w:tcPr>
          <w:p w:rsidR="003E1116" w:rsidRDefault="003E1116" w:rsidP="00DC2C53">
            <w:pPr>
              <w:ind w:firstLine="0"/>
              <w:rPr>
                <w:rFonts w:cstheme="minorHAnsi"/>
                <w:i/>
                <w:sz w:val="20"/>
                <w:szCs w:val="20"/>
              </w:rPr>
            </w:pPr>
            <w:r>
              <w:rPr>
                <w:rFonts w:cstheme="minorHAnsi"/>
                <w:i/>
                <w:sz w:val="20"/>
                <w:szCs w:val="20"/>
              </w:rPr>
              <w:t xml:space="preserve">1. </w:t>
            </w:r>
            <w:r w:rsidRPr="00CE158B">
              <w:rPr>
                <w:rFonts w:cstheme="minorHAnsi"/>
                <w:i/>
                <w:sz w:val="20"/>
                <w:szCs w:val="20"/>
              </w:rPr>
              <w:t>Žádoucí je zapojit maximum producentů, ale v některých sektorech není zájem.</w:t>
            </w:r>
          </w:p>
          <w:p w:rsidR="003E1116" w:rsidRDefault="003E1116" w:rsidP="00DC2C53">
            <w:pPr>
              <w:ind w:firstLine="0"/>
              <w:rPr>
                <w:rFonts w:cstheme="minorHAnsi"/>
                <w:i/>
                <w:sz w:val="20"/>
                <w:szCs w:val="20"/>
              </w:rPr>
            </w:pPr>
            <w:r>
              <w:rPr>
                <w:rFonts w:cstheme="minorHAnsi"/>
                <w:i/>
                <w:sz w:val="20"/>
                <w:szCs w:val="20"/>
              </w:rPr>
              <w:t>2. Závažná potřeba, která má dopad na vztahy k odběratelům, ceny a tím ekonomickou situaci zemědělských podniků.</w:t>
            </w:r>
          </w:p>
          <w:p w:rsidR="003E1116" w:rsidRPr="00DC2C53" w:rsidRDefault="003E1116" w:rsidP="00DC2C53">
            <w:pPr>
              <w:ind w:firstLine="0"/>
              <w:rPr>
                <w:rFonts w:cstheme="minorHAnsi"/>
                <w:sz w:val="20"/>
                <w:szCs w:val="20"/>
              </w:rPr>
            </w:pPr>
            <w:r>
              <w:rPr>
                <w:rFonts w:cstheme="minorHAnsi"/>
                <w:i/>
                <w:sz w:val="20"/>
                <w:szCs w:val="20"/>
              </w:rPr>
              <w:t xml:space="preserve">3. </w:t>
            </w:r>
            <w:r w:rsidRPr="00DC2C53">
              <w:rPr>
                <w:rFonts w:cstheme="minorHAnsi"/>
                <w:i/>
                <w:sz w:val="20"/>
                <w:szCs w:val="20"/>
              </w:rPr>
              <w:t>Soukromý i veřejný zájem.</w:t>
            </w:r>
          </w:p>
        </w:tc>
      </w:tr>
    </w:tbl>
    <w:p w:rsidR="002F3207" w:rsidRDefault="00D54BD3" w:rsidP="007F491A">
      <w:pPr>
        <w:pStyle w:val="Nadpis1"/>
        <w:numPr>
          <w:ilvl w:val="0"/>
          <w:numId w:val="1"/>
        </w:numPr>
        <w:spacing w:after="240"/>
        <w:ind w:left="714" w:hanging="357"/>
      </w:pPr>
      <w:bookmarkStart w:id="11" w:name="_Toc525760687"/>
      <w:r>
        <w:rPr>
          <w:lang w:val="cs-CZ"/>
        </w:rPr>
        <w:t>P</w:t>
      </w:r>
      <w:r w:rsidR="003E1116">
        <w:rPr>
          <w:lang w:val="cs-CZ"/>
        </w:rPr>
        <w:t>řehled navrhovaných opatření</w:t>
      </w:r>
      <w:bookmarkEnd w:id="11"/>
    </w:p>
    <w:p w:rsidR="003B0863" w:rsidRDefault="003B0863" w:rsidP="003B0863">
      <w:pPr>
        <w:pStyle w:val="ManualNumPar1"/>
        <w:numPr>
          <w:ilvl w:val="0"/>
          <w:numId w:val="29"/>
        </w:numPr>
        <w:rPr>
          <w:i/>
          <w:noProof/>
        </w:rPr>
      </w:pPr>
      <w:r>
        <w:rPr>
          <w:i/>
          <w:noProof/>
        </w:rPr>
        <w:t xml:space="preserve">a) </w:t>
      </w:r>
      <w:r w:rsidRPr="003B0863">
        <w:rPr>
          <w:i/>
          <w:noProof/>
        </w:rPr>
        <w:t>Stimulace mezioborové spolupráce</w:t>
      </w:r>
      <w:r>
        <w:rPr>
          <w:i/>
          <w:noProof/>
        </w:rPr>
        <w:t xml:space="preserve"> </w:t>
      </w:r>
      <w:r w:rsidRPr="003B0863">
        <w:rPr>
          <w:i/>
          <w:noProof/>
        </w:rPr>
        <w:t>(Intervence v rozvoji venkova: c) spolupráce)</w:t>
      </w:r>
    </w:p>
    <w:p w:rsidR="003B0863" w:rsidRPr="003B0863" w:rsidRDefault="003B0863" w:rsidP="003B0863">
      <w:pPr>
        <w:pStyle w:val="ManualNumPar1"/>
        <w:numPr>
          <w:ilvl w:val="0"/>
          <w:numId w:val="30"/>
        </w:numPr>
        <w:rPr>
          <w:i/>
          <w:noProof/>
        </w:rPr>
      </w:pPr>
      <w:r w:rsidRPr="003B0863">
        <w:rPr>
          <w:i/>
          <w:noProof/>
        </w:rPr>
        <w:t>Úprava legislativy vymezující a upravující nekalé obchodní praktiky</w:t>
      </w:r>
    </w:p>
    <w:p w:rsidR="003B0863" w:rsidRPr="003B0863" w:rsidRDefault="003B0863" w:rsidP="003B0863">
      <w:pPr>
        <w:pStyle w:val="ManualNumPar1"/>
        <w:numPr>
          <w:ilvl w:val="0"/>
          <w:numId w:val="30"/>
        </w:numPr>
        <w:rPr>
          <w:i/>
          <w:noProof/>
        </w:rPr>
      </w:pPr>
      <w:r w:rsidRPr="003B0863">
        <w:rPr>
          <w:i/>
          <w:noProof/>
        </w:rPr>
        <w:t>Rozvoj KDŘ a alternativní cesty odbytu (Intervence v rozvoji venkova: c) spolupráce)</w:t>
      </w:r>
    </w:p>
    <w:p w:rsidR="003B0863" w:rsidRPr="003B0863" w:rsidRDefault="003B0863" w:rsidP="003B0863">
      <w:pPr>
        <w:pStyle w:val="ManualNumPar1"/>
        <w:numPr>
          <w:ilvl w:val="0"/>
          <w:numId w:val="30"/>
        </w:numPr>
        <w:rPr>
          <w:i/>
          <w:noProof/>
        </w:rPr>
      </w:pPr>
      <w:r w:rsidRPr="003B0863">
        <w:rPr>
          <w:i/>
          <w:noProof/>
        </w:rPr>
        <w:t>Podpora koncentrace nabídky (Odvětvové typy intervencí)</w:t>
      </w:r>
    </w:p>
    <w:p w:rsidR="003B0863" w:rsidRDefault="003B0863" w:rsidP="00ED4772">
      <w:pPr>
        <w:pStyle w:val="ManualNumPar1"/>
        <w:numPr>
          <w:ilvl w:val="0"/>
          <w:numId w:val="30"/>
        </w:numPr>
        <w:spacing w:after="240"/>
        <w:ind w:left="714" w:hanging="357"/>
        <w:rPr>
          <w:i/>
          <w:noProof/>
        </w:rPr>
      </w:pPr>
      <w:r w:rsidRPr="003B0863">
        <w:rPr>
          <w:i/>
          <w:noProof/>
        </w:rPr>
        <w:t>Rozvoj informačních portálů</w:t>
      </w:r>
    </w:p>
    <w:p w:rsidR="003B0863" w:rsidRDefault="00ED4772" w:rsidP="00ED4772">
      <w:pPr>
        <w:pStyle w:val="ManualNumPar1"/>
        <w:numPr>
          <w:ilvl w:val="0"/>
          <w:numId w:val="29"/>
        </w:numPr>
        <w:rPr>
          <w:i/>
          <w:noProof/>
        </w:rPr>
      </w:pPr>
      <w:r>
        <w:rPr>
          <w:i/>
          <w:noProof/>
        </w:rPr>
        <w:t xml:space="preserve">a) </w:t>
      </w:r>
      <w:r w:rsidR="003B0863" w:rsidRPr="00ED4772">
        <w:rPr>
          <w:i/>
          <w:noProof/>
        </w:rPr>
        <w:t>Podpora marketingu a edukace spotřebitele</w:t>
      </w:r>
      <w:r w:rsidRPr="00ED4772">
        <w:rPr>
          <w:i/>
          <w:noProof/>
        </w:rPr>
        <w:t xml:space="preserve"> </w:t>
      </w:r>
      <w:r w:rsidR="003B0863" w:rsidRPr="00ED4772">
        <w:rPr>
          <w:i/>
          <w:noProof/>
        </w:rPr>
        <w:t>(Odvětvové typy intervencí; Intervence v rozvoji venkova: b) výměna znalostí a informací; c) spolupráce)</w:t>
      </w:r>
    </w:p>
    <w:p w:rsidR="00ED4772" w:rsidRPr="00ED4772" w:rsidRDefault="00ED4772" w:rsidP="00377162">
      <w:pPr>
        <w:ind w:firstLine="284"/>
        <w:rPr>
          <w:i/>
          <w:lang w:eastAsia="en-US"/>
        </w:rPr>
      </w:pPr>
      <w:r w:rsidRPr="00ED4772">
        <w:rPr>
          <w:i/>
          <w:lang w:eastAsia="en-US"/>
        </w:rPr>
        <w:t xml:space="preserve">b) Edukace výrobců </w:t>
      </w:r>
    </w:p>
    <w:p w:rsidR="00ED4772" w:rsidRPr="00ED4772" w:rsidRDefault="00ED4772" w:rsidP="00377162">
      <w:pPr>
        <w:ind w:firstLine="284"/>
        <w:rPr>
          <w:i/>
          <w:lang w:eastAsia="en-US"/>
        </w:rPr>
      </w:pPr>
      <w:r w:rsidRPr="00ED4772">
        <w:rPr>
          <w:i/>
          <w:lang w:eastAsia="en-US"/>
        </w:rPr>
        <w:t xml:space="preserve">c) (Intervence v rozvoji venkova: b) výměna znalostí a informací) </w:t>
      </w:r>
    </w:p>
    <w:p w:rsidR="00ED4772" w:rsidRPr="00ED4772" w:rsidRDefault="00ED4772" w:rsidP="00377162">
      <w:pPr>
        <w:spacing w:after="240"/>
        <w:ind w:firstLine="284"/>
        <w:rPr>
          <w:i/>
          <w:lang w:eastAsia="en-US"/>
        </w:rPr>
      </w:pPr>
      <w:r w:rsidRPr="00ED4772">
        <w:rPr>
          <w:i/>
          <w:lang w:eastAsia="en-US"/>
        </w:rPr>
        <w:t>d) Vertikální spolupráce  (Intervence v rozvoji venkova: c) spolupráce)</w:t>
      </w:r>
    </w:p>
    <w:p w:rsidR="00ED4772" w:rsidRDefault="00ED4772" w:rsidP="00ED4772">
      <w:pPr>
        <w:pStyle w:val="ManualNumPar1"/>
        <w:numPr>
          <w:ilvl w:val="0"/>
          <w:numId w:val="29"/>
        </w:numPr>
        <w:rPr>
          <w:i/>
          <w:noProof/>
        </w:rPr>
      </w:pPr>
      <w:r>
        <w:rPr>
          <w:i/>
          <w:noProof/>
        </w:rPr>
        <w:t xml:space="preserve">a) </w:t>
      </w:r>
      <w:r w:rsidRPr="00ED4772">
        <w:rPr>
          <w:i/>
          <w:noProof/>
        </w:rPr>
        <w:t>Stimulace mezioborové spolupráce (Odvětvové intervence; Intervence v rozvoji venkova: c) spolupráce)</w:t>
      </w:r>
    </w:p>
    <w:p w:rsidR="00ED4772" w:rsidRPr="00ED4772" w:rsidRDefault="00ED4772" w:rsidP="00377162">
      <w:pPr>
        <w:ind w:firstLine="284"/>
        <w:rPr>
          <w:i/>
          <w:lang w:eastAsia="en-US"/>
        </w:rPr>
      </w:pPr>
      <w:r w:rsidRPr="00ED4772">
        <w:rPr>
          <w:i/>
          <w:lang w:eastAsia="en-US"/>
        </w:rPr>
        <w:t>b) Úprava národních podmínek odbytových organizací</w:t>
      </w:r>
    </w:p>
    <w:p w:rsidR="00ED4772" w:rsidRPr="00ED4772" w:rsidRDefault="00ED4772" w:rsidP="00377162">
      <w:pPr>
        <w:ind w:firstLine="284"/>
        <w:rPr>
          <w:i/>
          <w:lang w:eastAsia="en-US"/>
        </w:rPr>
      </w:pPr>
      <w:r w:rsidRPr="00ED4772">
        <w:rPr>
          <w:i/>
          <w:lang w:eastAsia="en-US"/>
        </w:rPr>
        <w:t>c) Vzdělávání zemědělců (Intervence v rozvoji venkova: b) výměna znalostí a informací)</w:t>
      </w:r>
    </w:p>
    <w:p w:rsidR="00ED4772" w:rsidRDefault="00ED4772" w:rsidP="00ED4772">
      <w:pPr>
        <w:rPr>
          <w:lang w:eastAsia="en-US"/>
        </w:rPr>
      </w:pPr>
    </w:p>
    <w:p w:rsidR="002F3207" w:rsidRPr="00E326BC" w:rsidRDefault="002F3207" w:rsidP="002F3207">
      <w:pPr>
        <w:ind w:firstLine="0"/>
        <w:jc w:val="left"/>
        <w:rPr>
          <w:b/>
        </w:rPr>
      </w:pPr>
      <w:r w:rsidRPr="00E326BC">
        <w:rPr>
          <w:b/>
        </w:rPr>
        <w:t>Reference:</w:t>
      </w:r>
    </w:p>
    <w:p w:rsidR="00E302E2" w:rsidRPr="00BB6B1B" w:rsidRDefault="00E302E2" w:rsidP="00BB6B1B">
      <w:pPr>
        <w:ind w:left="720" w:hanging="720"/>
        <w:rPr>
          <w:rFonts w:asciiTheme="minorHAnsi" w:hAnsiTheme="minorHAnsi"/>
          <w:sz w:val="22"/>
          <w:szCs w:val="22"/>
          <w:lang w:val="en-GB"/>
        </w:rPr>
      </w:pPr>
      <w:r w:rsidRPr="00BB6B1B">
        <w:rPr>
          <w:rFonts w:asciiTheme="minorHAnsi" w:hAnsiTheme="minorHAnsi"/>
          <w:sz w:val="22"/>
          <w:szCs w:val="22"/>
          <w:lang w:val="en-GB"/>
        </w:rPr>
        <w:t>Abdulai, A. (2002). “Using threshold co-integration to estimate asymmetric price transmission in the Swiss pork market” Applied Economics, 34, 679-687.</w:t>
      </w:r>
    </w:p>
    <w:p w:rsidR="00865064" w:rsidRDefault="00865064" w:rsidP="00E326BC">
      <w:pPr>
        <w:ind w:left="720" w:hanging="720"/>
        <w:rPr>
          <w:rFonts w:asciiTheme="minorHAnsi" w:hAnsiTheme="minorHAnsi"/>
          <w:sz w:val="22"/>
          <w:szCs w:val="22"/>
          <w:lang w:val="en-GB"/>
        </w:rPr>
      </w:pPr>
      <w:r w:rsidRPr="00BB6B1B">
        <w:rPr>
          <w:rFonts w:asciiTheme="minorHAnsi" w:hAnsiTheme="minorHAnsi"/>
          <w:sz w:val="22"/>
          <w:szCs w:val="22"/>
          <w:lang w:val="en-GB"/>
        </w:rPr>
        <w:t xml:space="preserve">Bauer, L., Lipovská, H. (2015). Matematika v ekonomii a matematice. Grada, Praha. </w:t>
      </w:r>
      <w:r w:rsidRPr="00865064">
        <w:rPr>
          <w:rFonts w:asciiTheme="minorHAnsi" w:hAnsiTheme="minorHAnsi"/>
          <w:sz w:val="22"/>
          <w:szCs w:val="22"/>
          <w:lang w:val="en-GB"/>
        </w:rPr>
        <w:t>ISBN 978-80-247-4419-3</w:t>
      </w:r>
      <w:r>
        <w:rPr>
          <w:rFonts w:asciiTheme="minorHAnsi" w:hAnsiTheme="minorHAnsi"/>
          <w:sz w:val="22"/>
          <w:szCs w:val="22"/>
          <w:lang w:val="en-GB"/>
        </w:rPr>
        <w:t>.</w:t>
      </w:r>
    </w:p>
    <w:p w:rsidR="00E302E2" w:rsidRPr="00BB6B1B" w:rsidRDefault="00E302E2" w:rsidP="00E302E2">
      <w:pPr>
        <w:ind w:left="720" w:hanging="720"/>
        <w:rPr>
          <w:rFonts w:asciiTheme="minorHAnsi" w:hAnsiTheme="minorHAnsi"/>
          <w:sz w:val="22"/>
          <w:szCs w:val="22"/>
          <w:lang w:val="en-GB"/>
        </w:rPr>
      </w:pPr>
      <w:r w:rsidRPr="00BB6B1B">
        <w:rPr>
          <w:rFonts w:asciiTheme="minorHAnsi" w:hAnsiTheme="minorHAnsi"/>
          <w:sz w:val="22"/>
          <w:szCs w:val="22"/>
          <w:lang w:val="en-GB"/>
        </w:rPr>
        <w:t>Blinder, A. S., E. R. Canetti, D. E. Lebow, and J. B. Rudd, (1998). Asking About Prices: A New Approach to Understanding Price Stickiness. New York: Sage Foundation.</w:t>
      </w:r>
    </w:p>
    <w:p w:rsidR="00E302E2" w:rsidRDefault="00E302E2" w:rsidP="00E302E2">
      <w:pPr>
        <w:ind w:left="720" w:hanging="720"/>
        <w:rPr>
          <w:rFonts w:asciiTheme="minorHAnsi" w:hAnsiTheme="minorHAnsi"/>
          <w:sz w:val="22"/>
          <w:szCs w:val="22"/>
          <w:lang w:val="en-GB"/>
        </w:rPr>
      </w:pPr>
      <w:r w:rsidRPr="00BB6B1B">
        <w:rPr>
          <w:rFonts w:asciiTheme="minorHAnsi" w:hAnsiTheme="minorHAnsi"/>
          <w:sz w:val="22"/>
          <w:szCs w:val="22"/>
          <w:lang w:val="en-GB"/>
        </w:rPr>
        <w:t>Blinder, A. S. (1994). “On Sticky Prices: Academic Theories Meet the Real World.” In Monetary Policy, ed. N. G. Mankiw, Chicago: University of Chicago Press.</w:t>
      </w:r>
    </w:p>
    <w:p w:rsidR="00AC6057" w:rsidRPr="00BB6B1B" w:rsidRDefault="00AC6057" w:rsidP="00E302E2">
      <w:pPr>
        <w:ind w:left="720" w:hanging="720"/>
        <w:rPr>
          <w:rFonts w:asciiTheme="minorHAnsi" w:hAnsiTheme="minorHAnsi"/>
          <w:sz w:val="22"/>
          <w:szCs w:val="22"/>
          <w:lang w:val="en-GB"/>
        </w:rPr>
      </w:pPr>
      <w:r w:rsidRPr="00AC6057">
        <w:rPr>
          <w:rFonts w:asciiTheme="minorHAnsi" w:hAnsiTheme="minorHAnsi"/>
          <w:sz w:val="22"/>
          <w:szCs w:val="22"/>
          <w:lang w:val="en-GB"/>
        </w:rPr>
        <w:t>Bošková, I.,  Ratinger, T. (2018).</w:t>
      </w:r>
      <w:r w:rsidRPr="00AC6057">
        <w:rPr>
          <w:rFonts w:asciiTheme="minorHAnsi" w:hAnsiTheme="minorHAnsi" w:hint="eastAsia"/>
          <w:sz w:val="22"/>
          <w:szCs w:val="22"/>
          <w:lang w:val="en-GB"/>
        </w:rPr>
        <w:t xml:space="preserve"> Do Consumers and Producers Benefit</w:t>
      </w:r>
      <w:r w:rsidRPr="00AC6057">
        <w:rPr>
          <w:rFonts w:asciiTheme="minorHAnsi" w:hAnsiTheme="minorHAnsi"/>
          <w:sz w:val="22"/>
          <w:szCs w:val="22"/>
          <w:lang w:val="en-GB"/>
        </w:rPr>
        <w:t xml:space="preserve"> </w:t>
      </w:r>
      <w:r w:rsidRPr="00AC6057">
        <w:rPr>
          <w:rFonts w:asciiTheme="minorHAnsi" w:hAnsiTheme="minorHAnsi" w:hint="eastAsia"/>
          <w:sz w:val="22"/>
          <w:szCs w:val="22"/>
          <w:lang w:val="en-GB"/>
        </w:rPr>
        <w:t>from Labels of Regional Origin?: The Case of the Czech Republic. In Matsumoto, S. and Otsuki, T. (Eds), Consumer Perception</w:t>
      </w:r>
      <w:r w:rsidRPr="00AC6057">
        <w:rPr>
          <w:rFonts w:asciiTheme="minorHAnsi" w:hAnsiTheme="minorHAnsi"/>
          <w:sz w:val="22"/>
          <w:szCs w:val="22"/>
          <w:lang w:val="en-GB"/>
        </w:rPr>
        <w:t xml:space="preserve"> </w:t>
      </w:r>
      <w:r w:rsidRPr="00AC6057">
        <w:rPr>
          <w:rFonts w:asciiTheme="minorHAnsi" w:hAnsiTheme="minorHAnsi" w:hint="eastAsia"/>
          <w:sz w:val="22"/>
          <w:szCs w:val="22"/>
          <w:lang w:val="en-GB"/>
        </w:rPr>
        <w:t>of Food Attributes, (Chapter 14, in press), 1st ed., Boca Raton, FL, USA: CRC Press. ISBN-10: 1138196843</w:t>
      </w:r>
      <w:r w:rsidRPr="00AC6057">
        <w:rPr>
          <w:rFonts w:asciiTheme="minorHAnsi" w:hAnsiTheme="minorHAnsi"/>
          <w:sz w:val="22"/>
          <w:szCs w:val="22"/>
          <w:lang w:val="en-GB"/>
        </w:rPr>
        <w:t>.</w:t>
      </w:r>
    </w:p>
    <w:p w:rsidR="00B90E79" w:rsidRPr="00EA583E" w:rsidRDefault="00B90E79" w:rsidP="00E326BC">
      <w:pPr>
        <w:ind w:left="720" w:hanging="720"/>
        <w:rPr>
          <w:rFonts w:asciiTheme="minorHAnsi" w:hAnsiTheme="minorHAnsi"/>
          <w:sz w:val="22"/>
          <w:szCs w:val="22"/>
          <w:lang w:val="en-GB"/>
        </w:rPr>
      </w:pPr>
      <w:r w:rsidRPr="00EA583E">
        <w:rPr>
          <w:rFonts w:asciiTheme="minorHAnsi" w:hAnsiTheme="minorHAnsi"/>
          <w:sz w:val="22"/>
          <w:szCs w:val="22"/>
          <w:lang w:val="en-GB"/>
        </w:rPr>
        <w:t>Bošková</w:t>
      </w:r>
      <w:r w:rsidR="00E44A75" w:rsidRPr="00EA583E">
        <w:rPr>
          <w:rFonts w:asciiTheme="minorHAnsi" w:hAnsiTheme="minorHAnsi"/>
          <w:sz w:val="22"/>
          <w:szCs w:val="22"/>
          <w:lang w:val="en-GB"/>
        </w:rPr>
        <w:t xml:space="preserve">, I., Kohoutová, V., Bříšková, M., Kličková, K. (2017). Přenos informací o výrobci a výrobku napříč zemědělsko – potravinovou vertikálou. Zpráva o výsledcích řešení IVP </w:t>
      </w:r>
      <w:r w:rsidR="0038517A" w:rsidRPr="00EA583E">
        <w:rPr>
          <w:rFonts w:asciiTheme="minorHAnsi" w:hAnsiTheme="minorHAnsi"/>
          <w:sz w:val="22"/>
          <w:szCs w:val="22"/>
          <w:lang w:val="en-GB"/>
        </w:rPr>
        <w:t xml:space="preserve">1118 </w:t>
      </w:r>
      <w:r w:rsidR="00E44A75" w:rsidRPr="00EA583E">
        <w:rPr>
          <w:rFonts w:asciiTheme="minorHAnsi" w:hAnsiTheme="minorHAnsi"/>
          <w:sz w:val="22"/>
          <w:szCs w:val="22"/>
          <w:lang w:val="en-GB"/>
        </w:rPr>
        <w:t>za rok</w:t>
      </w:r>
      <w:r w:rsidR="0038517A" w:rsidRPr="00EA583E">
        <w:rPr>
          <w:rFonts w:asciiTheme="minorHAnsi" w:hAnsiTheme="minorHAnsi"/>
          <w:sz w:val="22"/>
          <w:szCs w:val="22"/>
          <w:lang w:val="en-GB"/>
        </w:rPr>
        <w:t xml:space="preserve"> 2017</w:t>
      </w:r>
      <w:r w:rsidR="00E44A75" w:rsidRPr="00EA583E">
        <w:rPr>
          <w:rFonts w:asciiTheme="minorHAnsi" w:hAnsiTheme="minorHAnsi"/>
          <w:sz w:val="22"/>
          <w:szCs w:val="22"/>
          <w:lang w:val="en-GB"/>
        </w:rPr>
        <w:t xml:space="preserve">. </w:t>
      </w:r>
      <w:r w:rsidR="00E44A75" w:rsidRPr="00EA583E">
        <w:rPr>
          <w:rFonts w:asciiTheme="minorHAnsi" w:hAnsiTheme="minorHAnsi"/>
          <w:i/>
          <w:sz w:val="22"/>
          <w:szCs w:val="22"/>
          <w:lang w:val="en-GB"/>
        </w:rPr>
        <w:t xml:space="preserve">Ústav </w:t>
      </w:r>
      <w:r w:rsidR="00121669" w:rsidRPr="00EA583E">
        <w:rPr>
          <w:rFonts w:asciiTheme="minorHAnsi" w:hAnsiTheme="minorHAnsi"/>
          <w:i/>
          <w:sz w:val="22"/>
          <w:szCs w:val="22"/>
          <w:lang w:val="en-GB"/>
        </w:rPr>
        <w:t>z</w:t>
      </w:r>
      <w:r w:rsidR="00E44A75" w:rsidRPr="00EA583E">
        <w:rPr>
          <w:rFonts w:asciiTheme="minorHAnsi" w:hAnsiTheme="minorHAnsi"/>
          <w:i/>
          <w:sz w:val="22"/>
          <w:szCs w:val="22"/>
          <w:lang w:val="en-GB"/>
        </w:rPr>
        <w:t>emědělské ekonomiky a informací, Praha</w:t>
      </w:r>
      <w:r w:rsidR="00E44A75" w:rsidRPr="00EA583E">
        <w:rPr>
          <w:rFonts w:asciiTheme="minorHAnsi" w:hAnsiTheme="minorHAnsi"/>
          <w:sz w:val="22"/>
          <w:szCs w:val="22"/>
          <w:lang w:val="en-GB"/>
        </w:rPr>
        <w:t xml:space="preserve">. </w:t>
      </w:r>
    </w:p>
    <w:p w:rsidR="00A33D8C" w:rsidRPr="00EA583E" w:rsidRDefault="00A33D8C" w:rsidP="00A33D8C">
      <w:pPr>
        <w:ind w:left="720" w:hanging="720"/>
        <w:rPr>
          <w:rFonts w:asciiTheme="minorHAnsi" w:hAnsiTheme="minorHAnsi"/>
          <w:i/>
          <w:sz w:val="22"/>
          <w:szCs w:val="22"/>
          <w:lang w:val="en-GB"/>
        </w:rPr>
      </w:pPr>
      <w:r w:rsidRPr="00EA583E">
        <w:rPr>
          <w:rFonts w:asciiTheme="minorHAnsi" w:hAnsiTheme="minorHAnsi"/>
          <w:sz w:val="22"/>
          <w:szCs w:val="22"/>
          <w:lang w:val="en-GB"/>
        </w:rPr>
        <w:t xml:space="preserve">Bošková, I., Abrahamová, M., Špička, J., Rudinskaya, T., Náglová, Z., Pokorný, J., Froněk, P. (2017). Problematika tržních nedokonalostí a selhání v rámci vertikály zemědělsko – potravinářských výrobků. Tématický úkol 3/4206/2017 – výstup září. </w:t>
      </w:r>
      <w:r w:rsidRPr="00EA583E">
        <w:rPr>
          <w:rFonts w:asciiTheme="minorHAnsi" w:hAnsiTheme="minorHAnsi"/>
          <w:i/>
          <w:sz w:val="22"/>
          <w:szCs w:val="22"/>
          <w:lang w:val="en-GB"/>
        </w:rPr>
        <w:t>Ústav zemědělské ekonomiky a informací, Praha</w:t>
      </w:r>
    </w:p>
    <w:p w:rsidR="00121669" w:rsidRPr="00EA583E" w:rsidRDefault="00121669" w:rsidP="00121669">
      <w:pPr>
        <w:ind w:left="720" w:hanging="720"/>
        <w:rPr>
          <w:rFonts w:asciiTheme="minorHAnsi" w:hAnsiTheme="minorHAnsi"/>
          <w:i/>
          <w:sz w:val="22"/>
          <w:szCs w:val="22"/>
          <w:lang w:val="en-GB"/>
        </w:rPr>
      </w:pPr>
      <w:r w:rsidRPr="00EA583E">
        <w:rPr>
          <w:rFonts w:asciiTheme="minorHAnsi" w:hAnsiTheme="minorHAnsi"/>
          <w:sz w:val="22"/>
          <w:szCs w:val="22"/>
          <w:lang w:val="en-GB"/>
        </w:rPr>
        <w:t xml:space="preserve">Bošková, I., </w:t>
      </w:r>
      <w:bookmarkStart w:id="12" w:name="spoluřešitelé"/>
      <w:r w:rsidRPr="00EA583E">
        <w:rPr>
          <w:rFonts w:asciiTheme="minorHAnsi" w:hAnsiTheme="minorHAnsi"/>
          <w:sz w:val="22"/>
          <w:szCs w:val="22"/>
          <w:lang w:val="en-GB"/>
        </w:rPr>
        <w:t>Abrahamová, M., Novotný, P., Špička, J., Rudinskaya, T., Mrhálková, I., Štiková, O., Kohoutová, V., Plášil, M., Peřinová, V. (2016).</w:t>
      </w:r>
      <w:bookmarkEnd w:id="12"/>
      <w:r w:rsidRPr="00EA583E">
        <w:rPr>
          <w:rFonts w:asciiTheme="minorHAnsi" w:hAnsiTheme="minorHAnsi"/>
          <w:sz w:val="22"/>
          <w:szCs w:val="22"/>
          <w:lang w:val="en-GB"/>
        </w:rPr>
        <w:t xml:space="preserve"> Problematika tržních nedokonalostí a selhání v rámci vertikály zemědělsko – potravinářských výrobků. Tématický úkol 3/4206/2016 – výstup září. </w:t>
      </w:r>
      <w:r w:rsidRPr="00EA583E">
        <w:rPr>
          <w:rFonts w:asciiTheme="minorHAnsi" w:hAnsiTheme="minorHAnsi"/>
          <w:i/>
          <w:sz w:val="22"/>
          <w:szCs w:val="22"/>
          <w:lang w:val="en-GB"/>
        </w:rPr>
        <w:t>Ústav zemědělské ekonomiky a informací, Praha</w:t>
      </w:r>
    </w:p>
    <w:p w:rsidR="00264F72" w:rsidRPr="00264F72" w:rsidRDefault="00264F72" w:rsidP="00264F72">
      <w:pPr>
        <w:ind w:left="720" w:hanging="720"/>
        <w:rPr>
          <w:rFonts w:asciiTheme="minorHAnsi" w:hAnsiTheme="minorHAnsi"/>
          <w:sz w:val="22"/>
          <w:szCs w:val="22"/>
          <w:lang w:val="en-GB"/>
        </w:rPr>
      </w:pPr>
      <w:r w:rsidRPr="00264F72">
        <w:rPr>
          <w:rFonts w:asciiTheme="minorHAnsi" w:hAnsiTheme="minorHAnsi"/>
          <w:sz w:val="22"/>
          <w:szCs w:val="22"/>
          <w:lang w:val="en-GB"/>
        </w:rPr>
        <w:t>Darby, M., &amp; Karni, E. (1973). Free competition and the optimal amount of fraud. Journal of Law and Economics, 16(1), 67–88</w:t>
      </w:r>
    </w:p>
    <w:p w:rsidR="00BB6B1B" w:rsidRDefault="00BB6B1B" w:rsidP="00BB6B1B">
      <w:pPr>
        <w:ind w:left="720" w:hanging="720"/>
        <w:rPr>
          <w:rFonts w:asciiTheme="minorHAnsi" w:hAnsiTheme="minorHAnsi"/>
          <w:sz w:val="22"/>
          <w:szCs w:val="22"/>
          <w:lang w:val="en-GB"/>
        </w:rPr>
      </w:pPr>
      <w:r w:rsidRPr="00BB6B1B">
        <w:rPr>
          <w:rFonts w:asciiTheme="minorHAnsi" w:hAnsiTheme="minorHAnsi"/>
          <w:sz w:val="22"/>
          <w:szCs w:val="22"/>
          <w:lang w:val="en-GB"/>
        </w:rPr>
        <w:t>GfK Czech (2017). Studie „Shopping Monitor 201</w:t>
      </w:r>
      <w:r w:rsidR="00917138">
        <w:rPr>
          <w:rFonts w:asciiTheme="minorHAnsi" w:hAnsiTheme="minorHAnsi"/>
          <w:sz w:val="22"/>
          <w:szCs w:val="22"/>
          <w:lang w:val="en-GB"/>
        </w:rPr>
        <w:t>7</w:t>
      </w:r>
      <w:r w:rsidRPr="00BB6B1B">
        <w:rPr>
          <w:rFonts w:asciiTheme="minorHAnsi" w:hAnsiTheme="minorHAnsi"/>
          <w:sz w:val="22"/>
          <w:szCs w:val="22"/>
          <w:lang w:val="en-GB"/>
        </w:rPr>
        <w:t>“</w:t>
      </w:r>
    </w:p>
    <w:p w:rsidR="00264F72" w:rsidRPr="00264F72" w:rsidRDefault="00264F72" w:rsidP="00264F72">
      <w:pPr>
        <w:ind w:left="720" w:hanging="720"/>
        <w:rPr>
          <w:rFonts w:asciiTheme="minorHAnsi" w:hAnsiTheme="minorHAnsi"/>
          <w:sz w:val="22"/>
          <w:szCs w:val="22"/>
          <w:lang w:val="en-GB"/>
        </w:rPr>
      </w:pPr>
      <w:r w:rsidRPr="00264F72">
        <w:rPr>
          <w:rFonts w:asciiTheme="minorHAnsi" w:hAnsiTheme="minorHAnsi"/>
          <w:sz w:val="22"/>
          <w:szCs w:val="22"/>
          <w:lang w:val="en-GB"/>
        </w:rPr>
        <w:t>Luhmann, N. (1979). Trust and power.  Wiley, Chichester, Toronto. ISBN 0471997587</w:t>
      </w:r>
    </w:p>
    <w:p w:rsidR="0038517A" w:rsidRDefault="0038517A" w:rsidP="00121669">
      <w:pPr>
        <w:ind w:left="720" w:hanging="720"/>
        <w:rPr>
          <w:rFonts w:asciiTheme="minorHAnsi" w:hAnsiTheme="minorHAnsi"/>
          <w:sz w:val="22"/>
          <w:szCs w:val="22"/>
          <w:lang w:val="en-GB"/>
        </w:rPr>
      </w:pPr>
      <w:r w:rsidRPr="00EA583E">
        <w:rPr>
          <w:rFonts w:asciiTheme="minorHAnsi" w:hAnsiTheme="minorHAnsi"/>
          <w:sz w:val="22"/>
          <w:szCs w:val="22"/>
          <w:lang w:val="en-GB"/>
        </w:rPr>
        <w:t>Jelínek, l.</w:t>
      </w:r>
      <w:r w:rsidR="00077D5E" w:rsidRPr="00EA583E">
        <w:rPr>
          <w:rFonts w:asciiTheme="minorHAnsi" w:hAnsiTheme="minorHAnsi"/>
          <w:sz w:val="22"/>
          <w:szCs w:val="22"/>
          <w:lang w:val="en-GB"/>
        </w:rPr>
        <w:t>, Hruška, M., Boyinová, S., Medonos, M., Pechrová-Šimpachá, M., Šimpach, O.</w:t>
      </w:r>
      <w:r w:rsidRPr="00EA583E">
        <w:rPr>
          <w:rFonts w:asciiTheme="minorHAnsi" w:hAnsiTheme="minorHAnsi"/>
          <w:sz w:val="22"/>
          <w:szCs w:val="22"/>
          <w:lang w:val="en-GB"/>
        </w:rPr>
        <w:t xml:space="preserve"> Analýza hospodaření velkých zemědělských podniků. Výstup I – analýza majetkových vazeb zemědělských podniků. </w:t>
      </w:r>
      <w:r w:rsidR="00077D5E" w:rsidRPr="00EA583E">
        <w:rPr>
          <w:rFonts w:asciiTheme="minorHAnsi" w:hAnsiTheme="minorHAnsi"/>
          <w:sz w:val="22"/>
          <w:szCs w:val="22"/>
          <w:lang w:val="en-GB"/>
        </w:rPr>
        <w:t>Průběžná z</w:t>
      </w:r>
      <w:r w:rsidRPr="00EA583E">
        <w:rPr>
          <w:rFonts w:asciiTheme="minorHAnsi" w:hAnsiTheme="minorHAnsi"/>
          <w:sz w:val="22"/>
          <w:szCs w:val="22"/>
          <w:lang w:val="en-GB"/>
        </w:rPr>
        <w:t xml:space="preserve">práva o výsledcích řešení IVP </w:t>
      </w:r>
      <w:r w:rsidR="00077D5E" w:rsidRPr="00EA583E">
        <w:rPr>
          <w:rFonts w:asciiTheme="minorHAnsi" w:hAnsiTheme="minorHAnsi"/>
          <w:sz w:val="22"/>
          <w:szCs w:val="22"/>
          <w:lang w:val="en-GB"/>
        </w:rPr>
        <w:t xml:space="preserve">1117 </w:t>
      </w:r>
      <w:r w:rsidRPr="00EA583E">
        <w:rPr>
          <w:rFonts w:asciiTheme="minorHAnsi" w:hAnsiTheme="minorHAnsi"/>
          <w:sz w:val="22"/>
          <w:szCs w:val="22"/>
          <w:lang w:val="en-GB"/>
        </w:rPr>
        <w:t>za rok 201</w:t>
      </w:r>
      <w:r w:rsidR="00077D5E" w:rsidRPr="00EA583E">
        <w:rPr>
          <w:rFonts w:asciiTheme="minorHAnsi" w:hAnsiTheme="minorHAnsi"/>
          <w:sz w:val="22"/>
          <w:szCs w:val="22"/>
          <w:lang w:val="en-GB"/>
        </w:rPr>
        <w:t>7</w:t>
      </w:r>
      <w:r w:rsidRPr="00EA583E">
        <w:rPr>
          <w:rFonts w:asciiTheme="minorHAnsi" w:hAnsiTheme="minorHAnsi"/>
          <w:sz w:val="22"/>
          <w:szCs w:val="22"/>
          <w:lang w:val="en-GB"/>
        </w:rPr>
        <w:t xml:space="preserve">. </w:t>
      </w:r>
      <w:r w:rsidRPr="00BB6B1B">
        <w:rPr>
          <w:rFonts w:asciiTheme="minorHAnsi" w:hAnsiTheme="minorHAnsi"/>
          <w:sz w:val="22"/>
          <w:szCs w:val="22"/>
          <w:lang w:val="en-GB"/>
        </w:rPr>
        <w:t>Ústav zemědělské ekonomiky a informací, Praha</w:t>
      </w:r>
      <w:r w:rsidRPr="00EA583E">
        <w:rPr>
          <w:rFonts w:asciiTheme="minorHAnsi" w:hAnsiTheme="minorHAnsi"/>
          <w:sz w:val="22"/>
          <w:szCs w:val="22"/>
          <w:lang w:val="en-GB"/>
        </w:rPr>
        <w:t>.</w:t>
      </w:r>
    </w:p>
    <w:p w:rsidR="00BB6B1B" w:rsidRPr="00BB6B1B" w:rsidRDefault="00BB6B1B" w:rsidP="00BB6B1B">
      <w:pPr>
        <w:ind w:left="720" w:hanging="720"/>
        <w:rPr>
          <w:rFonts w:asciiTheme="minorHAnsi" w:hAnsiTheme="minorHAnsi"/>
          <w:sz w:val="22"/>
          <w:szCs w:val="22"/>
          <w:lang w:val="en-GB"/>
        </w:rPr>
      </w:pPr>
      <w:r w:rsidRPr="00BB6B1B">
        <w:rPr>
          <w:rFonts w:asciiTheme="minorHAnsi" w:hAnsiTheme="minorHAnsi"/>
          <w:sz w:val="22"/>
          <w:szCs w:val="22"/>
          <w:lang w:val="en-GB"/>
        </w:rPr>
        <w:t>McCorriston, S. and Sheldon, I.M. (1996). “Trade Policy in Vertically-Related Markets”, Oxford Economic Papers 48: 664-672.</w:t>
      </w:r>
    </w:p>
    <w:p w:rsidR="00264F72" w:rsidRPr="00264F72" w:rsidRDefault="00264F72" w:rsidP="00264F72">
      <w:pPr>
        <w:ind w:left="720" w:hanging="720"/>
        <w:rPr>
          <w:rFonts w:asciiTheme="minorHAnsi" w:hAnsiTheme="minorHAnsi"/>
          <w:sz w:val="22"/>
          <w:szCs w:val="22"/>
          <w:lang w:val="en-GB"/>
        </w:rPr>
      </w:pPr>
      <w:r w:rsidRPr="00264F72">
        <w:rPr>
          <w:rFonts w:asciiTheme="minorHAnsi" w:hAnsiTheme="minorHAnsi"/>
          <w:sz w:val="22"/>
          <w:szCs w:val="22"/>
          <w:lang w:val="en-GB"/>
        </w:rPr>
        <w:t xml:space="preserve">Meyer, S. B., Coveney, J., Henderson, J., Ward, P. R., and Taylor, A. W. (2012). Reconnecting Australian consumers and producers: Identifying problems of distrust. Food Policy, 37(6), 634e640. </w:t>
      </w:r>
      <w:hyperlink r:id="rId22" w:history="1">
        <w:r w:rsidRPr="00264F72">
          <w:rPr>
            <w:rFonts w:asciiTheme="minorHAnsi" w:hAnsiTheme="minorHAnsi"/>
            <w:sz w:val="22"/>
            <w:szCs w:val="22"/>
            <w:lang w:val="en-GB"/>
          </w:rPr>
          <w:t xml:space="preserve">http://dx.doi.org/10.1016/j.foodpol.2012.07.005. </w:t>
        </w:r>
      </w:hyperlink>
    </w:p>
    <w:p w:rsidR="00BB6B1B" w:rsidRPr="00BB6B1B" w:rsidRDefault="00BB6B1B" w:rsidP="00BB6B1B">
      <w:pPr>
        <w:ind w:left="720" w:hanging="720"/>
        <w:rPr>
          <w:rFonts w:asciiTheme="minorHAnsi" w:hAnsiTheme="minorHAnsi"/>
          <w:sz w:val="22"/>
          <w:szCs w:val="22"/>
          <w:lang w:val="en-GB"/>
        </w:rPr>
      </w:pPr>
      <w:r w:rsidRPr="00BB6B1B">
        <w:rPr>
          <w:rFonts w:asciiTheme="minorHAnsi" w:hAnsiTheme="minorHAnsi"/>
          <w:sz w:val="22"/>
          <w:szCs w:val="22"/>
          <w:lang w:val="en-GB"/>
        </w:rPr>
        <w:t>Meyer, J. and S. von Cramon-Taubadel, (2004). “Asymmetric Price Transmission: A Survey,” Journal of Agricultural Economics. 55: 581-611.</w:t>
      </w:r>
    </w:p>
    <w:p w:rsidR="00A219F4" w:rsidRPr="00EA583E" w:rsidRDefault="00A219F4" w:rsidP="00A219F4">
      <w:pPr>
        <w:ind w:left="720" w:hanging="720"/>
        <w:rPr>
          <w:rFonts w:asciiTheme="minorHAnsi" w:hAnsiTheme="minorHAnsi"/>
          <w:sz w:val="22"/>
          <w:szCs w:val="22"/>
          <w:lang w:val="en-GB"/>
        </w:rPr>
      </w:pPr>
      <w:r w:rsidRPr="00BB6B1B">
        <w:rPr>
          <w:rFonts w:asciiTheme="minorHAnsi" w:hAnsiTheme="minorHAnsi"/>
          <w:sz w:val="22"/>
          <w:szCs w:val="22"/>
          <w:lang w:val="en-GB"/>
        </w:rPr>
        <w:t>MZe (2018</w:t>
      </w:r>
      <w:r w:rsidR="004D3BF7">
        <w:rPr>
          <w:rFonts w:asciiTheme="minorHAnsi" w:hAnsiTheme="minorHAnsi"/>
          <w:sz w:val="22"/>
          <w:szCs w:val="22"/>
          <w:lang w:val="en-GB"/>
        </w:rPr>
        <w:t xml:space="preserve">, a </w:t>
      </w:r>
      <w:r w:rsidRPr="00BB6B1B">
        <w:rPr>
          <w:rFonts w:asciiTheme="minorHAnsi" w:hAnsiTheme="minorHAnsi"/>
          <w:sz w:val="22"/>
          <w:szCs w:val="22"/>
          <w:lang w:val="en-GB"/>
        </w:rPr>
        <w:t>). Analýza národních dotací do zemědělství v roce 2017. Ministerstvo zemědělství ČR, odbor 12120  účetnictví a statistiky, č.j. 20817/2018-MZE-12121. Interní materiál.</w:t>
      </w:r>
    </w:p>
    <w:p w:rsidR="00A219F4" w:rsidRPr="00EA583E" w:rsidRDefault="004D3BF7" w:rsidP="00121669">
      <w:pPr>
        <w:ind w:left="720" w:hanging="720"/>
        <w:rPr>
          <w:rFonts w:asciiTheme="minorHAnsi" w:hAnsiTheme="minorHAnsi"/>
          <w:sz w:val="22"/>
          <w:szCs w:val="22"/>
          <w:lang w:val="en-GB"/>
        </w:rPr>
      </w:pPr>
      <w:r>
        <w:rPr>
          <w:rFonts w:asciiTheme="minorHAnsi" w:hAnsiTheme="minorHAnsi"/>
          <w:sz w:val="22"/>
          <w:szCs w:val="22"/>
          <w:lang w:val="en-GB"/>
        </w:rPr>
        <w:t>Mze (2018, b). Zpráva o stavu zemědělství ČR. Ministerstvo zemědělství, Praha, 2018.</w:t>
      </w:r>
    </w:p>
    <w:p w:rsidR="00FF6D06" w:rsidRPr="00BB6B1B" w:rsidRDefault="00FF6D06" w:rsidP="00121669">
      <w:pPr>
        <w:ind w:left="720" w:hanging="720"/>
        <w:rPr>
          <w:rFonts w:asciiTheme="minorHAnsi" w:hAnsiTheme="minorHAnsi"/>
          <w:sz w:val="22"/>
          <w:szCs w:val="22"/>
          <w:lang w:val="en-GB"/>
        </w:rPr>
      </w:pPr>
      <w:r w:rsidRPr="00EA583E">
        <w:rPr>
          <w:rFonts w:asciiTheme="minorHAnsi" w:hAnsiTheme="minorHAnsi"/>
          <w:sz w:val="22"/>
          <w:szCs w:val="22"/>
          <w:lang w:val="en-GB"/>
        </w:rPr>
        <w:t>Mze (2017</w:t>
      </w:r>
      <w:r w:rsidR="007F1730" w:rsidRPr="00EA583E">
        <w:rPr>
          <w:rFonts w:asciiTheme="minorHAnsi" w:hAnsiTheme="minorHAnsi"/>
          <w:sz w:val="22"/>
          <w:szCs w:val="22"/>
          <w:lang w:val="en-GB"/>
        </w:rPr>
        <w:t>, a</w:t>
      </w:r>
      <w:r w:rsidRPr="00EA583E">
        <w:rPr>
          <w:rFonts w:asciiTheme="minorHAnsi" w:hAnsiTheme="minorHAnsi"/>
          <w:sz w:val="22"/>
          <w:szCs w:val="22"/>
          <w:lang w:val="en-GB"/>
        </w:rPr>
        <w:t xml:space="preserve">). Střednědobé </w:t>
      </w:r>
      <w:r w:rsidRPr="00BB6B1B">
        <w:rPr>
          <w:rFonts w:asciiTheme="minorHAnsi" w:hAnsiTheme="minorHAnsi"/>
          <w:sz w:val="22"/>
          <w:szCs w:val="22"/>
          <w:lang w:val="en-GB"/>
        </w:rPr>
        <w:t>hodnocení 2017: Programu rozvoje venkova na období 2014 – 2020. MZe, dostupné z:</w:t>
      </w:r>
      <w:r w:rsidR="009E76B7" w:rsidRPr="00BB6B1B">
        <w:rPr>
          <w:rFonts w:asciiTheme="minorHAnsi" w:hAnsiTheme="minorHAnsi"/>
          <w:sz w:val="22"/>
          <w:szCs w:val="22"/>
          <w:lang w:val="en-GB"/>
        </w:rPr>
        <w:t xml:space="preserve"> </w:t>
      </w:r>
      <w:hyperlink r:id="rId23" w:history="1">
        <w:r w:rsidR="00A219F4" w:rsidRPr="00BB6B1B">
          <w:rPr>
            <w:lang w:val="en-GB"/>
          </w:rPr>
          <w:t>http://eagri.cz/public/web/mze/dotace/program-rozvoje-venkova-na-obdobi-2014/hodnoceni-a-monitoring/hodnoceni/strednedobe-hodnoceni-prv-2014-2020.html</w:t>
        </w:r>
      </w:hyperlink>
    </w:p>
    <w:p w:rsidR="00A219F4" w:rsidRPr="00BB6B1B" w:rsidRDefault="00A219F4" w:rsidP="00121669">
      <w:pPr>
        <w:ind w:left="720" w:hanging="720"/>
        <w:rPr>
          <w:rFonts w:asciiTheme="minorHAnsi" w:hAnsiTheme="minorHAnsi"/>
          <w:sz w:val="22"/>
          <w:szCs w:val="22"/>
          <w:lang w:val="en-GB"/>
        </w:rPr>
      </w:pPr>
      <w:r w:rsidRPr="00BB6B1B">
        <w:rPr>
          <w:rFonts w:asciiTheme="minorHAnsi" w:hAnsiTheme="minorHAnsi"/>
          <w:sz w:val="22"/>
          <w:szCs w:val="22"/>
          <w:lang w:val="en-GB"/>
        </w:rPr>
        <w:t>MZe (2017, b). Analýza národních dotací do zemědělství v roce 2016. Ministerstvo zemědělství ČR, odbor 13230  účetnictví a statistiky, č.j. 3228/2017-MZE-13231. Interní materiál.</w:t>
      </w:r>
    </w:p>
    <w:p w:rsidR="006B63AD" w:rsidRDefault="006B63AD" w:rsidP="00121669">
      <w:pPr>
        <w:ind w:left="720" w:hanging="720"/>
        <w:rPr>
          <w:rFonts w:asciiTheme="minorHAnsi" w:hAnsiTheme="minorHAnsi"/>
          <w:sz w:val="22"/>
          <w:szCs w:val="22"/>
          <w:lang w:val="en-GB"/>
        </w:rPr>
      </w:pPr>
      <w:r w:rsidRPr="00BB6B1B">
        <w:rPr>
          <w:rFonts w:asciiTheme="minorHAnsi" w:hAnsiTheme="minorHAnsi"/>
          <w:sz w:val="22"/>
          <w:szCs w:val="22"/>
          <w:lang w:val="en-GB"/>
        </w:rPr>
        <w:t xml:space="preserve">MZe (2015). Strategie pro růst Ministerstva zemědělství České republiky do roku 2030. Ministerstvo zemědělství ČR, Praha. Dostupné z: </w:t>
      </w:r>
      <w:hyperlink r:id="rId24" w:history="1">
        <w:r w:rsidR="00BC17DB" w:rsidRPr="00BD0B9F">
          <w:rPr>
            <w:rStyle w:val="Hypertextovodkaz"/>
            <w:rFonts w:asciiTheme="minorHAnsi" w:hAnsiTheme="minorHAnsi"/>
            <w:sz w:val="22"/>
            <w:szCs w:val="22"/>
            <w:lang w:val="en-GB"/>
          </w:rPr>
          <w:t>www.eagri.cz</w:t>
        </w:r>
      </w:hyperlink>
      <w:r w:rsidRPr="00BB6B1B">
        <w:rPr>
          <w:rFonts w:asciiTheme="minorHAnsi" w:hAnsiTheme="minorHAnsi"/>
          <w:sz w:val="22"/>
          <w:szCs w:val="22"/>
          <w:lang w:val="en-GB"/>
        </w:rPr>
        <w:t>.</w:t>
      </w:r>
    </w:p>
    <w:p w:rsidR="008A32D0" w:rsidRDefault="008A32D0" w:rsidP="00121669">
      <w:pPr>
        <w:ind w:left="720" w:hanging="720"/>
        <w:rPr>
          <w:rFonts w:asciiTheme="minorHAnsi" w:hAnsiTheme="minorHAnsi"/>
          <w:sz w:val="22"/>
          <w:szCs w:val="22"/>
          <w:lang w:val="en-GB"/>
        </w:rPr>
      </w:pPr>
      <w:r w:rsidRPr="00982AA5">
        <w:rPr>
          <w:rFonts w:asciiTheme="minorHAnsi" w:hAnsiTheme="minorHAnsi"/>
          <w:sz w:val="22"/>
          <w:szCs w:val="22"/>
        </w:rPr>
        <w:t xml:space="preserve">Rudinskaya, T., Abrahamová, M., Bošková, I., Pokorný, J. </w:t>
      </w:r>
      <w:r>
        <w:rPr>
          <w:rFonts w:asciiTheme="minorHAnsi" w:hAnsiTheme="minorHAnsi"/>
          <w:sz w:val="22"/>
          <w:szCs w:val="22"/>
        </w:rPr>
        <w:t xml:space="preserve">(2017) </w:t>
      </w:r>
      <w:r w:rsidRPr="00982AA5">
        <w:rPr>
          <w:rFonts w:asciiTheme="minorHAnsi" w:hAnsiTheme="minorHAnsi"/>
          <w:sz w:val="22"/>
          <w:szCs w:val="22"/>
        </w:rPr>
        <w:t>Analýza faktorů ovlivňujících cenovou transmisi v zemědělsko-potravinářské vertikále. Interní výzkumný projekt č.1114/2017. Ústav zemědělské ekonomiky a informací, Praha</w:t>
      </w:r>
    </w:p>
    <w:p w:rsidR="00E44A75" w:rsidRPr="00EA583E" w:rsidRDefault="00D9594C" w:rsidP="00E326BC">
      <w:pPr>
        <w:ind w:left="720" w:hanging="720"/>
        <w:rPr>
          <w:rFonts w:asciiTheme="minorHAnsi" w:hAnsiTheme="minorHAnsi"/>
          <w:sz w:val="22"/>
          <w:szCs w:val="22"/>
          <w:lang w:val="en-GB"/>
        </w:rPr>
      </w:pPr>
      <w:r w:rsidRPr="00EA583E">
        <w:rPr>
          <w:rFonts w:asciiTheme="minorHAnsi" w:hAnsiTheme="minorHAnsi"/>
          <w:sz w:val="22"/>
          <w:szCs w:val="22"/>
          <w:lang w:val="en-GB"/>
        </w:rPr>
        <w:t>SZIF (2018). Dotazníkové šetření mezi držiteli značky Klasa v roce 2018. SZIF, Praha, interní materiál.</w:t>
      </w:r>
    </w:p>
    <w:p w:rsidR="00115A91" w:rsidRDefault="00115A91" w:rsidP="00115A91">
      <w:pPr>
        <w:ind w:left="720" w:hanging="720"/>
        <w:rPr>
          <w:rFonts w:asciiTheme="minorHAnsi" w:hAnsiTheme="minorHAnsi"/>
          <w:sz w:val="22"/>
          <w:szCs w:val="22"/>
          <w:lang w:val="en-GB"/>
        </w:rPr>
      </w:pPr>
      <w:r w:rsidRPr="00EA583E">
        <w:rPr>
          <w:rFonts w:asciiTheme="minorHAnsi" w:hAnsiTheme="minorHAnsi"/>
          <w:sz w:val="22"/>
          <w:szCs w:val="22"/>
          <w:lang w:val="en-GB"/>
        </w:rPr>
        <w:t>SZIF (2018). Dotazníkové šetření mezi držiteli značky Regionální potravina v roce 2018. SZIF, Praha, interní materiál.</w:t>
      </w:r>
    </w:p>
    <w:p w:rsidR="00264F72" w:rsidRPr="00264F72" w:rsidRDefault="00264F72" w:rsidP="00264F72">
      <w:pPr>
        <w:ind w:left="720" w:hanging="720"/>
        <w:rPr>
          <w:rFonts w:asciiTheme="minorHAnsi" w:hAnsiTheme="minorHAnsi"/>
          <w:sz w:val="22"/>
          <w:szCs w:val="22"/>
          <w:lang w:val="en-GB"/>
        </w:rPr>
      </w:pPr>
      <w:r w:rsidRPr="00264F72">
        <w:rPr>
          <w:rFonts w:asciiTheme="minorHAnsi" w:hAnsiTheme="minorHAnsi"/>
          <w:sz w:val="22"/>
          <w:szCs w:val="22"/>
          <w:lang w:val="en-GB"/>
        </w:rPr>
        <w:t>Teuber, R. (2011) Consumers' and producers' expectations towards geographical indications: Empirical evidence for a German case study. British Food Journal, 113 (7), 900-918. DOI: 10.1108/00070701111148423</w:t>
      </w:r>
    </w:p>
    <w:p w:rsidR="00BB6B1B" w:rsidRPr="00BB6B1B" w:rsidRDefault="00BB6B1B" w:rsidP="00BB6B1B">
      <w:pPr>
        <w:ind w:left="720" w:hanging="720"/>
        <w:rPr>
          <w:rFonts w:asciiTheme="minorHAnsi" w:hAnsiTheme="minorHAnsi"/>
          <w:sz w:val="22"/>
          <w:szCs w:val="22"/>
          <w:lang w:val="en-GB"/>
        </w:rPr>
      </w:pPr>
      <w:r w:rsidRPr="00BB6B1B">
        <w:rPr>
          <w:rFonts w:asciiTheme="minorHAnsi" w:hAnsiTheme="minorHAnsi"/>
          <w:sz w:val="22"/>
          <w:szCs w:val="22"/>
          <w:lang w:val="en-GB"/>
        </w:rPr>
        <w:t>Von Cramon-Taubadel, S. (1998). “Estimating Asymmetric Price Transmission with the Error Correction Representation: An Application to the German Pork Market,” European Review of Agricultural Economics. 25: 1-18.</w:t>
      </w:r>
    </w:p>
    <w:p w:rsidR="00E326BC" w:rsidRDefault="00E302E2" w:rsidP="003D14B0">
      <w:pPr>
        <w:ind w:left="720" w:hanging="720"/>
      </w:pPr>
      <w:r w:rsidRPr="00BB6B1B">
        <w:rPr>
          <w:rFonts w:asciiTheme="minorHAnsi" w:hAnsiTheme="minorHAnsi"/>
          <w:sz w:val="22"/>
          <w:szCs w:val="22"/>
          <w:lang w:val="en-GB"/>
        </w:rPr>
        <w:t>Zachariasse, V. and F. Bunte, (2003). How are farmers faring in the changing balance of power along the food supply chain?, OECD Conference: Changing Dimensions of the Food Economy: Exploring the Policy Issues, The Hague, 6-7 February 2003.</w:t>
      </w:r>
    </w:p>
    <w:sectPr w:rsidR="00E326BC" w:rsidSect="00021B82">
      <w:footerReference w:type="default" r:id="rId25"/>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D28" w:rsidRDefault="00D64D28" w:rsidP="00E326BC">
      <w:pPr>
        <w:spacing w:before="0" w:line="240" w:lineRule="auto"/>
      </w:pPr>
      <w:r>
        <w:separator/>
      </w:r>
    </w:p>
  </w:endnote>
  <w:endnote w:type="continuationSeparator" w:id="0">
    <w:p w:rsidR="00D64D28" w:rsidRDefault="00D64D28" w:rsidP="00E326BC">
      <w:pPr>
        <w:spacing w:before="0" w:line="240" w:lineRule="auto"/>
      </w:pPr>
      <w:r>
        <w:continuationSeparator/>
      </w:r>
    </w:p>
  </w:endnote>
  <w:endnote w:type="continuationNotice" w:id="1">
    <w:p w:rsidR="00D64D28" w:rsidRDefault="00D64D28">
      <w:pPr>
        <w:spacing w:before="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041011"/>
      <w:docPartObj>
        <w:docPartGallery w:val="Page Numbers (Bottom of Page)"/>
        <w:docPartUnique/>
      </w:docPartObj>
    </w:sdtPr>
    <w:sdtContent>
      <w:p w:rsidR="00EB4FA3" w:rsidRDefault="00E4776A">
        <w:pPr>
          <w:pStyle w:val="Zpat"/>
          <w:jc w:val="center"/>
        </w:pPr>
        <w:r>
          <w:fldChar w:fldCharType="begin"/>
        </w:r>
        <w:r w:rsidR="00EB4FA3">
          <w:instrText>PAGE   \* MERGEFORMAT</w:instrText>
        </w:r>
        <w:r>
          <w:fldChar w:fldCharType="separate"/>
        </w:r>
        <w:r w:rsidR="00A2525B">
          <w:rPr>
            <w:noProof/>
          </w:rPr>
          <w:t>25</w:t>
        </w:r>
        <w:r>
          <w:fldChar w:fldCharType="end"/>
        </w:r>
      </w:p>
    </w:sdtContent>
  </w:sdt>
  <w:p w:rsidR="00EB4FA3" w:rsidRDefault="00EB4FA3">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D28" w:rsidRDefault="00D64D28" w:rsidP="00E326BC">
      <w:pPr>
        <w:spacing w:before="0" w:line="240" w:lineRule="auto"/>
      </w:pPr>
      <w:r>
        <w:separator/>
      </w:r>
    </w:p>
  </w:footnote>
  <w:footnote w:type="continuationSeparator" w:id="0">
    <w:p w:rsidR="00D64D28" w:rsidRDefault="00D64D28" w:rsidP="00E326BC">
      <w:pPr>
        <w:spacing w:before="0" w:line="240" w:lineRule="auto"/>
      </w:pPr>
      <w:r>
        <w:continuationSeparator/>
      </w:r>
    </w:p>
  </w:footnote>
  <w:footnote w:type="continuationNotice" w:id="1">
    <w:p w:rsidR="00D64D28" w:rsidRDefault="00D64D28">
      <w:pPr>
        <w:spacing w:before="0" w:line="240" w:lineRule="auto"/>
      </w:pPr>
    </w:p>
  </w:footnote>
  <w:footnote w:id="2">
    <w:p w:rsidR="00EB4FA3" w:rsidRPr="00142E65" w:rsidRDefault="00EB4FA3" w:rsidP="00142E65">
      <w:pPr>
        <w:pStyle w:val="Textpoznpodarou"/>
        <w:rPr>
          <w:rFonts w:asciiTheme="minorHAnsi" w:hAnsiTheme="minorHAnsi"/>
          <w:i w:val="0"/>
          <w:sz w:val="18"/>
          <w:szCs w:val="18"/>
        </w:rPr>
      </w:pPr>
      <w:r>
        <w:rPr>
          <w:rStyle w:val="Znakapoznpodarou"/>
        </w:rPr>
        <w:footnoteRef/>
      </w:r>
      <w:r>
        <w:t xml:space="preserve"> </w:t>
      </w:r>
      <w:r w:rsidRPr="00142E65">
        <w:rPr>
          <w:rFonts w:asciiTheme="minorHAnsi" w:hAnsiTheme="minorHAnsi"/>
          <w:i w:val="0"/>
          <w:sz w:val="18"/>
          <w:szCs w:val="18"/>
        </w:rPr>
        <w:t xml:space="preserve">Návrh textu směrnice </w:t>
      </w:r>
      <w:r w:rsidRPr="006E4D79">
        <w:rPr>
          <w:rFonts w:asciiTheme="minorHAnsi" w:eastAsia="Times New Roman" w:hAnsiTheme="minorHAnsi"/>
          <w:i w:val="0"/>
          <w:sz w:val="18"/>
          <w:szCs w:val="18"/>
        </w:rPr>
        <w:t>Evropského parlamentu a Rady o nekalých obchodních praktikách mezi podniky v potravinovém řetězci</w:t>
      </w:r>
      <w:r w:rsidRPr="00142E65">
        <w:rPr>
          <w:rFonts w:asciiTheme="minorHAnsi" w:hAnsiTheme="minorHAnsi"/>
          <w:i w:val="0"/>
          <w:sz w:val="18"/>
          <w:szCs w:val="18"/>
        </w:rPr>
        <w:t xml:space="preserve"> </w:t>
      </w:r>
      <w:r w:rsidRPr="006E4D79">
        <w:rPr>
          <w:rFonts w:asciiTheme="minorHAnsi" w:eastAsia="Times New Roman" w:hAnsiTheme="minorHAnsi"/>
          <w:i w:val="0"/>
          <w:sz w:val="18"/>
          <w:szCs w:val="18"/>
        </w:rPr>
        <w:t xml:space="preserve">(COM(2018)0173 – C8-0139/2018 – 2018/0082(COD)) </w:t>
      </w:r>
      <w:r w:rsidRPr="00142E65">
        <w:rPr>
          <w:rFonts w:asciiTheme="minorHAnsi" w:hAnsiTheme="minorHAnsi"/>
          <w:i w:val="0"/>
          <w:sz w:val="18"/>
          <w:szCs w:val="18"/>
        </w:rPr>
        <w:t xml:space="preserve"> </w:t>
      </w:r>
      <w:r w:rsidRPr="00142E65">
        <w:rPr>
          <w:rFonts w:asciiTheme="minorHAnsi" w:eastAsia="Times New Roman" w:hAnsiTheme="minorHAnsi"/>
          <w:i w:val="0"/>
          <w:sz w:val="18"/>
          <w:szCs w:val="18"/>
        </w:rPr>
        <w:t>Výbor pro zemědělství a rozvoj venkova</w:t>
      </w:r>
      <w:r w:rsidRPr="00142E65">
        <w:rPr>
          <w:rFonts w:asciiTheme="minorHAnsi" w:hAnsiTheme="minorHAnsi"/>
          <w:i w:val="0"/>
          <w:sz w:val="18"/>
          <w:szCs w:val="18"/>
        </w:rPr>
        <w:t>.(Legislativa v přípravě.)</w:t>
      </w:r>
    </w:p>
  </w:footnote>
  <w:footnote w:id="3">
    <w:p w:rsidR="00EB4FA3" w:rsidRPr="006B7439" w:rsidRDefault="00EB4FA3" w:rsidP="009537AB">
      <w:pPr>
        <w:pStyle w:val="Textpoznpodarou"/>
        <w:spacing w:line="240" w:lineRule="atLeast"/>
        <w:rPr>
          <w:i w:val="0"/>
          <w:sz w:val="18"/>
          <w:szCs w:val="18"/>
        </w:rPr>
      </w:pPr>
      <w:r>
        <w:rPr>
          <w:rStyle w:val="Znakapoznpodarou"/>
        </w:rPr>
        <w:footnoteRef/>
      </w:r>
      <w:r>
        <w:t xml:space="preserve"> </w:t>
      </w:r>
      <w:r w:rsidRPr="006B7439">
        <w:rPr>
          <w:rFonts w:ascii="Calibri" w:hAnsi="Calibri"/>
          <w:i w:val="0"/>
          <w:sz w:val="18"/>
          <w:szCs w:val="18"/>
          <w:lang w:eastAsia="en-US"/>
        </w:rPr>
        <w:t>Studie „Shopping Monitor 2018“, GfK Czech, prosinec 2017</w:t>
      </w:r>
    </w:p>
  </w:footnote>
  <w:footnote w:id="4">
    <w:p w:rsidR="00EB4FA3" w:rsidRDefault="00EB4FA3">
      <w:pPr>
        <w:pStyle w:val="Textpoznpodarou"/>
      </w:pPr>
      <w:r>
        <w:rPr>
          <w:rStyle w:val="Znakapoznpodarou"/>
        </w:rPr>
        <w:footnoteRef/>
      </w:r>
      <w:r>
        <w:t xml:space="preserve"> </w:t>
      </w:r>
      <w:r w:rsidRPr="00674939">
        <w:rPr>
          <w:rFonts w:asciiTheme="minorHAnsi" w:eastAsia="Times New Roman" w:hAnsiTheme="minorHAnsi"/>
          <w:i w:val="0"/>
          <w:sz w:val="18"/>
          <w:szCs w:val="18"/>
        </w:rPr>
        <w:t xml:space="preserve">Analýza cenové transmise byla provedena na časové řadě CZV mléka, CPV másla, CPV mléka polotučného, CPV Eidamu, SC másla, SC mléka polotučného a SC Eidamu v letech 2006 až 2016.  Tyto výsledky platí pro obě úrovně komoditního řetězce, tedy pro vztah CZV a CPV i pro vztah CPV a SC. </w:t>
      </w:r>
      <w:r w:rsidRPr="00674939">
        <w:rPr>
          <w:rFonts w:ascii="Calibri" w:hAnsi="Calibri"/>
          <w:i w:val="0"/>
          <w:sz w:val="18"/>
          <w:szCs w:val="18"/>
          <w:lang w:eastAsia="en-US"/>
        </w:rPr>
        <w:t xml:space="preserve">V případě vepřového masa a výrobků z vepřového masa byla analýza provedena na časové řadě za léta 2006-2016 u CZV jatečných prasat, CPV vepřové kýty, CPV šunkového salámu, SC </w:t>
      </w:r>
      <w:r w:rsidRPr="00F56054">
        <w:rPr>
          <w:rFonts w:ascii="Calibri" w:hAnsi="Calibri"/>
          <w:i w:val="0"/>
          <w:sz w:val="18"/>
          <w:szCs w:val="18"/>
          <w:lang w:eastAsia="en-US"/>
        </w:rPr>
        <w:t xml:space="preserve">vepřové kýty a SC šunkového salámu. </w:t>
      </w:r>
      <w:r w:rsidRPr="00F56054">
        <w:rPr>
          <w:rFonts w:ascii="Calibri" w:hAnsi="Calibri"/>
          <w:sz w:val="18"/>
          <w:szCs w:val="18"/>
        </w:rPr>
        <w:t>U drůbežího masa se analýza prováděla na časové řadě CZV kuřat jatečných, CPV a SC kuřat kuchaných. Určitým omezením bylo to, že nebylo možné provést analýzu na výrobcích s vyšší přidanou hodnotou z důvodu absence cen těchto výrobků</w:t>
      </w:r>
    </w:p>
  </w:footnote>
  <w:footnote w:id="5">
    <w:p w:rsidR="00EB4FA3" w:rsidRDefault="00EB4FA3" w:rsidP="008E70E3">
      <w:pPr>
        <w:pStyle w:val="Textpoznpodarou"/>
        <w:spacing w:after="120"/>
      </w:pPr>
      <w:r>
        <w:rPr>
          <w:rStyle w:val="Znakapoznpodarou"/>
        </w:rPr>
        <w:footnoteRef/>
      </w:r>
      <w:r>
        <w:t xml:space="preserve"> </w:t>
      </w:r>
      <w:r w:rsidRPr="00B53CD3">
        <w:rPr>
          <w:rFonts w:ascii="Calibri" w:hAnsi="Calibri"/>
          <w:sz w:val="18"/>
          <w:szCs w:val="18"/>
          <w:lang w:eastAsia="en-US"/>
        </w:rPr>
        <w:t>Z vymezení podpory EK na vytvoření a rozvoj KDŘ je zřejmé, že podpora se týká pouze dodavatelského řetězce, který zahrnuje maximálně jednoho zprostředkovatele mezi zemědělcem a spotřebitelem</w:t>
      </w:r>
      <w:r>
        <w:rPr>
          <w:rFonts w:ascii="Calibri" w:hAnsi="Calibri"/>
          <w:sz w:val="18"/>
          <w:szCs w:val="18"/>
          <w:lang w:eastAsia="en-US"/>
        </w:rPr>
        <w:t>.</w:t>
      </w:r>
    </w:p>
  </w:footnote>
  <w:footnote w:id="6">
    <w:p w:rsidR="00EB4FA3" w:rsidRPr="008E70E3" w:rsidRDefault="00EB4FA3" w:rsidP="008E70E3">
      <w:pPr>
        <w:spacing w:before="0" w:line="240" w:lineRule="atLeast"/>
        <w:ind w:firstLine="0"/>
        <w:rPr>
          <w:rFonts w:ascii="Calibri" w:eastAsia="Calibri" w:hAnsi="Calibri"/>
          <w:i/>
          <w:sz w:val="18"/>
          <w:szCs w:val="18"/>
          <w:lang w:eastAsia="en-US"/>
        </w:rPr>
      </w:pPr>
      <w:r>
        <w:rPr>
          <w:rStyle w:val="Znakapoznpodarou"/>
        </w:rPr>
        <w:footnoteRef/>
      </w:r>
      <w:r>
        <w:t xml:space="preserve"> </w:t>
      </w:r>
      <w:r w:rsidRPr="008E70E3">
        <w:rPr>
          <w:rFonts w:ascii="Calibri" w:eastAsia="Calibri" w:hAnsi="Calibri"/>
          <w:i/>
          <w:sz w:val="18"/>
          <w:szCs w:val="18"/>
          <w:lang w:eastAsia="en-US"/>
        </w:rPr>
        <w:t>Bošková, I.,  Ratinger, T. (2018).</w:t>
      </w:r>
      <w:r w:rsidRPr="008E70E3">
        <w:rPr>
          <w:rFonts w:ascii="Calibri" w:eastAsia="Calibri" w:hAnsi="Calibri" w:hint="eastAsia"/>
          <w:i/>
          <w:sz w:val="18"/>
          <w:szCs w:val="18"/>
          <w:lang w:eastAsia="en-US"/>
        </w:rPr>
        <w:t xml:space="preserve"> Do Consumers and Producers Benefit</w:t>
      </w:r>
      <w:r>
        <w:rPr>
          <w:rFonts w:ascii="Calibri" w:eastAsia="Calibri" w:hAnsi="Calibri"/>
          <w:i/>
          <w:sz w:val="18"/>
          <w:szCs w:val="18"/>
          <w:lang w:eastAsia="en-US"/>
        </w:rPr>
        <w:t xml:space="preserve"> </w:t>
      </w:r>
      <w:r w:rsidRPr="008E70E3">
        <w:rPr>
          <w:rFonts w:ascii="Calibri" w:eastAsia="Calibri" w:hAnsi="Calibri" w:hint="eastAsia"/>
          <w:i/>
          <w:sz w:val="18"/>
          <w:szCs w:val="18"/>
          <w:lang w:eastAsia="en-US"/>
        </w:rPr>
        <w:t>from Labels of Regional Origin?: The Case of the Czech Republic. In Matsumoto, S. and Otsuki, T. (Eds), Consumer Perception</w:t>
      </w:r>
      <w:r>
        <w:rPr>
          <w:rFonts w:ascii="Calibri" w:eastAsia="Calibri" w:hAnsi="Calibri"/>
          <w:i/>
          <w:sz w:val="18"/>
          <w:szCs w:val="18"/>
          <w:lang w:eastAsia="en-US"/>
        </w:rPr>
        <w:t xml:space="preserve"> </w:t>
      </w:r>
      <w:r w:rsidRPr="008E70E3">
        <w:rPr>
          <w:rFonts w:ascii="Calibri" w:eastAsia="Calibri" w:hAnsi="Calibri" w:hint="eastAsia"/>
          <w:i/>
          <w:sz w:val="18"/>
          <w:szCs w:val="18"/>
          <w:lang w:eastAsia="en-US"/>
        </w:rPr>
        <w:t>of Food Attributes, (Chapter 14, in press), 1st ed., Boca Raton, FL, USA: CRC Press. ISBN-10: 1138196843</w:t>
      </w:r>
      <w:r w:rsidRPr="008E70E3">
        <w:rPr>
          <w:rFonts w:ascii="Calibri" w:eastAsia="Calibri" w:hAnsi="Calibri"/>
          <w:i/>
          <w:sz w:val="18"/>
          <w:szCs w:val="18"/>
          <w:lang w:eastAsia="en-US"/>
        </w:rPr>
        <w:t>.</w:t>
      </w:r>
    </w:p>
  </w:footnote>
  <w:footnote w:id="7">
    <w:p w:rsidR="00EB4FA3" w:rsidRDefault="00EB4FA3">
      <w:pPr>
        <w:pStyle w:val="Textpoznpodarou"/>
      </w:pPr>
      <w:r>
        <w:rPr>
          <w:rStyle w:val="Znakapoznpodarou"/>
        </w:rPr>
        <w:footnoteRef/>
      </w:r>
      <w:r>
        <w:t xml:space="preserve"> </w:t>
      </w:r>
      <w:r w:rsidRPr="00232861">
        <w:rPr>
          <w:rFonts w:asciiTheme="minorHAnsi" w:hAnsiTheme="minorHAnsi"/>
          <w:i w:val="0"/>
          <w:sz w:val="18"/>
          <w:szCs w:val="18"/>
        </w:rPr>
        <w:t>Držitelé mohli uvést více forem prodeje.</w:t>
      </w:r>
    </w:p>
  </w:footnote>
  <w:footnote w:id="8">
    <w:p w:rsidR="00EB4FA3" w:rsidRDefault="00EB4FA3" w:rsidP="002B44EF">
      <w:pPr>
        <w:pStyle w:val="Textpoznpodarou"/>
      </w:pPr>
      <w:r>
        <w:rPr>
          <w:rStyle w:val="Znakapoznpodarou"/>
        </w:rPr>
        <w:footnoteRef/>
      </w:r>
      <w:r>
        <w:t xml:space="preserve"> </w:t>
      </w:r>
      <w:r w:rsidRPr="001C5C4B">
        <w:rPr>
          <w:rFonts w:asciiTheme="minorHAnsi" w:hAnsiTheme="minorHAnsi"/>
          <w:i w:val="0"/>
          <w:sz w:val="18"/>
          <w:szCs w:val="18"/>
        </w:rPr>
        <w:t>Dle dostupnosti dat.</w:t>
      </w:r>
    </w:p>
  </w:footnote>
  <w:footnote w:id="9">
    <w:p w:rsidR="00EB4FA3" w:rsidRDefault="00EB4FA3" w:rsidP="002B44EF">
      <w:pPr>
        <w:pStyle w:val="Textpoznpodarou"/>
      </w:pPr>
      <w:r>
        <w:rPr>
          <w:rStyle w:val="Znakapoznpodarou"/>
        </w:rPr>
        <w:footnoteRef/>
      </w:r>
      <w:r>
        <w:t xml:space="preserve"> </w:t>
      </w:r>
      <w:r w:rsidRPr="00BF4B86">
        <w:rPr>
          <w:rFonts w:asciiTheme="minorHAnsi" w:hAnsiTheme="minorHAnsi" w:cs="Arial"/>
          <w:sz w:val="18"/>
          <w:szCs w:val="18"/>
        </w:rPr>
        <w:t xml:space="preserve">Pro měření koncentrace v odvětví mléka byl zvolen Herfindahl-Hirshmanův index (HHI). HHI nabývá hodnot </w:t>
      </w:r>
      <m:oMath>
        <m:r>
          <w:rPr>
            <w:rFonts w:ascii="Cambria Math" w:hAnsi="Cambria Math" w:cs="Arial"/>
            <w:sz w:val="18"/>
            <w:szCs w:val="18"/>
          </w:rPr>
          <m:t>0&lt;HHI≤10 000.</m:t>
        </m:r>
      </m:oMath>
      <w:r w:rsidRPr="00BF4B86">
        <w:rPr>
          <w:rFonts w:asciiTheme="minorHAnsi" w:hAnsiTheme="minorHAnsi" w:cs="Arial"/>
          <w:sz w:val="18"/>
          <w:szCs w:val="18"/>
        </w:rPr>
        <w:t xml:space="preserve"> Pokud na trhu působí mnoho firem s velmi malým tržním podílem, blíží se</w:t>
      </w:r>
      <m:oMath>
        <m:r>
          <w:rPr>
            <w:rFonts w:ascii="Cambria Math" w:hAnsi="Cambria Math" w:cs="Arial"/>
            <w:sz w:val="18"/>
            <w:szCs w:val="18"/>
          </w:rPr>
          <m:t xml:space="preserve"> HHI</m:t>
        </m:r>
      </m:oMath>
      <w:r w:rsidRPr="00BF4B86">
        <w:rPr>
          <w:rFonts w:asciiTheme="minorHAnsi" w:hAnsiTheme="minorHAnsi" w:cs="Arial"/>
          <w:sz w:val="18"/>
          <w:szCs w:val="18"/>
        </w:rPr>
        <w:t xml:space="preserve"> nule a jedná se o dokonalou konkurenci. Pokud je naopak </w:t>
      </w:r>
      <m:oMath>
        <m:r>
          <w:rPr>
            <w:rFonts w:ascii="Cambria Math" w:hAnsi="Cambria Math" w:cs="Arial"/>
            <w:sz w:val="18"/>
            <w:szCs w:val="18"/>
          </w:rPr>
          <m:t>HHI=10 000</m:t>
        </m:r>
      </m:oMath>
      <w:r w:rsidRPr="00BF4B86">
        <w:rPr>
          <w:rFonts w:asciiTheme="minorHAnsi" w:hAnsiTheme="minorHAnsi" w:cs="Arial"/>
          <w:sz w:val="18"/>
          <w:szCs w:val="18"/>
        </w:rPr>
        <w:t xml:space="preserve">, je na trhu monopol. Uzančně se stupně koncentrace posuzují podle mezních hodnot: </w:t>
      </w:r>
      <w:r w:rsidRPr="00BF4B86">
        <w:rPr>
          <w:rFonts w:asciiTheme="minorHAnsi" w:hAnsiTheme="minorHAnsi" w:cs="Calibri"/>
          <w:i w:val="0"/>
          <w:iCs/>
          <w:color w:val="000000"/>
          <w:sz w:val="18"/>
          <w:szCs w:val="18"/>
        </w:rPr>
        <w:t xml:space="preserve">HHI </w:t>
      </w:r>
      <w:r w:rsidRPr="00BF4B86">
        <w:rPr>
          <w:rFonts w:asciiTheme="minorHAnsi" w:hAnsiTheme="minorHAnsi" w:cs="Calibri"/>
          <w:color w:val="000000"/>
          <w:sz w:val="18"/>
          <w:szCs w:val="18"/>
        </w:rPr>
        <w:t xml:space="preserve">&lt; 1000 = nízká koncentrace; 1000 ≤ </w:t>
      </w:r>
      <w:r w:rsidRPr="00BF4B86">
        <w:rPr>
          <w:rFonts w:asciiTheme="minorHAnsi" w:hAnsiTheme="minorHAnsi" w:cs="Calibri"/>
          <w:i w:val="0"/>
          <w:iCs/>
          <w:color w:val="000000"/>
          <w:sz w:val="18"/>
          <w:szCs w:val="18"/>
        </w:rPr>
        <w:t>HHI</w:t>
      </w:r>
      <w:r w:rsidRPr="00BF4B86">
        <w:rPr>
          <w:rFonts w:asciiTheme="minorHAnsi" w:hAnsiTheme="minorHAnsi" w:cs="Calibri"/>
          <w:color w:val="000000"/>
          <w:sz w:val="18"/>
          <w:szCs w:val="18"/>
        </w:rPr>
        <w:t xml:space="preserve"> &lt; 2000 = střední koncentrace; 2000 ≤ </w:t>
      </w:r>
      <w:r w:rsidRPr="00BF4B86">
        <w:rPr>
          <w:rFonts w:asciiTheme="minorHAnsi" w:hAnsiTheme="minorHAnsi" w:cs="Calibri"/>
          <w:i w:val="0"/>
          <w:iCs/>
          <w:color w:val="000000"/>
          <w:sz w:val="18"/>
          <w:szCs w:val="18"/>
        </w:rPr>
        <w:t>HHI = v</w:t>
      </w:r>
      <w:r w:rsidRPr="00BF4B86">
        <w:rPr>
          <w:rFonts w:asciiTheme="minorHAnsi" w:hAnsiTheme="minorHAnsi" w:cs="Calibri"/>
          <w:color w:val="000000"/>
          <w:sz w:val="18"/>
          <w:szCs w:val="18"/>
        </w:rPr>
        <w:t>ysoká koncentrace (Bauer, 2015).</w:t>
      </w:r>
    </w:p>
  </w:footnote>
  <w:footnote w:id="10">
    <w:p w:rsidR="00EB4FA3" w:rsidRPr="004D3BF7" w:rsidRDefault="00EB4FA3" w:rsidP="002B44EF">
      <w:pPr>
        <w:pStyle w:val="Textpoznpodarou"/>
        <w:rPr>
          <w:rFonts w:asciiTheme="minorHAnsi" w:hAnsiTheme="minorHAnsi"/>
          <w:i w:val="0"/>
          <w:sz w:val="18"/>
          <w:szCs w:val="18"/>
        </w:rPr>
      </w:pPr>
      <w:r w:rsidRPr="004D3BF7">
        <w:rPr>
          <w:rStyle w:val="Znakapoznpodarou"/>
          <w:rFonts w:asciiTheme="minorHAnsi" w:hAnsiTheme="minorHAnsi"/>
          <w:i/>
          <w:sz w:val="18"/>
          <w:szCs w:val="18"/>
        </w:rPr>
        <w:footnoteRef/>
      </w:r>
      <w:r w:rsidRPr="004D3BF7">
        <w:rPr>
          <w:rFonts w:asciiTheme="minorHAnsi" w:hAnsiTheme="minorHAnsi"/>
          <w:i w:val="0"/>
          <w:sz w:val="18"/>
          <w:szCs w:val="18"/>
        </w:rPr>
        <w:t xml:space="preserve"> </w:t>
      </w:r>
      <w:r w:rsidRPr="004D3BF7">
        <w:rPr>
          <w:rFonts w:asciiTheme="minorHAnsi" w:hAnsiTheme="minorHAnsi" w:cs="Arial"/>
          <w:i w:val="0"/>
          <w:sz w:val="18"/>
          <w:szCs w:val="18"/>
        </w:rPr>
        <w:t>Mlékařské hospodářské družstvo JIH, Mlékařské hospodářské družstvo Střední Čechy a dále Morava, mlékařské odbytové družstvo</w:t>
      </w:r>
    </w:p>
  </w:footnote>
  <w:footnote w:id="11">
    <w:p w:rsidR="00EB4FA3" w:rsidRDefault="00EB4FA3">
      <w:pPr>
        <w:pStyle w:val="Textpoznpodarou"/>
      </w:pPr>
      <w:r>
        <w:rPr>
          <w:rStyle w:val="Znakapoznpodarou"/>
        </w:rPr>
        <w:footnoteRef/>
      </w:r>
      <w:r>
        <w:t xml:space="preserve"> Výzkum provedený na vzorku 1 000 spotřebitelů obecné populace, který je reprezentativním vzorkem ČR. Jedná se o výzkum postojů. Reálné chování nebylo předmětem výzkumu.  </w:t>
      </w:r>
    </w:p>
  </w:footnote>
  <w:footnote w:id="12">
    <w:p w:rsidR="00EB4FA3" w:rsidRDefault="00EB4FA3" w:rsidP="00232861">
      <w:pPr>
        <w:pStyle w:val="Odstavecseseznamem"/>
        <w:spacing w:before="0" w:after="120" w:line="240" w:lineRule="atLeast"/>
        <w:ind w:left="0" w:firstLine="0"/>
      </w:pPr>
      <w:r>
        <w:rPr>
          <w:rStyle w:val="Znakapoznpodarou"/>
        </w:rPr>
        <w:footnoteRef/>
      </w:r>
      <w:r>
        <w:t xml:space="preserve"> </w:t>
      </w:r>
      <w:r w:rsidRPr="006B7439">
        <w:rPr>
          <w:rFonts w:asciiTheme="minorHAnsi" w:hAnsiTheme="minorHAnsi"/>
          <w:sz w:val="18"/>
          <w:szCs w:val="18"/>
        </w:rPr>
        <w:t>AMA  Gütesiegel  je úředně uznaná značka kvality, která je spravována a kontrolována společností  Agrarmarkt Austria Marketing GesmbH.. Je chráněna jako registrovaná slovní a obrazová značka. Mohou jí být označeny potraviny, které překračují kvalitativní zákonné požadavky a jejichž původ je konkrétně vysledovatelný. AMA – Gütesiegel je nejznámější značkou kvality potravin v Rakousku. Je založena na třech pilířích – vysoká kvalita, dohledatelný původ a nezávislá kontrola. Zavedení systému sledování kvality navazuje na úkoly společnosti Agrarmarkt  Austria založené roku 1992 Spolkovým zákonem o zřízení agentury tržního pořádku „Agrarmarkt Austria“</w:t>
      </w:r>
      <w:r w:rsidRPr="006B7439">
        <w:rPr>
          <w:rStyle w:val="Znakapoznpodarou"/>
          <w:rFonts w:asciiTheme="minorHAnsi" w:hAnsiTheme="minorHAnsi"/>
          <w:sz w:val="18"/>
          <w:szCs w:val="18"/>
        </w:rPr>
        <w:footnoteRef/>
      </w:r>
      <w:r w:rsidRPr="006B7439">
        <w:rPr>
          <w:rFonts w:asciiTheme="minorHAnsi" w:hAnsiTheme="minorHAnsi"/>
          <w:sz w:val="18"/>
          <w:szCs w:val="18"/>
        </w:rPr>
        <w:t>, uvedené v tomto zákoně, kdy podle § 3 AMA naplňuje mimo jiné tyto následující úkoly: i) Opatření ke zvyšování kvality, zejména vývoj a zavádění směrnic kvality pro zemědělské produkty a z nich vyráběné zpracované produkty</w:t>
      </w:r>
      <w:r>
        <w:rPr>
          <w:rFonts w:asciiTheme="minorHAnsi" w:hAnsiTheme="minorHAnsi"/>
          <w:sz w:val="18"/>
          <w:szCs w:val="18"/>
        </w:rPr>
        <w:t>.</w:t>
      </w:r>
      <w:r w:rsidRPr="006B7439">
        <w:rPr>
          <w:rFonts w:asciiTheme="minorHAnsi" w:hAnsiTheme="minorHAnsi"/>
          <w:sz w:val="18"/>
          <w:szCs w:val="18"/>
        </w:rPr>
        <w:t>) Podpora zemědělského marketingu. V roce 2015 se programu účastnilo zhruba 47 tis. zemědělců, 250 zpracovatelů a systém pokrýval zhruba 3 000 výrobků. </w:t>
      </w:r>
    </w:p>
  </w:footnote>
  <w:footnote w:id="13">
    <w:p w:rsidR="00EB4FA3" w:rsidRPr="006B7439" w:rsidRDefault="00EB4FA3" w:rsidP="009537AB">
      <w:pPr>
        <w:spacing w:before="0" w:after="120" w:line="240" w:lineRule="atLeast"/>
        <w:ind w:firstLine="0"/>
        <w:rPr>
          <w:rFonts w:asciiTheme="minorHAnsi" w:hAnsiTheme="minorHAnsi"/>
          <w:sz w:val="18"/>
          <w:szCs w:val="18"/>
        </w:rPr>
      </w:pPr>
      <w:r>
        <w:rPr>
          <w:rStyle w:val="Znakapoznpodarou"/>
        </w:rPr>
        <w:footnoteRef/>
      </w:r>
      <w:r>
        <w:t xml:space="preserve"> </w:t>
      </w:r>
      <w:r w:rsidRPr="006B7439">
        <w:rPr>
          <w:rFonts w:asciiTheme="minorHAnsi" w:hAnsiTheme="minorHAnsi"/>
          <w:sz w:val="18"/>
          <w:szCs w:val="18"/>
        </w:rPr>
        <w:t xml:space="preserve">QS je soukromá, ekonomicky řízená iniciativa, založená v Německu společností QS Qualität und Sicherheit GmbH, která byla založena v roce 2001 po krizi BSE. Od svého vzniku se QS považuje za alianci aktivní ochrany spotřebitele. Systém byl spuštěn 13. října 2001. Značka certifikace QS byla zapsána do rejstříku ochranných známek německého Úřadu pro patenty a Úřadu pro ochranné známky v Mnichově, dále Úřadem pro harmonizaci vnitřního trhu v Alicante a Světovým úřadem pro duševní vlastnictví (WIPO) v Ženevě a je chráněna zákonem o ochranných známkách. </w:t>
      </w:r>
      <w:r w:rsidRPr="006B7439">
        <w:rPr>
          <w:rFonts w:asciiTheme="minorHAnsi" w:hAnsiTheme="minorHAnsi"/>
          <w:i/>
          <w:sz w:val="18"/>
          <w:szCs w:val="18"/>
        </w:rPr>
        <w:t>QS označuje</w:t>
      </w:r>
      <w:r w:rsidRPr="006B7439">
        <w:rPr>
          <w:rFonts w:asciiTheme="minorHAnsi" w:hAnsiTheme="minorHAnsi"/>
          <w:sz w:val="18"/>
          <w:szCs w:val="18"/>
        </w:rPr>
        <w:t xml:space="preserve"> Quality and food Safety – Kvalitu a bezpečnost potravin. Systém poskytuje komplexní záruku, která zahrnuje všechny úrovně potravinového řetězce, od prvovýroby, přes zpracovatele a prodej až po konečného spotřebitele (včetně přepravy, skladování). Označením certifikací QS ukazují</w:t>
      </w:r>
      <w:r w:rsidRPr="00331652">
        <w:t xml:space="preserve"> </w:t>
      </w:r>
      <w:r w:rsidRPr="006B7439">
        <w:rPr>
          <w:rFonts w:asciiTheme="minorHAnsi" w:hAnsiTheme="minorHAnsi"/>
          <w:sz w:val="18"/>
          <w:szCs w:val="18"/>
        </w:rPr>
        <w:t>účastníci tohoto programu, že produkují a prodávají své výrobky exkluzivně v souladu s požadavky programu QS.</w:t>
      </w:r>
    </w:p>
    <w:p w:rsidR="00EB4FA3" w:rsidRDefault="00EB4FA3" w:rsidP="009537AB">
      <w:pPr>
        <w:pStyle w:val="Textpoznpodarou"/>
      </w:pPr>
    </w:p>
  </w:footnote>
  <w:footnote w:id="14">
    <w:p w:rsidR="00EB4FA3" w:rsidRPr="00264F72" w:rsidRDefault="00EB4FA3">
      <w:pPr>
        <w:pStyle w:val="Textpoznpodarou"/>
        <w:rPr>
          <w:i w:val="0"/>
          <w:sz w:val="18"/>
          <w:szCs w:val="18"/>
        </w:rPr>
      </w:pPr>
      <w:r>
        <w:rPr>
          <w:rStyle w:val="Znakapoznpodarou"/>
        </w:rPr>
        <w:footnoteRef/>
      </w:r>
      <w:r>
        <w:t xml:space="preserve"> </w:t>
      </w:r>
      <w:r w:rsidRPr="00264F72">
        <w:rPr>
          <w:rFonts w:ascii="Calibri" w:hAnsi="Calibri"/>
          <w:i w:val="0"/>
          <w:sz w:val="18"/>
          <w:szCs w:val="18"/>
          <w:lang w:eastAsia="en-US"/>
        </w:rPr>
        <w:t>Výjimkou je započatý režim Q CZ v odvětví mléka, který však naopak končí u zpracovatele a ke spotřebiteli se nedostává.</w:t>
      </w:r>
      <w:r>
        <w:rPr>
          <w:rFonts w:ascii="Calibri" w:hAnsi="Calibri"/>
          <w:i w:val="0"/>
          <w:sz w:val="18"/>
          <w:szCs w:val="18"/>
          <w:lang w:eastAsia="en-US"/>
        </w:rPr>
        <w:t xml:space="preserve"> Obdobný režim v odvětví vepřového masa je v přípravě.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660E3"/>
    <w:multiLevelType w:val="hybridMultilevel"/>
    <w:tmpl w:val="6CB24AA8"/>
    <w:lvl w:ilvl="0" w:tplc="84E85FE0">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nsid w:val="024F32ED"/>
    <w:multiLevelType w:val="hybridMultilevel"/>
    <w:tmpl w:val="DC8C8972"/>
    <w:lvl w:ilvl="0" w:tplc="E1A8693C">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26F08FE"/>
    <w:multiLevelType w:val="hybridMultilevel"/>
    <w:tmpl w:val="6380B24A"/>
    <w:lvl w:ilvl="0" w:tplc="E1A8693C">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9A95596"/>
    <w:multiLevelType w:val="hybridMultilevel"/>
    <w:tmpl w:val="3F82AF90"/>
    <w:lvl w:ilvl="0" w:tplc="CDD28864">
      <w:start w:val="1"/>
      <w:numFmt w:val="decimal"/>
      <w:lvlText w:val="%1)"/>
      <w:lvlJc w:val="left"/>
      <w:pPr>
        <w:ind w:left="927" w:hanging="360"/>
      </w:pPr>
      <w:rPr>
        <w:rFonts w:ascii="Times New Roman" w:hAnsi="Times New Roman" w:hint="default"/>
        <w:i w:val="0"/>
        <w:color w:val="auto"/>
        <w:sz w:val="24"/>
        <w:vertAlign w:val="superscrip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
    <w:nsid w:val="0A742B56"/>
    <w:multiLevelType w:val="hybridMultilevel"/>
    <w:tmpl w:val="7B9EE18C"/>
    <w:lvl w:ilvl="0" w:tplc="E1A8693C">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C584449"/>
    <w:multiLevelType w:val="hybridMultilevel"/>
    <w:tmpl w:val="B19C52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F3D437F"/>
    <w:multiLevelType w:val="hybridMultilevel"/>
    <w:tmpl w:val="5F48E250"/>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03D2E37"/>
    <w:multiLevelType w:val="multilevel"/>
    <w:tmpl w:val="3B161CD8"/>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nsid w:val="12422B5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E7825B0"/>
    <w:multiLevelType w:val="hybridMultilevel"/>
    <w:tmpl w:val="DEA62A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11C5929"/>
    <w:multiLevelType w:val="hybridMultilevel"/>
    <w:tmpl w:val="1F6497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62A5CF6"/>
    <w:multiLevelType w:val="hybridMultilevel"/>
    <w:tmpl w:val="0816B75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nsid w:val="2A262A92"/>
    <w:multiLevelType w:val="hybridMultilevel"/>
    <w:tmpl w:val="871E0D5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B6326F7"/>
    <w:multiLevelType w:val="hybridMultilevel"/>
    <w:tmpl w:val="19DEB1CA"/>
    <w:lvl w:ilvl="0" w:tplc="E1A8693C">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CFE3FE5"/>
    <w:multiLevelType w:val="hybridMultilevel"/>
    <w:tmpl w:val="871E0D50"/>
    <w:lvl w:ilvl="0" w:tplc="04050011">
      <w:start w:val="1"/>
      <w:numFmt w:val="decimal"/>
      <w:lvlText w:val="%1)"/>
      <w:lvlJc w:val="left"/>
      <w:pPr>
        <w:ind w:left="4188" w:hanging="360"/>
      </w:pPr>
      <w:rPr>
        <w:rFonts w:hint="default"/>
      </w:rPr>
    </w:lvl>
    <w:lvl w:ilvl="1" w:tplc="04050019" w:tentative="1">
      <w:start w:val="1"/>
      <w:numFmt w:val="lowerLetter"/>
      <w:lvlText w:val="%2."/>
      <w:lvlJc w:val="left"/>
      <w:pPr>
        <w:ind w:left="4908" w:hanging="360"/>
      </w:pPr>
    </w:lvl>
    <w:lvl w:ilvl="2" w:tplc="0405001B" w:tentative="1">
      <w:start w:val="1"/>
      <w:numFmt w:val="lowerRoman"/>
      <w:lvlText w:val="%3."/>
      <w:lvlJc w:val="right"/>
      <w:pPr>
        <w:ind w:left="5628" w:hanging="180"/>
      </w:pPr>
    </w:lvl>
    <w:lvl w:ilvl="3" w:tplc="0405000F" w:tentative="1">
      <w:start w:val="1"/>
      <w:numFmt w:val="decimal"/>
      <w:lvlText w:val="%4."/>
      <w:lvlJc w:val="left"/>
      <w:pPr>
        <w:ind w:left="6348" w:hanging="360"/>
      </w:pPr>
    </w:lvl>
    <w:lvl w:ilvl="4" w:tplc="04050019" w:tentative="1">
      <w:start w:val="1"/>
      <w:numFmt w:val="lowerLetter"/>
      <w:lvlText w:val="%5."/>
      <w:lvlJc w:val="left"/>
      <w:pPr>
        <w:ind w:left="7068" w:hanging="360"/>
      </w:pPr>
    </w:lvl>
    <w:lvl w:ilvl="5" w:tplc="0405001B" w:tentative="1">
      <w:start w:val="1"/>
      <w:numFmt w:val="lowerRoman"/>
      <w:lvlText w:val="%6."/>
      <w:lvlJc w:val="right"/>
      <w:pPr>
        <w:ind w:left="7788" w:hanging="180"/>
      </w:pPr>
    </w:lvl>
    <w:lvl w:ilvl="6" w:tplc="0405000F" w:tentative="1">
      <w:start w:val="1"/>
      <w:numFmt w:val="decimal"/>
      <w:lvlText w:val="%7."/>
      <w:lvlJc w:val="left"/>
      <w:pPr>
        <w:ind w:left="8508" w:hanging="360"/>
      </w:pPr>
    </w:lvl>
    <w:lvl w:ilvl="7" w:tplc="04050019" w:tentative="1">
      <w:start w:val="1"/>
      <w:numFmt w:val="lowerLetter"/>
      <w:lvlText w:val="%8."/>
      <w:lvlJc w:val="left"/>
      <w:pPr>
        <w:ind w:left="9228" w:hanging="360"/>
      </w:pPr>
    </w:lvl>
    <w:lvl w:ilvl="8" w:tplc="0405001B" w:tentative="1">
      <w:start w:val="1"/>
      <w:numFmt w:val="lowerRoman"/>
      <w:lvlText w:val="%9."/>
      <w:lvlJc w:val="right"/>
      <w:pPr>
        <w:ind w:left="9948" w:hanging="180"/>
      </w:pPr>
    </w:lvl>
  </w:abstractNum>
  <w:abstractNum w:abstractNumId="15">
    <w:nsid w:val="353D360C"/>
    <w:multiLevelType w:val="hybridMultilevel"/>
    <w:tmpl w:val="753012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FFC6AB3"/>
    <w:multiLevelType w:val="hybridMultilevel"/>
    <w:tmpl w:val="5AC831D0"/>
    <w:lvl w:ilvl="0" w:tplc="E1A8693C">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1814599"/>
    <w:multiLevelType w:val="hybridMultilevel"/>
    <w:tmpl w:val="840AD9E2"/>
    <w:lvl w:ilvl="0" w:tplc="E1A8693C">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2B85786"/>
    <w:multiLevelType w:val="hybridMultilevel"/>
    <w:tmpl w:val="871E0D5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75C64A6"/>
    <w:multiLevelType w:val="hybridMultilevel"/>
    <w:tmpl w:val="871E0D5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8B34B3F"/>
    <w:multiLevelType w:val="hybridMultilevel"/>
    <w:tmpl w:val="B9601F7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C3D1393"/>
    <w:multiLevelType w:val="hybridMultilevel"/>
    <w:tmpl w:val="65A296B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DA46073"/>
    <w:multiLevelType w:val="multilevel"/>
    <w:tmpl w:val="15F8326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3">
    <w:nsid w:val="4F4008FB"/>
    <w:multiLevelType w:val="hybridMultilevel"/>
    <w:tmpl w:val="02C8226C"/>
    <w:lvl w:ilvl="0" w:tplc="C5725C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D0A6502"/>
    <w:multiLevelType w:val="hybridMultilevel"/>
    <w:tmpl w:val="B6DA5D04"/>
    <w:lvl w:ilvl="0" w:tplc="E1A8693C">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6DD429AB"/>
    <w:multiLevelType w:val="hybridMultilevel"/>
    <w:tmpl w:val="85BCE0E4"/>
    <w:lvl w:ilvl="0" w:tplc="81144E7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F6661BC"/>
    <w:multiLevelType w:val="multilevel"/>
    <w:tmpl w:val="15F8326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7">
    <w:nsid w:val="77F84833"/>
    <w:multiLevelType w:val="hybridMultilevel"/>
    <w:tmpl w:val="23E0AB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927304D"/>
    <w:multiLevelType w:val="hybridMultilevel"/>
    <w:tmpl w:val="73089DB0"/>
    <w:lvl w:ilvl="0" w:tplc="D2C2E6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C260AC7"/>
    <w:multiLevelType w:val="hybridMultilevel"/>
    <w:tmpl w:val="A4468A0E"/>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0F">
      <w:start w:val="1"/>
      <w:numFmt w:val="decimal"/>
      <w:lvlText w:val="%3."/>
      <w:lvlJc w:val="left"/>
      <w:pPr>
        <w:tabs>
          <w:tab w:val="num" w:pos="2340"/>
        </w:tabs>
        <w:ind w:left="2340" w:hanging="36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7"/>
  </w:num>
  <w:num w:numId="2">
    <w:abstractNumId w:val="11"/>
  </w:num>
  <w:num w:numId="3">
    <w:abstractNumId w:val="20"/>
  </w:num>
  <w:num w:numId="4">
    <w:abstractNumId w:val="2"/>
  </w:num>
  <w:num w:numId="5">
    <w:abstractNumId w:val="18"/>
  </w:num>
  <w:num w:numId="6">
    <w:abstractNumId w:val="19"/>
  </w:num>
  <w:num w:numId="7">
    <w:abstractNumId w:val="14"/>
  </w:num>
  <w:num w:numId="8">
    <w:abstractNumId w:val="25"/>
  </w:num>
  <w:num w:numId="9">
    <w:abstractNumId w:val="12"/>
  </w:num>
  <w:num w:numId="10">
    <w:abstractNumId w:val="15"/>
  </w:num>
  <w:num w:numId="11">
    <w:abstractNumId w:val="1"/>
  </w:num>
  <w:num w:numId="12">
    <w:abstractNumId w:val="3"/>
  </w:num>
  <w:num w:numId="13">
    <w:abstractNumId w:val="17"/>
  </w:num>
  <w:num w:numId="14">
    <w:abstractNumId w:val="27"/>
  </w:num>
  <w:num w:numId="15">
    <w:abstractNumId w:val="21"/>
  </w:num>
  <w:num w:numId="16">
    <w:abstractNumId w:val="4"/>
  </w:num>
  <w:num w:numId="17">
    <w:abstractNumId w:val="16"/>
  </w:num>
  <w:num w:numId="18">
    <w:abstractNumId w:val="24"/>
  </w:num>
  <w:num w:numId="19">
    <w:abstractNumId w:val="23"/>
  </w:num>
  <w:num w:numId="20">
    <w:abstractNumId w:val="0"/>
  </w:num>
  <w:num w:numId="21">
    <w:abstractNumId w:val="28"/>
  </w:num>
  <w:num w:numId="22">
    <w:abstractNumId w:val="22"/>
  </w:num>
  <w:num w:numId="23">
    <w:abstractNumId w:val="13"/>
  </w:num>
  <w:num w:numId="24">
    <w:abstractNumId w:val="26"/>
  </w:num>
  <w:num w:numId="25">
    <w:abstractNumId w:val="29"/>
  </w:num>
  <w:num w:numId="26">
    <w:abstractNumId w:val="9"/>
  </w:num>
  <w:num w:numId="27">
    <w:abstractNumId w:val="5"/>
  </w:num>
  <w:num w:numId="28">
    <w:abstractNumId w:val="10"/>
  </w:num>
  <w:num w:numId="29">
    <w:abstractNumId w:val="8"/>
  </w:num>
  <w:num w:numId="30">
    <w:abstractNumId w:val="6"/>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rsids>
    <w:rsidRoot w:val="00E4113A"/>
    <w:rsid w:val="000026BC"/>
    <w:rsid w:val="00003A34"/>
    <w:rsid w:val="00005121"/>
    <w:rsid w:val="00007987"/>
    <w:rsid w:val="0001013A"/>
    <w:rsid w:val="00011676"/>
    <w:rsid w:val="000118DB"/>
    <w:rsid w:val="0001617A"/>
    <w:rsid w:val="00021B82"/>
    <w:rsid w:val="00024A3A"/>
    <w:rsid w:val="00026B66"/>
    <w:rsid w:val="00027888"/>
    <w:rsid w:val="00027A51"/>
    <w:rsid w:val="0003340C"/>
    <w:rsid w:val="00036D58"/>
    <w:rsid w:val="00040310"/>
    <w:rsid w:val="00044692"/>
    <w:rsid w:val="00045C36"/>
    <w:rsid w:val="00045E2D"/>
    <w:rsid w:val="00056B4C"/>
    <w:rsid w:val="00056F52"/>
    <w:rsid w:val="00076D49"/>
    <w:rsid w:val="00077D5E"/>
    <w:rsid w:val="00090D7E"/>
    <w:rsid w:val="000918FB"/>
    <w:rsid w:val="000922FB"/>
    <w:rsid w:val="0009247E"/>
    <w:rsid w:val="00092CCA"/>
    <w:rsid w:val="0009378B"/>
    <w:rsid w:val="00094396"/>
    <w:rsid w:val="000A1479"/>
    <w:rsid w:val="000A61AC"/>
    <w:rsid w:val="000A7EC1"/>
    <w:rsid w:val="000B0A59"/>
    <w:rsid w:val="000B0C65"/>
    <w:rsid w:val="000B28B3"/>
    <w:rsid w:val="000B4ACF"/>
    <w:rsid w:val="000B5E88"/>
    <w:rsid w:val="000B7306"/>
    <w:rsid w:val="000C01C8"/>
    <w:rsid w:val="000C4854"/>
    <w:rsid w:val="000D0040"/>
    <w:rsid w:val="000D6341"/>
    <w:rsid w:val="000E1A0A"/>
    <w:rsid w:val="000E2E9B"/>
    <w:rsid w:val="000E2EC3"/>
    <w:rsid w:val="000E4F88"/>
    <w:rsid w:val="000E62CE"/>
    <w:rsid w:val="000F0724"/>
    <w:rsid w:val="001009E7"/>
    <w:rsid w:val="00100B16"/>
    <w:rsid w:val="00100E16"/>
    <w:rsid w:val="0010164F"/>
    <w:rsid w:val="0010347E"/>
    <w:rsid w:val="00106834"/>
    <w:rsid w:val="00107114"/>
    <w:rsid w:val="001127C3"/>
    <w:rsid w:val="00115A91"/>
    <w:rsid w:val="0012105F"/>
    <w:rsid w:val="00121635"/>
    <w:rsid w:val="00121669"/>
    <w:rsid w:val="00121C53"/>
    <w:rsid w:val="00125E6E"/>
    <w:rsid w:val="00131263"/>
    <w:rsid w:val="00134084"/>
    <w:rsid w:val="0014168F"/>
    <w:rsid w:val="0014269F"/>
    <w:rsid w:val="00142E65"/>
    <w:rsid w:val="001449D8"/>
    <w:rsid w:val="001478FC"/>
    <w:rsid w:val="001517E1"/>
    <w:rsid w:val="001577DD"/>
    <w:rsid w:val="001579F0"/>
    <w:rsid w:val="00160B6A"/>
    <w:rsid w:val="001628D8"/>
    <w:rsid w:val="00165D44"/>
    <w:rsid w:val="00170FA7"/>
    <w:rsid w:val="001716F7"/>
    <w:rsid w:val="001746D8"/>
    <w:rsid w:val="00176BF6"/>
    <w:rsid w:val="00181237"/>
    <w:rsid w:val="00181756"/>
    <w:rsid w:val="00184BF1"/>
    <w:rsid w:val="00185151"/>
    <w:rsid w:val="0018672D"/>
    <w:rsid w:val="00191CC2"/>
    <w:rsid w:val="00192590"/>
    <w:rsid w:val="00193760"/>
    <w:rsid w:val="00193DA6"/>
    <w:rsid w:val="001974C8"/>
    <w:rsid w:val="00197967"/>
    <w:rsid w:val="001A2863"/>
    <w:rsid w:val="001A6EB8"/>
    <w:rsid w:val="001B07D5"/>
    <w:rsid w:val="001B36C4"/>
    <w:rsid w:val="001B6C84"/>
    <w:rsid w:val="001B6D02"/>
    <w:rsid w:val="001B72DA"/>
    <w:rsid w:val="001C489E"/>
    <w:rsid w:val="001C5C4B"/>
    <w:rsid w:val="001D1136"/>
    <w:rsid w:val="001D224B"/>
    <w:rsid w:val="001E04AB"/>
    <w:rsid w:val="001E1BC5"/>
    <w:rsid w:val="001E39A0"/>
    <w:rsid w:val="001F2834"/>
    <w:rsid w:val="001F3331"/>
    <w:rsid w:val="001F38E3"/>
    <w:rsid w:val="001F5DA0"/>
    <w:rsid w:val="001F71A0"/>
    <w:rsid w:val="001F7689"/>
    <w:rsid w:val="00200DFD"/>
    <w:rsid w:val="00204560"/>
    <w:rsid w:val="00210EC5"/>
    <w:rsid w:val="002133A4"/>
    <w:rsid w:val="0021663D"/>
    <w:rsid w:val="00221576"/>
    <w:rsid w:val="002228A1"/>
    <w:rsid w:val="00226F7F"/>
    <w:rsid w:val="00232861"/>
    <w:rsid w:val="002328DC"/>
    <w:rsid w:val="00233729"/>
    <w:rsid w:val="002353AD"/>
    <w:rsid w:val="002371D0"/>
    <w:rsid w:val="00240BBB"/>
    <w:rsid w:val="00241DF8"/>
    <w:rsid w:val="002469CE"/>
    <w:rsid w:val="00251E2A"/>
    <w:rsid w:val="00254A27"/>
    <w:rsid w:val="00256DA9"/>
    <w:rsid w:val="00257226"/>
    <w:rsid w:val="0026030E"/>
    <w:rsid w:val="0026451F"/>
    <w:rsid w:val="00264F72"/>
    <w:rsid w:val="00266405"/>
    <w:rsid w:val="00270B08"/>
    <w:rsid w:val="00275991"/>
    <w:rsid w:val="00277EAB"/>
    <w:rsid w:val="00285DBE"/>
    <w:rsid w:val="0028769D"/>
    <w:rsid w:val="002939D1"/>
    <w:rsid w:val="002A3BBA"/>
    <w:rsid w:val="002A454A"/>
    <w:rsid w:val="002A5849"/>
    <w:rsid w:val="002A6FFF"/>
    <w:rsid w:val="002B44EF"/>
    <w:rsid w:val="002C00CB"/>
    <w:rsid w:val="002C0802"/>
    <w:rsid w:val="002C0C14"/>
    <w:rsid w:val="002C1A6F"/>
    <w:rsid w:val="002C4EA7"/>
    <w:rsid w:val="002C540F"/>
    <w:rsid w:val="002C5D11"/>
    <w:rsid w:val="002C66B6"/>
    <w:rsid w:val="002D26DF"/>
    <w:rsid w:val="002D5B5B"/>
    <w:rsid w:val="002E16A7"/>
    <w:rsid w:val="002E1EBC"/>
    <w:rsid w:val="002E48DC"/>
    <w:rsid w:val="002E780E"/>
    <w:rsid w:val="002F3207"/>
    <w:rsid w:val="003000F5"/>
    <w:rsid w:val="00301A03"/>
    <w:rsid w:val="00301AE2"/>
    <w:rsid w:val="003026E3"/>
    <w:rsid w:val="00306D85"/>
    <w:rsid w:val="003074CA"/>
    <w:rsid w:val="00307736"/>
    <w:rsid w:val="003127BC"/>
    <w:rsid w:val="00314CAF"/>
    <w:rsid w:val="003150B3"/>
    <w:rsid w:val="00320E4F"/>
    <w:rsid w:val="00325778"/>
    <w:rsid w:val="00325E70"/>
    <w:rsid w:val="00326934"/>
    <w:rsid w:val="00331652"/>
    <w:rsid w:val="00332113"/>
    <w:rsid w:val="0033358C"/>
    <w:rsid w:val="00333B59"/>
    <w:rsid w:val="00335976"/>
    <w:rsid w:val="0034053E"/>
    <w:rsid w:val="00343D91"/>
    <w:rsid w:val="00347DFB"/>
    <w:rsid w:val="00366B24"/>
    <w:rsid w:val="003714A7"/>
    <w:rsid w:val="00371B9F"/>
    <w:rsid w:val="00372096"/>
    <w:rsid w:val="003751BE"/>
    <w:rsid w:val="003756E4"/>
    <w:rsid w:val="00376853"/>
    <w:rsid w:val="00377162"/>
    <w:rsid w:val="0037772A"/>
    <w:rsid w:val="00380EC9"/>
    <w:rsid w:val="00382ED4"/>
    <w:rsid w:val="0038471B"/>
    <w:rsid w:val="0038517A"/>
    <w:rsid w:val="00385F54"/>
    <w:rsid w:val="00391273"/>
    <w:rsid w:val="00391A85"/>
    <w:rsid w:val="00394853"/>
    <w:rsid w:val="00394FD3"/>
    <w:rsid w:val="00395878"/>
    <w:rsid w:val="003958ED"/>
    <w:rsid w:val="003967CE"/>
    <w:rsid w:val="00397BFD"/>
    <w:rsid w:val="003A6F51"/>
    <w:rsid w:val="003B0863"/>
    <w:rsid w:val="003B3D45"/>
    <w:rsid w:val="003B7E06"/>
    <w:rsid w:val="003B7F00"/>
    <w:rsid w:val="003C096A"/>
    <w:rsid w:val="003C15AE"/>
    <w:rsid w:val="003C4A19"/>
    <w:rsid w:val="003C6E88"/>
    <w:rsid w:val="003D14B0"/>
    <w:rsid w:val="003D1A4A"/>
    <w:rsid w:val="003D406D"/>
    <w:rsid w:val="003D441F"/>
    <w:rsid w:val="003D4DC8"/>
    <w:rsid w:val="003D5782"/>
    <w:rsid w:val="003D5AE7"/>
    <w:rsid w:val="003E1116"/>
    <w:rsid w:val="003E1DCE"/>
    <w:rsid w:val="003E2553"/>
    <w:rsid w:val="003E5D92"/>
    <w:rsid w:val="003E6C70"/>
    <w:rsid w:val="003F0E5D"/>
    <w:rsid w:val="003F7B59"/>
    <w:rsid w:val="003F7C93"/>
    <w:rsid w:val="00404737"/>
    <w:rsid w:val="00404D39"/>
    <w:rsid w:val="00405822"/>
    <w:rsid w:val="004067DA"/>
    <w:rsid w:val="00406AF1"/>
    <w:rsid w:val="00412032"/>
    <w:rsid w:val="00416294"/>
    <w:rsid w:val="00416CA0"/>
    <w:rsid w:val="004225B8"/>
    <w:rsid w:val="004315A6"/>
    <w:rsid w:val="00433357"/>
    <w:rsid w:val="0043687D"/>
    <w:rsid w:val="00436BED"/>
    <w:rsid w:val="00441D64"/>
    <w:rsid w:val="00450FE6"/>
    <w:rsid w:val="0045158D"/>
    <w:rsid w:val="004554C0"/>
    <w:rsid w:val="004577B9"/>
    <w:rsid w:val="00460EF9"/>
    <w:rsid w:val="00467E2E"/>
    <w:rsid w:val="00470DBD"/>
    <w:rsid w:val="00474EBA"/>
    <w:rsid w:val="0047546C"/>
    <w:rsid w:val="00477DE5"/>
    <w:rsid w:val="00480F0A"/>
    <w:rsid w:val="00481068"/>
    <w:rsid w:val="004A1578"/>
    <w:rsid w:val="004A1DE7"/>
    <w:rsid w:val="004A4446"/>
    <w:rsid w:val="004C1C26"/>
    <w:rsid w:val="004C2349"/>
    <w:rsid w:val="004C2376"/>
    <w:rsid w:val="004C307C"/>
    <w:rsid w:val="004C50C8"/>
    <w:rsid w:val="004D3BF7"/>
    <w:rsid w:val="004D672D"/>
    <w:rsid w:val="004D6D61"/>
    <w:rsid w:val="004D757D"/>
    <w:rsid w:val="004E58C1"/>
    <w:rsid w:val="004F0226"/>
    <w:rsid w:val="004F347E"/>
    <w:rsid w:val="0050117A"/>
    <w:rsid w:val="0050552A"/>
    <w:rsid w:val="005055B5"/>
    <w:rsid w:val="00506E23"/>
    <w:rsid w:val="00511A7B"/>
    <w:rsid w:val="005122C8"/>
    <w:rsid w:val="00512A64"/>
    <w:rsid w:val="00516074"/>
    <w:rsid w:val="005233B8"/>
    <w:rsid w:val="0052419F"/>
    <w:rsid w:val="00525B60"/>
    <w:rsid w:val="005260E7"/>
    <w:rsid w:val="00527CBF"/>
    <w:rsid w:val="00531D9C"/>
    <w:rsid w:val="00536646"/>
    <w:rsid w:val="00537057"/>
    <w:rsid w:val="00540B80"/>
    <w:rsid w:val="005424F3"/>
    <w:rsid w:val="0054261C"/>
    <w:rsid w:val="00547C98"/>
    <w:rsid w:val="00552C72"/>
    <w:rsid w:val="00555CDD"/>
    <w:rsid w:val="00561207"/>
    <w:rsid w:val="00563A11"/>
    <w:rsid w:val="00564E22"/>
    <w:rsid w:val="0056613A"/>
    <w:rsid w:val="005700C2"/>
    <w:rsid w:val="005766A2"/>
    <w:rsid w:val="00576D10"/>
    <w:rsid w:val="00576F67"/>
    <w:rsid w:val="005771AB"/>
    <w:rsid w:val="00582806"/>
    <w:rsid w:val="00582A31"/>
    <w:rsid w:val="0058466D"/>
    <w:rsid w:val="00585370"/>
    <w:rsid w:val="00586D24"/>
    <w:rsid w:val="00587FE7"/>
    <w:rsid w:val="00591D41"/>
    <w:rsid w:val="0059439F"/>
    <w:rsid w:val="005A517D"/>
    <w:rsid w:val="005A7C48"/>
    <w:rsid w:val="005B14DD"/>
    <w:rsid w:val="005B3F03"/>
    <w:rsid w:val="005B59BD"/>
    <w:rsid w:val="005B7970"/>
    <w:rsid w:val="005C48B3"/>
    <w:rsid w:val="005C5A50"/>
    <w:rsid w:val="005D46BF"/>
    <w:rsid w:val="005E0C14"/>
    <w:rsid w:val="005E7660"/>
    <w:rsid w:val="005F0AAC"/>
    <w:rsid w:val="005F0F71"/>
    <w:rsid w:val="005F145E"/>
    <w:rsid w:val="005F1900"/>
    <w:rsid w:val="005F1A34"/>
    <w:rsid w:val="005F7C39"/>
    <w:rsid w:val="00600994"/>
    <w:rsid w:val="00601269"/>
    <w:rsid w:val="0060169C"/>
    <w:rsid w:val="00604A6E"/>
    <w:rsid w:val="006123C0"/>
    <w:rsid w:val="0062596B"/>
    <w:rsid w:val="00626DBB"/>
    <w:rsid w:val="006323B6"/>
    <w:rsid w:val="0063240C"/>
    <w:rsid w:val="006342E1"/>
    <w:rsid w:val="0063652F"/>
    <w:rsid w:val="0064198E"/>
    <w:rsid w:val="00643530"/>
    <w:rsid w:val="006508CA"/>
    <w:rsid w:val="00650CBD"/>
    <w:rsid w:val="00651713"/>
    <w:rsid w:val="00653F09"/>
    <w:rsid w:val="00663474"/>
    <w:rsid w:val="0066441C"/>
    <w:rsid w:val="00674939"/>
    <w:rsid w:val="0067514E"/>
    <w:rsid w:val="006764CE"/>
    <w:rsid w:val="00677AA9"/>
    <w:rsid w:val="006801C8"/>
    <w:rsid w:val="00685AC7"/>
    <w:rsid w:val="00685F55"/>
    <w:rsid w:val="0069355E"/>
    <w:rsid w:val="0069547B"/>
    <w:rsid w:val="0069782B"/>
    <w:rsid w:val="006A254E"/>
    <w:rsid w:val="006A2AFB"/>
    <w:rsid w:val="006A3B38"/>
    <w:rsid w:val="006A3B7A"/>
    <w:rsid w:val="006A77E8"/>
    <w:rsid w:val="006B1001"/>
    <w:rsid w:val="006B2934"/>
    <w:rsid w:val="006B4752"/>
    <w:rsid w:val="006B63AD"/>
    <w:rsid w:val="006B7439"/>
    <w:rsid w:val="006B74CF"/>
    <w:rsid w:val="006C4967"/>
    <w:rsid w:val="006C5F45"/>
    <w:rsid w:val="006D7F57"/>
    <w:rsid w:val="006E02CC"/>
    <w:rsid w:val="006E0D91"/>
    <w:rsid w:val="006E1E55"/>
    <w:rsid w:val="006E267D"/>
    <w:rsid w:val="006E3EF8"/>
    <w:rsid w:val="006E479F"/>
    <w:rsid w:val="006E4D79"/>
    <w:rsid w:val="006E60E5"/>
    <w:rsid w:val="006F01CB"/>
    <w:rsid w:val="006F0A17"/>
    <w:rsid w:val="006F173C"/>
    <w:rsid w:val="006F3562"/>
    <w:rsid w:val="006F35FF"/>
    <w:rsid w:val="006F3908"/>
    <w:rsid w:val="006F4C05"/>
    <w:rsid w:val="007022CC"/>
    <w:rsid w:val="0070239E"/>
    <w:rsid w:val="00703155"/>
    <w:rsid w:val="00706634"/>
    <w:rsid w:val="00706C2F"/>
    <w:rsid w:val="00713C63"/>
    <w:rsid w:val="007162C4"/>
    <w:rsid w:val="007167EE"/>
    <w:rsid w:val="00723F4D"/>
    <w:rsid w:val="0072421D"/>
    <w:rsid w:val="00724397"/>
    <w:rsid w:val="00726317"/>
    <w:rsid w:val="00731A73"/>
    <w:rsid w:val="00731B23"/>
    <w:rsid w:val="0073314D"/>
    <w:rsid w:val="00736EA3"/>
    <w:rsid w:val="00740D7E"/>
    <w:rsid w:val="007514B7"/>
    <w:rsid w:val="007551CD"/>
    <w:rsid w:val="00760DC7"/>
    <w:rsid w:val="00764964"/>
    <w:rsid w:val="007654E2"/>
    <w:rsid w:val="0076764A"/>
    <w:rsid w:val="007725F8"/>
    <w:rsid w:val="00774FE1"/>
    <w:rsid w:val="0078267D"/>
    <w:rsid w:val="00785131"/>
    <w:rsid w:val="007917D0"/>
    <w:rsid w:val="00797C71"/>
    <w:rsid w:val="007A62EC"/>
    <w:rsid w:val="007A630B"/>
    <w:rsid w:val="007B0224"/>
    <w:rsid w:val="007B3E54"/>
    <w:rsid w:val="007B421E"/>
    <w:rsid w:val="007B6A29"/>
    <w:rsid w:val="007B6CF0"/>
    <w:rsid w:val="007B7B60"/>
    <w:rsid w:val="007C1E0E"/>
    <w:rsid w:val="007C28C6"/>
    <w:rsid w:val="007C4CE7"/>
    <w:rsid w:val="007D18CC"/>
    <w:rsid w:val="007D5239"/>
    <w:rsid w:val="007D7546"/>
    <w:rsid w:val="007D789C"/>
    <w:rsid w:val="007D78B1"/>
    <w:rsid w:val="007E5BA0"/>
    <w:rsid w:val="007E7929"/>
    <w:rsid w:val="007F1730"/>
    <w:rsid w:val="007F4245"/>
    <w:rsid w:val="007F491A"/>
    <w:rsid w:val="007F5071"/>
    <w:rsid w:val="007F6946"/>
    <w:rsid w:val="007F7AB7"/>
    <w:rsid w:val="0081245E"/>
    <w:rsid w:val="00816CD7"/>
    <w:rsid w:val="0082219C"/>
    <w:rsid w:val="00822E56"/>
    <w:rsid w:val="0083205C"/>
    <w:rsid w:val="0083376E"/>
    <w:rsid w:val="00837BA2"/>
    <w:rsid w:val="008409B4"/>
    <w:rsid w:val="00843A20"/>
    <w:rsid w:val="0084425B"/>
    <w:rsid w:val="008466D1"/>
    <w:rsid w:val="00850D3F"/>
    <w:rsid w:val="00856DDB"/>
    <w:rsid w:val="00857D64"/>
    <w:rsid w:val="008602B6"/>
    <w:rsid w:val="00865064"/>
    <w:rsid w:val="00866010"/>
    <w:rsid w:val="008774EA"/>
    <w:rsid w:val="008855E2"/>
    <w:rsid w:val="00886310"/>
    <w:rsid w:val="0088684D"/>
    <w:rsid w:val="008A11BE"/>
    <w:rsid w:val="008A32D0"/>
    <w:rsid w:val="008A36D4"/>
    <w:rsid w:val="008A65DC"/>
    <w:rsid w:val="008B0134"/>
    <w:rsid w:val="008B2743"/>
    <w:rsid w:val="008B4333"/>
    <w:rsid w:val="008B47A8"/>
    <w:rsid w:val="008B63CA"/>
    <w:rsid w:val="008B6EC4"/>
    <w:rsid w:val="008C08B7"/>
    <w:rsid w:val="008C35B9"/>
    <w:rsid w:val="008D08F2"/>
    <w:rsid w:val="008D6E11"/>
    <w:rsid w:val="008E2F57"/>
    <w:rsid w:val="008E6F04"/>
    <w:rsid w:val="008E70E3"/>
    <w:rsid w:val="008F2C2F"/>
    <w:rsid w:val="008F40C6"/>
    <w:rsid w:val="008F4998"/>
    <w:rsid w:val="00900D14"/>
    <w:rsid w:val="009013EE"/>
    <w:rsid w:val="00904F29"/>
    <w:rsid w:val="0090799F"/>
    <w:rsid w:val="0091301C"/>
    <w:rsid w:val="0091396A"/>
    <w:rsid w:val="00914506"/>
    <w:rsid w:val="009157AC"/>
    <w:rsid w:val="00917138"/>
    <w:rsid w:val="009207B5"/>
    <w:rsid w:val="00921762"/>
    <w:rsid w:val="00921C39"/>
    <w:rsid w:val="00922FCF"/>
    <w:rsid w:val="009230A6"/>
    <w:rsid w:val="00925941"/>
    <w:rsid w:val="0092722C"/>
    <w:rsid w:val="00933056"/>
    <w:rsid w:val="0093419D"/>
    <w:rsid w:val="00934296"/>
    <w:rsid w:val="009436FE"/>
    <w:rsid w:val="0094434E"/>
    <w:rsid w:val="00944E90"/>
    <w:rsid w:val="00947F0E"/>
    <w:rsid w:val="00950BAE"/>
    <w:rsid w:val="009537AB"/>
    <w:rsid w:val="00961A22"/>
    <w:rsid w:val="009623CC"/>
    <w:rsid w:val="00964355"/>
    <w:rsid w:val="009645B3"/>
    <w:rsid w:val="00966E30"/>
    <w:rsid w:val="00967545"/>
    <w:rsid w:val="00970E84"/>
    <w:rsid w:val="00971FDB"/>
    <w:rsid w:val="00973656"/>
    <w:rsid w:val="00974688"/>
    <w:rsid w:val="00975121"/>
    <w:rsid w:val="0097782C"/>
    <w:rsid w:val="00983F24"/>
    <w:rsid w:val="00987249"/>
    <w:rsid w:val="009901A2"/>
    <w:rsid w:val="00993A5F"/>
    <w:rsid w:val="00994F99"/>
    <w:rsid w:val="009961C5"/>
    <w:rsid w:val="009A178E"/>
    <w:rsid w:val="009A50A5"/>
    <w:rsid w:val="009A5446"/>
    <w:rsid w:val="009B37FC"/>
    <w:rsid w:val="009B6088"/>
    <w:rsid w:val="009C05BA"/>
    <w:rsid w:val="009C0E51"/>
    <w:rsid w:val="009C35F0"/>
    <w:rsid w:val="009C4E2E"/>
    <w:rsid w:val="009C71FC"/>
    <w:rsid w:val="009D1DD0"/>
    <w:rsid w:val="009D2101"/>
    <w:rsid w:val="009E0D2B"/>
    <w:rsid w:val="009E12AB"/>
    <w:rsid w:val="009E2BD9"/>
    <w:rsid w:val="009E3E16"/>
    <w:rsid w:val="009E5B27"/>
    <w:rsid w:val="009E76B7"/>
    <w:rsid w:val="009F4771"/>
    <w:rsid w:val="00A029F7"/>
    <w:rsid w:val="00A1328C"/>
    <w:rsid w:val="00A205E2"/>
    <w:rsid w:val="00A219F4"/>
    <w:rsid w:val="00A2525B"/>
    <w:rsid w:val="00A274E2"/>
    <w:rsid w:val="00A33D8C"/>
    <w:rsid w:val="00A36AEC"/>
    <w:rsid w:val="00A36D00"/>
    <w:rsid w:val="00A37508"/>
    <w:rsid w:val="00A4383A"/>
    <w:rsid w:val="00A43B47"/>
    <w:rsid w:val="00A45AEB"/>
    <w:rsid w:val="00A45EA9"/>
    <w:rsid w:val="00A47F5C"/>
    <w:rsid w:val="00A51F1B"/>
    <w:rsid w:val="00A5339C"/>
    <w:rsid w:val="00A55028"/>
    <w:rsid w:val="00A554E2"/>
    <w:rsid w:val="00A6399B"/>
    <w:rsid w:val="00A71611"/>
    <w:rsid w:val="00A720A1"/>
    <w:rsid w:val="00A72BAD"/>
    <w:rsid w:val="00A74576"/>
    <w:rsid w:val="00A85281"/>
    <w:rsid w:val="00A910E9"/>
    <w:rsid w:val="00A94049"/>
    <w:rsid w:val="00A97631"/>
    <w:rsid w:val="00AA20A7"/>
    <w:rsid w:val="00AA486F"/>
    <w:rsid w:val="00AA6445"/>
    <w:rsid w:val="00AA6461"/>
    <w:rsid w:val="00AA7449"/>
    <w:rsid w:val="00AB02D2"/>
    <w:rsid w:val="00AB1EEF"/>
    <w:rsid w:val="00AB246F"/>
    <w:rsid w:val="00AC05EB"/>
    <w:rsid w:val="00AC0A2B"/>
    <w:rsid w:val="00AC0E4C"/>
    <w:rsid w:val="00AC2C68"/>
    <w:rsid w:val="00AC4C41"/>
    <w:rsid w:val="00AC6057"/>
    <w:rsid w:val="00AC7311"/>
    <w:rsid w:val="00AC77CC"/>
    <w:rsid w:val="00AD1D19"/>
    <w:rsid w:val="00AD5089"/>
    <w:rsid w:val="00AD5B7A"/>
    <w:rsid w:val="00AE4BCC"/>
    <w:rsid w:val="00AE7FF2"/>
    <w:rsid w:val="00AF1DE0"/>
    <w:rsid w:val="00AF1E21"/>
    <w:rsid w:val="00AF323D"/>
    <w:rsid w:val="00AF4329"/>
    <w:rsid w:val="00B033CF"/>
    <w:rsid w:val="00B047ED"/>
    <w:rsid w:val="00B066AF"/>
    <w:rsid w:val="00B07178"/>
    <w:rsid w:val="00B113AC"/>
    <w:rsid w:val="00B129A7"/>
    <w:rsid w:val="00B13162"/>
    <w:rsid w:val="00B213BE"/>
    <w:rsid w:val="00B25708"/>
    <w:rsid w:val="00B270B0"/>
    <w:rsid w:val="00B3184D"/>
    <w:rsid w:val="00B36B04"/>
    <w:rsid w:val="00B37548"/>
    <w:rsid w:val="00B40861"/>
    <w:rsid w:val="00B41608"/>
    <w:rsid w:val="00B53CD3"/>
    <w:rsid w:val="00B54991"/>
    <w:rsid w:val="00B55D88"/>
    <w:rsid w:val="00B66E96"/>
    <w:rsid w:val="00B71A4C"/>
    <w:rsid w:val="00B745CC"/>
    <w:rsid w:val="00B74ABB"/>
    <w:rsid w:val="00B76167"/>
    <w:rsid w:val="00B825C4"/>
    <w:rsid w:val="00B833F5"/>
    <w:rsid w:val="00B86426"/>
    <w:rsid w:val="00B90E79"/>
    <w:rsid w:val="00B92E39"/>
    <w:rsid w:val="00BA0825"/>
    <w:rsid w:val="00BA383C"/>
    <w:rsid w:val="00BA3944"/>
    <w:rsid w:val="00BA3B32"/>
    <w:rsid w:val="00BA5718"/>
    <w:rsid w:val="00BA708A"/>
    <w:rsid w:val="00BA740A"/>
    <w:rsid w:val="00BA7C1C"/>
    <w:rsid w:val="00BB11CF"/>
    <w:rsid w:val="00BB1509"/>
    <w:rsid w:val="00BB16E5"/>
    <w:rsid w:val="00BB6B1B"/>
    <w:rsid w:val="00BB6C9F"/>
    <w:rsid w:val="00BC0A6D"/>
    <w:rsid w:val="00BC17DB"/>
    <w:rsid w:val="00BC3437"/>
    <w:rsid w:val="00BC4ED7"/>
    <w:rsid w:val="00BD30BB"/>
    <w:rsid w:val="00BD3D58"/>
    <w:rsid w:val="00BD4DF8"/>
    <w:rsid w:val="00BD62DD"/>
    <w:rsid w:val="00BD69B1"/>
    <w:rsid w:val="00BD7358"/>
    <w:rsid w:val="00BD7691"/>
    <w:rsid w:val="00BE049C"/>
    <w:rsid w:val="00BE2D40"/>
    <w:rsid w:val="00BE60BB"/>
    <w:rsid w:val="00BF0344"/>
    <w:rsid w:val="00BF164A"/>
    <w:rsid w:val="00BF4B86"/>
    <w:rsid w:val="00BF4CA7"/>
    <w:rsid w:val="00BF771B"/>
    <w:rsid w:val="00C00D58"/>
    <w:rsid w:val="00C01799"/>
    <w:rsid w:val="00C02452"/>
    <w:rsid w:val="00C10119"/>
    <w:rsid w:val="00C124D1"/>
    <w:rsid w:val="00C244B2"/>
    <w:rsid w:val="00C2508A"/>
    <w:rsid w:val="00C25777"/>
    <w:rsid w:val="00C26073"/>
    <w:rsid w:val="00C27FB2"/>
    <w:rsid w:val="00C32C6B"/>
    <w:rsid w:val="00C40969"/>
    <w:rsid w:val="00C41EDA"/>
    <w:rsid w:val="00C43AE0"/>
    <w:rsid w:val="00C541C4"/>
    <w:rsid w:val="00C65BBB"/>
    <w:rsid w:val="00C7300A"/>
    <w:rsid w:val="00C77180"/>
    <w:rsid w:val="00C813FC"/>
    <w:rsid w:val="00C83819"/>
    <w:rsid w:val="00C83A7A"/>
    <w:rsid w:val="00C84C6D"/>
    <w:rsid w:val="00C8723F"/>
    <w:rsid w:val="00C945D7"/>
    <w:rsid w:val="00C97D75"/>
    <w:rsid w:val="00CA3011"/>
    <w:rsid w:val="00CA3314"/>
    <w:rsid w:val="00CA4CCF"/>
    <w:rsid w:val="00CB4250"/>
    <w:rsid w:val="00CB4E18"/>
    <w:rsid w:val="00CB76FE"/>
    <w:rsid w:val="00CC1B7B"/>
    <w:rsid w:val="00CC20B8"/>
    <w:rsid w:val="00CC2288"/>
    <w:rsid w:val="00CC3F07"/>
    <w:rsid w:val="00CC4A16"/>
    <w:rsid w:val="00CC54B6"/>
    <w:rsid w:val="00CD5F10"/>
    <w:rsid w:val="00CE158B"/>
    <w:rsid w:val="00CE64A4"/>
    <w:rsid w:val="00CE6782"/>
    <w:rsid w:val="00CE6D48"/>
    <w:rsid w:val="00CE7FAD"/>
    <w:rsid w:val="00CF064B"/>
    <w:rsid w:val="00CF5730"/>
    <w:rsid w:val="00CF69A5"/>
    <w:rsid w:val="00D04DCB"/>
    <w:rsid w:val="00D050B3"/>
    <w:rsid w:val="00D05787"/>
    <w:rsid w:val="00D107E6"/>
    <w:rsid w:val="00D14361"/>
    <w:rsid w:val="00D146F3"/>
    <w:rsid w:val="00D212DE"/>
    <w:rsid w:val="00D21B03"/>
    <w:rsid w:val="00D23951"/>
    <w:rsid w:val="00D25A96"/>
    <w:rsid w:val="00D26459"/>
    <w:rsid w:val="00D26DD2"/>
    <w:rsid w:val="00D32CD6"/>
    <w:rsid w:val="00D34B54"/>
    <w:rsid w:val="00D41180"/>
    <w:rsid w:val="00D42D32"/>
    <w:rsid w:val="00D510BE"/>
    <w:rsid w:val="00D54BD3"/>
    <w:rsid w:val="00D60BFD"/>
    <w:rsid w:val="00D60E8F"/>
    <w:rsid w:val="00D6286F"/>
    <w:rsid w:val="00D64D28"/>
    <w:rsid w:val="00D71379"/>
    <w:rsid w:val="00D73CD0"/>
    <w:rsid w:val="00D83ABB"/>
    <w:rsid w:val="00D84792"/>
    <w:rsid w:val="00D8729A"/>
    <w:rsid w:val="00D91C51"/>
    <w:rsid w:val="00D9594C"/>
    <w:rsid w:val="00D97255"/>
    <w:rsid w:val="00DA1181"/>
    <w:rsid w:val="00DA6D79"/>
    <w:rsid w:val="00DB3960"/>
    <w:rsid w:val="00DB7BD2"/>
    <w:rsid w:val="00DC0F87"/>
    <w:rsid w:val="00DC2C53"/>
    <w:rsid w:val="00DC62D8"/>
    <w:rsid w:val="00DD2F22"/>
    <w:rsid w:val="00DD3225"/>
    <w:rsid w:val="00DD3B81"/>
    <w:rsid w:val="00DD5F46"/>
    <w:rsid w:val="00DE000B"/>
    <w:rsid w:val="00DE47C7"/>
    <w:rsid w:val="00DE511A"/>
    <w:rsid w:val="00DF07BD"/>
    <w:rsid w:val="00DF0F6D"/>
    <w:rsid w:val="00DF1E12"/>
    <w:rsid w:val="00E033DB"/>
    <w:rsid w:val="00E1010A"/>
    <w:rsid w:val="00E127B2"/>
    <w:rsid w:val="00E17761"/>
    <w:rsid w:val="00E21132"/>
    <w:rsid w:val="00E302E2"/>
    <w:rsid w:val="00E326BC"/>
    <w:rsid w:val="00E3412A"/>
    <w:rsid w:val="00E3690A"/>
    <w:rsid w:val="00E4111E"/>
    <w:rsid w:val="00E4113A"/>
    <w:rsid w:val="00E44A75"/>
    <w:rsid w:val="00E463A3"/>
    <w:rsid w:val="00E4776A"/>
    <w:rsid w:val="00E507D1"/>
    <w:rsid w:val="00E523F6"/>
    <w:rsid w:val="00E52985"/>
    <w:rsid w:val="00E57573"/>
    <w:rsid w:val="00E712E9"/>
    <w:rsid w:val="00E72300"/>
    <w:rsid w:val="00E72C26"/>
    <w:rsid w:val="00E74A86"/>
    <w:rsid w:val="00E803CA"/>
    <w:rsid w:val="00E84DB8"/>
    <w:rsid w:val="00E95EC0"/>
    <w:rsid w:val="00E97CFF"/>
    <w:rsid w:val="00EA2E60"/>
    <w:rsid w:val="00EA572D"/>
    <w:rsid w:val="00EA583E"/>
    <w:rsid w:val="00EA5AF4"/>
    <w:rsid w:val="00EA73D8"/>
    <w:rsid w:val="00EB3367"/>
    <w:rsid w:val="00EB4FA3"/>
    <w:rsid w:val="00EB50EE"/>
    <w:rsid w:val="00EB7A14"/>
    <w:rsid w:val="00EC2AFD"/>
    <w:rsid w:val="00EC3B70"/>
    <w:rsid w:val="00EC5CFF"/>
    <w:rsid w:val="00EC765A"/>
    <w:rsid w:val="00ED3427"/>
    <w:rsid w:val="00ED4772"/>
    <w:rsid w:val="00ED5B63"/>
    <w:rsid w:val="00EE0671"/>
    <w:rsid w:val="00EE3CD4"/>
    <w:rsid w:val="00EE66FE"/>
    <w:rsid w:val="00EE7C27"/>
    <w:rsid w:val="00EE7FC4"/>
    <w:rsid w:val="00EF3097"/>
    <w:rsid w:val="00EF4FD3"/>
    <w:rsid w:val="00EF5AA9"/>
    <w:rsid w:val="00F032DD"/>
    <w:rsid w:val="00F046A5"/>
    <w:rsid w:val="00F12192"/>
    <w:rsid w:val="00F12677"/>
    <w:rsid w:val="00F14A65"/>
    <w:rsid w:val="00F245B1"/>
    <w:rsid w:val="00F26915"/>
    <w:rsid w:val="00F27176"/>
    <w:rsid w:val="00F30BB7"/>
    <w:rsid w:val="00F316A0"/>
    <w:rsid w:val="00F31A7C"/>
    <w:rsid w:val="00F3605E"/>
    <w:rsid w:val="00F3666E"/>
    <w:rsid w:val="00F43E92"/>
    <w:rsid w:val="00F4777C"/>
    <w:rsid w:val="00F51178"/>
    <w:rsid w:val="00F54B57"/>
    <w:rsid w:val="00F56054"/>
    <w:rsid w:val="00F56915"/>
    <w:rsid w:val="00F56F2A"/>
    <w:rsid w:val="00F60B12"/>
    <w:rsid w:val="00F60CEE"/>
    <w:rsid w:val="00F61DF8"/>
    <w:rsid w:val="00F64AE9"/>
    <w:rsid w:val="00F65DA8"/>
    <w:rsid w:val="00F66421"/>
    <w:rsid w:val="00F75BA8"/>
    <w:rsid w:val="00F75EF0"/>
    <w:rsid w:val="00F814C0"/>
    <w:rsid w:val="00F81D15"/>
    <w:rsid w:val="00F8366A"/>
    <w:rsid w:val="00F85924"/>
    <w:rsid w:val="00F86A94"/>
    <w:rsid w:val="00F94352"/>
    <w:rsid w:val="00FA1600"/>
    <w:rsid w:val="00FA243D"/>
    <w:rsid w:val="00FA317F"/>
    <w:rsid w:val="00FA44E0"/>
    <w:rsid w:val="00FA76A0"/>
    <w:rsid w:val="00FA7EEB"/>
    <w:rsid w:val="00FB02F2"/>
    <w:rsid w:val="00FB0F9F"/>
    <w:rsid w:val="00FB1031"/>
    <w:rsid w:val="00FB1418"/>
    <w:rsid w:val="00FB2548"/>
    <w:rsid w:val="00FB51E8"/>
    <w:rsid w:val="00FB5877"/>
    <w:rsid w:val="00FB6DC7"/>
    <w:rsid w:val="00FC6235"/>
    <w:rsid w:val="00FD2B01"/>
    <w:rsid w:val="00FD38A1"/>
    <w:rsid w:val="00FD48F9"/>
    <w:rsid w:val="00FE158F"/>
    <w:rsid w:val="00FE1F02"/>
    <w:rsid w:val="00FE31E4"/>
    <w:rsid w:val="00FE3267"/>
    <w:rsid w:val="00FE4F79"/>
    <w:rsid w:val="00FE5776"/>
    <w:rsid w:val="00FE6817"/>
    <w:rsid w:val="00FF0B1D"/>
    <w:rsid w:val="00FF233A"/>
    <w:rsid w:val="00FF6D06"/>
    <w:rsid w:val="00FF6E1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4113A"/>
    <w:pPr>
      <w:spacing w:before="60" w:after="0" w:line="360" w:lineRule="atLeast"/>
      <w:ind w:firstLine="567"/>
      <w:jc w:val="both"/>
    </w:pPr>
    <w:rPr>
      <w:rFonts w:ascii="Times New Roman" w:eastAsia="Times New Roman" w:hAnsi="Times New Roman" w:cs="Times New Roman"/>
      <w:sz w:val="24"/>
      <w:szCs w:val="23"/>
      <w:lang w:eastAsia="cs-CZ"/>
    </w:rPr>
  </w:style>
  <w:style w:type="paragraph" w:styleId="Nadpis1">
    <w:name w:val="heading 1"/>
    <w:basedOn w:val="Normln"/>
    <w:next w:val="Normln"/>
    <w:link w:val="Nadpis1Char"/>
    <w:qFormat/>
    <w:rsid w:val="00E4113A"/>
    <w:pPr>
      <w:keepNext/>
      <w:spacing w:before="480"/>
      <w:ind w:left="567" w:hanging="567"/>
      <w:jc w:val="left"/>
      <w:outlineLvl w:val="0"/>
    </w:pPr>
    <w:rPr>
      <w:rFonts w:ascii="Arial" w:hAnsi="Arial"/>
      <w:b/>
      <w:caps/>
      <w:kern w:val="28"/>
      <w:sz w:val="28"/>
      <w:szCs w:val="20"/>
      <w:lang/>
    </w:rPr>
  </w:style>
  <w:style w:type="paragraph" w:styleId="Nadpis2">
    <w:name w:val="heading 2"/>
    <w:basedOn w:val="Normln"/>
    <w:next w:val="Normln"/>
    <w:link w:val="Nadpis2Char"/>
    <w:uiPriority w:val="9"/>
    <w:unhideWhenUsed/>
    <w:qFormat/>
    <w:rsid w:val="00F245B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C02452"/>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nazev">
    <w:name w:val="st-nazev"/>
    <w:basedOn w:val="Normln"/>
    <w:next w:val="Normln"/>
    <w:rsid w:val="00E4113A"/>
    <w:pPr>
      <w:spacing w:before="5640" w:line="240" w:lineRule="auto"/>
      <w:ind w:firstLine="0"/>
      <w:jc w:val="center"/>
    </w:pPr>
    <w:rPr>
      <w:rFonts w:ascii="Arial" w:hAnsi="Arial"/>
      <w:b/>
      <w:sz w:val="32"/>
    </w:rPr>
  </w:style>
  <w:style w:type="paragraph" w:customStyle="1" w:styleId="st-rok">
    <w:name w:val="st-rok"/>
    <w:basedOn w:val="Normln"/>
    <w:rsid w:val="00E4113A"/>
    <w:pPr>
      <w:spacing w:before="6000" w:line="240" w:lineRule="auto"/>
      <w:ind w:firstLine="0"/>
      <w:jc w:val="center"/>
    </w:pPr>
    <w:rPr>
      <w:b/>
    </w:rPr>
  </w:style>
  <w:style w:type="paragraph" w:customStyle="1" w:styleId="UZEI">
    <w:name w:val="UZEI"/>
    <w:basedOn w:val="Normln"/>
    <w:next w:val="Normln"/>
    <w:qFormat/>
    <w:rsid w:val="00E4113A"/>
    <w:pPr>
      <w:keepNext/>
      <w:spacing w:before="120" w:line="240" w:lineRule="auto"/>
      <w:ind w:firstLine="0"/>
      <w:jc w:val="center"/>
    </w:pPr>
    <w:rPr>
      <w:rFonts w:ascii="Arial" w:hAnsi="Arial"/>
      <w:b/>
      <w:caps/>
      <w:kern w:val="28"/>
      <w:szCs w:val="24"/>
      <w:lang/>
    </w:rPr>
  </w:style>
  <w:style w:type="paragraph" w:customStyle="1" w:styleId="logo">
    <w:name w:val="logo"/>
    <w:basedOn w:val="Normln"/>
    <w:rsid w:val="00E4113A"/>
    <w:pPr>
      <w:keepNext/>
      <w:spacing w:before="0" w:line="240" w:lineRule="auto"/>
      <w:ind w:firstLine="0"/>
      <w:jc w:val="center"/>
    </w:pPr>
    <w:rPr>
      <w:rFonts w:ascii="Arial" w:hAnsi="Arial"/>
      <w:b/>
      <w:bCs/>
      <w:caps/>
      <w:kern w:val="28"/>
      <w:sz w:val="28"/>
      <w:szCs w:val="20"/>
      <w:lang/>
    </w:rPr>
  </w:style>
  <w:style w:type="character" w:customStyle="1" w:styleId="Nadpis1Char">
    <w:name w:val="Nadpis 1 Char"/>
    <w:basedOn w:val="Standardnpsmoodstavce"/>
    <w:link w:val="Nadpis1"/>
    <w:rsid w:val="00E4113A"/>
    <w:rPr>
      <w:rFonts w:ascii="Arial" w:eastAsia="Times New Roman" w:hAnsi="Arial" w:cs="Times New Roman"/>
      <w:b/>
      <w:caps/>
      <w:kern w:val="28"/>
      <w:sz w:val="28"/>
      <w:szCs w:val="20"/>
      <w:lang/>
    </w:rPr>
  </w:style>
  <w:style w:type="paragraph" w:customStyle="1" w:styleId="Tabulka">
    <w:name w:val="Tabulka"/>
    <w:basedOn w:val="Normln"/>
    <w:rsid w:val="00E4113A"/>
    <w:pPr>
      <w:spacing w:line="300" w:lineRule="atLeast"/>
      <w:ind w:firstLine="0"/>
      <w:jc w:val="left"/>
    </w:pPr>
  </w:style>
  <w:style w:type="paragraph" w:styleId="Odstavecseseznamem">
    <w:name w:val="List Paragraph"/>
    <w:aliases w:val="Nad,Odstavec_muj,Odstavec cíl se seznamem,Odstavec se seznamem5,_Odstavec se seznamem,Seznam - odrážky,Conclusion de partie,List Paragraph (Czech Tourism),List Paragraph"/>
    <w:basedOn w:val="Normln"/>
    <w:link w:val="OdstavecseseznamemChar"/>
    <w:uiPriority w:val="34"/>
    <w:qFormat/>
    <w:rsid w:val="00E4113A"/>
    <w:pPr>
      <w:ind w:left="720"/>
      <w:contextualSpacing/>
    </w:pPr>
  </w:style>
  <w:style w:type="character" w:customStyle="1" w:styleId="Nadpis2Char">
    <w:name w:val="Nadpis 2 Char"/>
    <w:basedOn w:val="Standardnpsmoodstavce"/>
    <w:link w:val="Nadpis2"/>
    <w:uiPriority w:val="9"/>
    <w:rsid w:val="00F245B1"/>
    <w:rPr>
      <w:rFonts w:asciiTheme="majorHAnsi" w:eastAsiaTheme="majorEastAsia" w:hAnsiTheme="majorHAnsi" w:cstheme="majorBidi"/>
      <w:color w:val="2E74B5" w:themeColor="accent1" w:themeShade="BF"/>
      <w:sz w:val="26"/>
      <w:szCs w:val="26"/>
      <w:lang w:eastAsia="cs-CZ"/>
    </w:rPr>
  </w:style>
  <w:style w:type="table" w:styleId="Mkatabulky">
    <w:name w:val="Table Grid"/>
    <w:basedOn w:val="Normlntabulka"/>
    <w:uiPriority w:val="39"/>
    <w:rsid w:val="00F245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ulek">
    <w:name w:val="caption"/>
    <w:basedOn w:val="Normln"/>
    <w:next w:val="Normln"/>
    <w:uiPriority w:val="35"/>
    <w:unhideWhenUsed/>
    <w:qFormat/>
    <w:rsid w:val="00F245B1"/>
    <w:pPr>
      <w:spacing w:before="0" w:after="200" w:line="240" w:lineRule="auto"/>
    </w:pPr>
    <w:rPr>
      <w:i/>
      <w:iCs/>
      <w:color w:val="44546A" w:themeColor="text2"/>
      <w:sz w:val="18"/>
      <w:szCs w:val="18"/>
    </w:rPr>
  </w:style>
  <w:style w:type="paragraph" w:styleId="Textbubliny">
    <w:name w:val="Balloon Text"/>
    <w:basedOn w:val="Normln"/>
    <w:link w:val="TextbublinyChar"/>
    <w:uiPriority w:val="99"/>
    <w:semiHidden/>
    <w:unhideWhenUsed/>
    <w:rsid w:val="00F245B1"/>
    <w:pPr>
      <w:spacing w:before="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245B1"/>
    <w:rPr>
      <w:rFonts w:ascii="Segoe UI" w:eastAsia="Times New Roman" w:hAnsi="Segoe UI" w:cs="Segoe UI"/>
      <w:sz w:val="18"/>
      <w:szCs w:val="18"/>
      <w:lang w:eastAsia="cs-CZ"/>
    </w:rPr>
  </w:style>
  <w:style w:type="table" w:customStyle="1" w:styleId="Tabulkasmkou21">
    <w:name w:val="Tabulka s mřížkou 21"/>
    <w:basedOn w:val="Normlntabulka"/>
    <w:uiPriority w:val="47"/>
    <w:rsid w:val="00F245B1"/>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Barevntabulkasmkou61">
    <w:name w:val="Barevná tabulka s mřížkou 61"/>
    <w:basedOn w:val="Normlntabulka"/>
    <w:uiPriority w:val="51"/>
    <w:rsid w:val="00F245B1"/>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Zhlav">
    <w:name w:val="header"/>
    <w:basedOn w:val="Normln"/>
    <w:link w:val="ZhlavChar"/>
    <w:uiPriority w:val="99"/>
    <w:unhideWhenUsed/>
    <w:rsid w:val="00E326BC"/>
    <w:pPr>
      <w:tabs>
        <w:tab w:val="center" w:pos="4703"/>
        <w:tab w:val="right" w:pos="9406"/>
      </w:tabs>
      <w:spacing w:before="0" w:line="240" w:lineRule="auto"/>
    </w:pPr>
  </w:style>
  <w:style w:type="character" w:customStyle="1" w:styleId="ZhlavChar">
    <w:name w:val="Záhlaví Char"/>
    <w:basedOn w:val="Standardnpsmoodstavce"/>
    <w:link w:val="Zhlav"/>
    <w:uiPriority w:val="99"/>
    <w:rsid w:val="00E326BC"/>
    <w:rPr>
      <w:rFonts w:ascii="Times New Roman" w:eastAsia="Times New Roman" w:hAnsi="Times New Roman" w:cs="Times New Roman"/>
      <w:sz w:val="24"/>
      <w:szCs w:val="23"/>
      <w:lang w:eastAsia="cs-CZ"/>
    </w:rPr>
  </w:style>
  <w:style w:type="paragraph" w:styleId="Zpat">
    <w:name w:val="footer"/>
    <w:basedOn w:val="Normln"/>
    <w:link w:val="ZpatChar"/>
    <w:uiPriority w:val="99"/>
    <w:unhideWhenUsed/>
    <w:rsid w:val="00E326BC"/>
    <w:pPr>
      <w:tabs>
        <w:tab w:val="center" w:pos="4703"/>
        <w:tab w:val="right" w:pos="9406"/>
      </w:tabs>
      <w:spacing w:before="0" w:line="240" w:lineRule="auto"/>
    </w:pPr>
  </w:style>
  <w:style w:type="character" w:customStyle="1" w:styleId="ZpatChar">
    <w:name w:val="Zápatí Char"/>
    <w:basedOn w:val="Standardnpsmoodstavce"/>
    <w:link w:val="Zpat"/>
    <w:uiPriority w:val="99"/>
    <w:rsid w:val="00E326BC"/>
    <w:rPr>
      <w:rFonts w:ascii="Times New Roman" w:eastAsia="Times New Roman" w:hAnsi="Times New Roman" w:cs="Times New Roman"/>
      <w:sz w:val="24"/>
      <w:szCs w:val="23"/>
      <w:lang w:eastAsia="cs-CZ"/>
    </w:rPr>
  </w:style>
  <w:style w:type="paragraph" w:styleId="Normlnweb">
    <w:name w:val="Normal (Web)"/>
    <w:basedOn w:val="Normln"/>
    <w:uiPriority w:val="99"/>
    <w:semiHidden/>
    <w:unhideWhenUsed/>
    <w:rsid w:val="00C40969"/>
    <w:pPr>
      <w:spacing w:before="100" w:beforeAutospacing="1" w:after="100" w:afterAutospacing="1" w:line="240" w:lineRule="auto"/>
      <w:ind w:firstLine="0"/>
      <w:jc w:val="left"/>
    </w:pPr>
    <w:rPr>
      <w:szCs w:val="24"/>
    </w:rPr>
  </w:style>
  <w:style w:type="paragraph" w:styleId="Textpoznpodarou">
    <w:name w:val="footnote text"/>
    <w:aliases w:val="Footnote,Text poznámky pod čiarou 007,pozn. pod čarou,Schriftart: 9 pt,Schriftart: 10 pt,Schriftart: 8 pt,Podrozdział,Podrozdzia3,Footnote Text Char1,Footnote Text Char Char,Footnote Text Char3 Char Char,Footnote Text Char,Geneva 9"/>
    <w:basedOn w:val="Normln"/>
    <w:link w:val="TextpoznpodarouChar"/>
    <w:qFormat/>
    <w:rsid w:val="000C4854"/>
    <w:pPr>
      <w:spacing w:line="240" w:lineRule="auto"/>
      <w:ind w:left="284" w:hanging="284"/>
    </w:pPr>
    <w:rPr>
      <w:rFonts w:eastAsia="Calibri"/>
      <w:i/>
      <w:sz w:val="20"/>
      <w:szCs w:val="20"/>
    </w:rPr>
  </w:style>
  <w:style w:type="character" w:customStyle="1" w:styleId="TextpoznpodarouChar">
    <w:name w:val="Text pozn. pod čarou Char"/>
    <w:aliases w:val="Footnote Char,Text poznámky pod čiarou 007 Char,pozn. pod čarou Char,Schriftart: 9 pt Char,Schriftart: 10 pt Char,Schriftart: 8 pt Char,Podrozdział Char,Podrozdzia3 Char,Footnote Text Char1 Char,Footnote Text Char Char Char"/>
    <w:basedOn w:val="Standardnpsmoodstavce"/>
    <w:link w:val="Textpoznpodarou"/>
    <w:rsid w:val="000C4854"/>
    <w:rPr>
      <w:rFonts w:ascii="Times New Roman" w:eastAsia="Calibri" w:hAnsi="Times New Roman" w:cs="Times New Roman"/>
      <w:i/>
      <w:sz w:val="20"/>
      <w:szCs w:val="20"/>
      <w:lang w:eastAsia="cs-CZ"/>
    </w:rPr>
  </w:style>
  <w:style w:type="character" w:styleId="Znakapoznpodarou">
    <w:name w:val="footnote reference"/>
    <w:aliases w:val="PGI Fußnote Ziffer,Footnote symbol,ftref,Footnote Refernece,Footnote Reference Number,BVI fnr,Fußnotenzeichen_Raxen"/>
    <w:rsid w:val="000C4854"/>
    <w:rPr>
      <w:rFonts w:ascii="Times New Roman" w:hAnsi="Times New Roman"/>
      <w:i/>
      <w:sz w:val="24"/>
      <w:vertAlign w:val="superscript"/>
    </w:rPr>
  </w:style>
  <w:style w:type="paragraph" w:customStyle="1" w:styleId="T-spolueitel1">
    <w:name w:val="TÚ - spoluřešitel1"/>
    <w:basedOn w:val="Normln"/>
    <w:qFormat/>
    <w:rsid w:val="00121669"/>
    <w:pPr>
      <w:spacing w:before="240" w:line="240" w:lineRule="auto"/>
      <w:ind w:left="2268" w:hanging="2268"/>
      <w:jc w:val="left"/>
    </w:pPr>
    <w:rPr>
      <w:rFonts w:ascii="Arial" w:hAnsi="Arial"/>
      <w:sz w:val="20"/>
      <w:szCs w:val="24"/>
    </w:rPr>
  </w:style>
  <w:style w:type="paragraph" w:customStyle="1" w:styleId="Nadpis30">
    <w:name w:val="Nadpis3"/>
    <w:basedOn w:val="Nadpis3"/>
    <w:link w:val="Nadpis3Char0"/>
    <w:qFormat/>
    <w:rsid w:val="00C02452"/>
    <w:pPr>
      <w:spacing w:before="120" w:after="120" w:line="300" w:lineRule="atLeast"/>
      <w:ind w:firstLine="0"/>
      <w:jc w:val="left"/>
    </w:pPr>
    <w:rPr>
      <w:i/>
    </w:rPr>
  </w:style>
  <w:style w:type="character" w:customStyle="1" w:styleId="Nadpis3Char0">
    <w:name w:val="Nadpis3 Char"/>
    <w:basedOn w:val="Nadpis3Char"/>
    <w:link w:val="Nadpis30"/>
    <w:rsid w:val="00C02452"/>
    <w:rPr>
      <w:rFonts w:asciiTheme="majorHAnsi" w:eastAsiaTheme="majorEastAsia" w:hAnsiTheme="majorHAnsi" w:cstheme="majorBidi"/>
      <w:i/>
      <w:color w:val="1F4D78" w:themeColor="accent1" w:themeShade="7F"/>
      <w:sz w:val="24"/>
      <w:szCs w:val="24"/>
      <w:lang w:eastAsia="cs-CZ"/>
    </w:rPr>
  </w:style>
  <w:style w:type="character" w:customStyle="1" w:styleId="Nadpis3Char">
    <w:name w:val="Nadpis 3 Char"/>
    <w:basedOn w:val="Standardnpsmoodstavce"/>
    <w:link w:val="Nadpis3"/>
    <w:uiPriority w:val="9"/>
    <w:semiHidden/>
    <w:rsid w:val="00C02452"/>
    <w:rPr>
      <w:rFonts w:asciiTheme="majorHAnsi" w:eastAsiaTheme="majorEastAsia" w:hAnsiTheme="majorHAnsi" w:cstheme="majorBidi"/>
      <w:color w:val="1F4D78" w:themeColor="accent1" w:themeShade="7F"/>
      <w:sz w:val="24"/>
      <w:szCs w:val="24"/>
      <w:lang w:eastAsia="cs-CZ"/>
    </w:rPr>
  </w:style>
  <w:style w:type="character" w:styleId="Odkaznakoment">
    <w:name w:val="annotation reference"/>
    <w:basedOn w:val="Standardnpsmoodstavce"/>
    <w:uiPriority w:val="99"/>
    <w:semiHidden/>
    <w:unhideWhenUsed/>
    <w:rsid w:val="00A85281"/>
    <w:rPr>
      <w:sz w:val="16"/>
      <w:szCs w:val="16"/>
    </w:rPr>
  </w:style>
  <w:style w:type="paragraph" w:styleId="Textkomente">
    <w:name w:val="annotation text"/>
    <w:basedOn w:val="Normln"/>
    <w:link w:val="TextkomenteChar"/>
    <w:uiPriority w:val="99"/>
    <w:semiHidden/>
    <w:unhideWhenUsed/>
    <w:rsid w:val="00A85281"/>
    <w:pPr>
      <w:spacing w:line="240" w:lineRule="auto"/>
    </w:pPr>
    <w:rPr>
      <w:sz w:val="20"/>
      <w:szCs w:val="20"/>
    </w:rPr>
  </w:style>
  <w:style w:type="character" w:customStyle="1" w:styleId="TextkomenteChar">
    <w:name w:val="Text komentáře Char"/>
    <w:basedOn w:val="Standardnpsmoodstavce"/>
    <w:link w:val="Textkomente"/>
    <w:uiPriority w:val="99"/>
    <w:semiHidden/>
    <w:rsid w:val="00A85281"/>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A85281"/>
    <w:rPr>
      <w:b/>
      <w:bCs/>
    </w:rPr>
  </w:style>
  <w:style w:type="character" w:customStyle="1" w:styleId="PedmtkomenteChar">
    <w:name w:val="Předmět komentáře Char"/>
    <w:basedOn w:val="TextkomenteChar"/>
    <w:link w:val="Pedmtkomente"/>
    <w:uiPriority w:val="99"/>
    <w:semiHidden/>
    <w:rsid w:val="00A85281"/>
    <w:rPr>
      <w:rFonts w:ascii="Times New Roman" w:eastAsia="Times New Roman" w:hAnsi="Times New Roman" w:cs="Times New Roman"/>
      <w:b/>
      <w:bCs/>
      <w:sz w:val="20"/>
      <w:szCs w:val="20"/>
      <w:lang w:eastAsia="cs-CZ"/>
    </w:rPr>
  </w:style>
  <w:style w:type="paragraph" w:styleId="Revize">
    <w:name w:val="Revision"/>
    <w:hidden/>
    <w:uiPriority w:val="99"/>
    <w:semiHidden/>
    <w:rsid w:val="00F27176"/>
    <w:pPr>
      <w:spacing w:after="0" w:line="240" w:lineRule="auto"/>
    </w:pPr>
    <w:rPr>
      <w:rFonts w:ascii="Times New Roman" w:eastAsia="Times New Roman" w:hAnsi="Times New Roman" w:cs="Times New Roman"/>
      <w:sz w:val="24"/>
      <w:szCs w:val="23"/>
      <w:lang w:eastAsia="cs-CZ"/>
    </w:rPr>
  </w:style>
  <w:style w:type="character" w:customStyle="1" w:styleId="h1a">
    <w:name w:val="h1a"/>
    <w:basedOn w:val="Standardnpsmoodstavce"/>
    <w:rsid w:val="00F046A5"/>
  </w:style>
  <w:style w:type="table" w:customStyle="1" w:styleId="TableGridLight1">
    <w:name w:val="Table Grid Light1"/>
    <w:basedOn w:val="Normlntabulka"/>
    <w:uiPriority w:val="40"/>
    <w:rsid w:val="00BA740A"/>
    <w:pPr>
      <w:spacing w:after="0" w:line="240" w:lineRule="auto"/>
    </w:pPr>
    <w:rPr>
      <w:lang w:eastAsia="cs-CZ" w:bidi="cs-CZ"/>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Annexetitre">
    <w:name w:val="Annexe titre"/>
    <w:basedOn w:val="Normln"/>
    <w:next w:val="Normln"/>
    <w:rsid w:val="00EC765A"/>
    <w:pPr>
      <w:spacing w:before="120" w:after="120" w:line="240" w:lineRule="auto"/>
      <w:ind w:firstLine="0"/>
      <w:jc w:val="center"/>
    </w:pPr>
    <w:rPr>
      <w:rFonts w:eastAsiaTheme="minorHAnsi"/>
      <w:b/>
      <w:szCs w:val="22"/>
      <w:u w:val="single"/>
      <w:lang w:bidi="cs-CZ"/>
    </w:rPr>
  </w:style>
  <w:style w:type="character" w:customStyle="1" w:styleId="OdstavecseseznamemChar">
    <w:name w:val="Odstavec se seznamem Char"/>
    <w:aliases w:val="Nad Char,Odstavec_muj Char,Odstavec cíl se seznamem Char,Odstavec se seznamem5 Char,_Odstavec se seznamem Char,Seznam - odrážky Char,Conclusion de partie Char,List Paragraph (Czech Tourism) Char,List Paragraph Char"/>
    <w:basedOn w:val="Standardnpsmoodstavce"/>
    <w:link w:val="Odstavecseseznamem"/>
    <w:uiPriority w:val="34"/>
    <w:locked/>
    <w:rsid w:val="00B113AC"/>
    <w:rPr>
      <w:rFonts w:ascii="Times New Roman" w:eastAsia="Times New Roman" w:hAnsi="Times New Roman" w:cs="Times New Roman"/>
      <w:sz w:val="24"/>
      <w:szCs w:val="23"/>
      <w:lang w:eastAsia="cs-CZ"/>
    </w:rPr>
  </w:style>
  <w:style w:type="paragraph" w:customStyle="1" w:styleId="Norm-Bold">
    <w:name w:val="Norm-Bold"/>
    <w:basedOn w:val="Normln"/>
    <w:next w:val="Normln"/>
    <w:link w:val="Norm-BoldChar"/>
    <w:rsid w:val="00382ED4"/>
    <w:pPr>
      <w:keepNext/>
      <w:suppressAutoHyphens/>
      <w:spacing w:before="240"/>
      <w:ind w:firstLine="0"/>
      <w:outlineLvl w:val="4"/>
    </w:pPr>
    <w:rPr>
      <w:rFonts w:cs="Calibri"/>
      <w:b/>
      <w:lang w:eastAsia="ar-SA"/>
    </w:rPr>
  </w:style>
  <w:style w:type="character" w:customStyle="1" w:styleId="Norm-BoldChar">
    <w:name w:val="Norm-Bold Char"/>
    <w:link w:val="Norm-Bold"/>
    <w:rsid w:val="00382ED4"/>
    <w:rPr>
      <w:rFonts w:ascii="Times New Roman" w:eastAsia="Times New Roman" w:hAnsi="Times New Roman" w:cs="Calibri"/>
      <w:b/>
      <w:sz w:val="24"/>
      <w:szCs w:val="23"/>
      <w:lang w:eastAsia="ar-SA"/>
    </w:rPr>
  </w:style>
  <w:style w:type="paragraph" w:customStyle="1" w:styleId="Norm-Ital">
    <w:name w:val="Norm-Ital"/>
    <w:basedOn w:val="Normln"/>
    <w:rsid w:val="00382ED4"/>
    <w:pPr>
      <w:keepNext/>
      <w:keepLines/>
      <w:widowControl w:val="0"/>
      <w:suppressAutoHyphens/>
      <w:adjustRightInd w:val="0"/>
      <w:spacing w:before="240" w:line="300" w:lineRule="atLeast"/>
      <w:ind w:firstLine="0"/>
      <w:textAlignment w:val="baseline"/>
      <w:outlineLvl w:val="6"/>
    </w:pPr>
    <w:rPr>
      <w:rFonts w:cs="Calibri"/>
      <w:bCs/>
      <w:i/>
      <w:iCs/>
      <w:lang w:eastAsia="ar-SA"/>
    </w:rPr>
  </w:style>
  <w:style w:type="paragraph" w:customStyle="1" w:styleId="Default">
    <w:name w:val="Default"/>
    <w:rsid w:val="00723F4D"/>
    <w:pPr>
      <w:autoSpaceDE w:val="0"/>
      <w:autoSpaceDN w:val="0"/>
      <w:adjustRightInd w:val="0"/>
      <w:spacing w:after="0" w:line="240" w:lineRule="auto"/>
    </w:pPr>
    <w:rPr>
      <w:rFonts w:ascii="Verdana" w:hAnsi="Verdana" w:cs="Verdana"/>
      <w:color w:val="000000"/>
      <w:sz w:val="24"/>
      <w:szCs w:val="24"/>
    </w:rPr>
  </w:style>
  <w:style w:type="character" w:styleId="Hypertextovodkaz">
    <w:name w:val="Hyperlink"/>
    <w:basedOn w:val="Standardnpsmoodstavce"/>
    <w:uiPriority w:val="99"/>
    <w:unhideWhenUsed/>
    <w:rsid w:val="00A219F4"/>
    <w:rPr>
      <w:color w:val="0563C1" w:themeColor="hyperlink"/>
      <w:u w:val="single"/>
    </w:rPr>
  </w:style>
  <w:style w:type="character" w:styleId="Siln">
    <w:name w:val="Strong"/>
    <w:basedOn w:val="Standardnpsmoodstavce"/>
    <w:uiPriority w:val="22"/>
    <w:qFormat/>
    <w:rsid w:val="0072421D"/>
    <w:rPr>
      <w:b/>
      <w:bCs/>
    </w:rPr>
  </w:style>
  <w:style w:type="paragraph" w:customStyle="1" w:styleId="mezera">
    <w:name w:val="mezera"/>
    <w:basedOn w:val="Normln"/>
    <w:link w:val="mezeraChar"/>
    <w:qFormat/>
    <w:rsid w:val="00F43E92"/>
    <w:pPr>
      <w:suppressAutoHyphens/>
      <w:spacing w:before="0" w:line="240" w:lineRule="auto"/>
      <w:ind w:firstLine="0"/>
    </w:pPr>
    <w:rPr>
      <w:rFonts w:cs="Calibri"/>
      <w:sz w:val="16"/>
      <w:lang w:eastAsia="ar-SA"/>
    </w:rPr>
  </w:style>
  <w:style w:type="character" w:customStyle="1" w:styleId="mezeraChar">
    <w:name w:val="mezera Char"/>
    <w:link w:val="mezera"/>
    <w:rsid w:val="00F43E92"/>
    <w:rPr>
      <w:rFonts w:ascii="Times New Roman" w:eastAsia="Times New Roman" w:hAnsi="Times New Roman" w:cs="Calibri"/>
      <w:sz w:val="16"/>
      <w:szCs w:val="23"/>
      <w:lang w:eastAsia="ar-SA"/>
    </w:rPr>
  </w:style>
  <w:style w:type="paragraph" w:styleId="Nadpisobsahu">
    <w:name w:val="TOC Heading"/>
    <w:basedOn w:val="Nadpis1"/>
    <w:next w:val="Normln"/>
    <w:uiPriority w:val="39"/>
    <w:unhideWhenUsed/>
    <w:qFormat/>
    <w:rsid w:val="006E267D"/>
    <w:pPr>
      <w:keepLines/>
      <w:spacing w:before="240" w:line="259" w:lineRule="auto"/>
      <w:ind w:left="0" w:firstLine="0"/>
      <w:outlineLvl w:val="9"/>
    </w:pPr>
    <w:rPr>
      <w:rFonts w:asciiTheme="majorHAnsi" w:eastAsiaTheme="majorEastAsia" w:hAnsiTheme="majorHAnsi" w:cstheme="majorBidi"/>
      <w:b w:val="0"/>
      <w:caps w:val="0"/>
      <w:color w:val="2E74B5" w:themeColor="accent1" w:themeShade="BF"/>
      <w:kern w:val="0"/>
      <w:sz w:val="32"/>
      <w:szCs w:val="32"/>
      <w:lang w:val="cs-CZ" w:eastAsia="cs-CZ"/>
    </w:rPr>
  </w:style>
  <w:style w:type="paragraph" w:styleId="Obsah1">
    <w:name w:val="toc 1"/>
    <w:basedOn w:val="Normln"/>
    <w:next w:val="Normln"/>
    <w:autoRedefine/>
    <w:uiPriority w:val="39"/>
    <w:unhideWhenUsed/>
    <w:rsid w:val="006E267D"/>
    <w:pPr>
      <w:spacing w:after="100"/>
    </w:pPr>
  </w:style>
  <w:style w:type="paragraph" w:customStyle="1" w:styleId="Point0">
    <w:name w:val="Point 0"/>
    <w:basedOn w:val="Normln"/>
    <w:rsid w:val="00A274E2"/>
    <w:pPr>
      <w:spacing w:before="120" w:after="120" w:line="240" w:lineRule="auto"/>
      <w:ind w:left="850" w:hanging="850"/>
    </w:pPr>
    <w:rPr>
      <w:rFonts w:eastAsiaTheme="minorHAnsi"/>
      <w:szCs w:val="22"/>
      <w:lang w:eastAsia="en-US"/>
    </w:rPr>
  </w:style>
  <w:style w:type="paragraph" w:customStyle="1" w:styleId="Point1">
    <w:name w:val="Point 1"/>
    <w:basedOn w:val="Normln"/>
    <w:rsid w:val="00A274E2"/>
    <w:pPr>
      <w:spacing w:before="120" w:after="120" w:line="240" w:lineRule="auto"/>
      <w:ind w:left="1417" w:hanging="567"/>
    </w:pPr>
    <w:rPr>
      <w:rFonts w:eastAsiaTheme="minorHAnsi"/>
      <w:szCs w:val="22"/>
      <w:lang w:eastAsia="en-US"/>
    </w:rPr>
  </w:style>
  <w:style w:type="paragraph" w:customStyle="1" w:styleId="ManualNumPar1">
    <w:name w:val="Manual NumPar 1"/>
    <w:basedOn w:val="Normln"/>
    <w:next w:val="Normln"/>
    <w:rsid w:val="00A274E2"/>
    <w:pPr>
      <w:spacing w:before="120" w:after="120" w:line="240" w:lineRule="auto"/>
      <w:ind w:left="850" w:hanging="850"/>
    </w:pPr>
    <w:rPr>
      <w:rFonts w:eastAsiaTheme="minorHAnsi"/>
      <w:szCs w:val="22"/>
      <w:lang w:eastAsia="en-US"/>
    </w:rPr>
  </w:style>
</w:styles>
</file>

<file path=word/webSettings.xml><?xml version="1.0" encoding="utf-8"?>
<w:webSettings xmlns:r="http://schemas.openxmlformats.org/officeDocument/2006/relationships" xmlns:w="http://schemas.openxmlformats.org/wordprocessingml/2006/main">
  <w:divs>
    <w:div w:id="6292376">
      <w:bodyDiv w:val="1"/>
      <w:marLeft w:val="0"/>
      <w:marRight w:val="0"/>
      <w:marTop w:val="0"/>
      <w:marBottom w:val="0"/>
      <w:divBdr>
        <w:top w:val="none" w:sz="0" w:space="0" w:color="auto"/>
        <w:left w:val="none" w:sz="0" w:space="0" w:color="auto"/>
        <w:bottom w:val="none" w:sz="0" w:space="0" w:color="auto"/>
        <w:right w:val="none" w:sz="0" w:space="0" w:color="auto"/>
      </w:divBdr>
    </w:div>
    <w:div w:id="261768976">
      <w:bodyDiv w:val="1"/>
      <w:marLeft w:val="0"/>
      <w:marRight w:val="0"/>
      <w:marTop w:val="0"/>
      <w:marBottom w:val="0"/>
      <w:divBdr>
        <w:top w:val="none" w:sz="0" w:space="0" w:color="auto"/>
        <w:left w:val="none" w:sz="0" w:space="0" w:color="auto"/>
        <w:bottom w:val="none" w:sz="0" w:space="0" w:color="auto"/>
        <w:right w:val="none" w:sz="0" w:space="0" w:color="auto"/>
      </w:divBdr>
    </w:div>
    <w:div w:id="273558794">
      <w:bodyDiv w:val="1"/>
      <w:marLeft w:val="0"/>
      <w:marRight w:val="0"/>
      <w:marTop w:val="0"/>
      <w:marBottom w:val="0"/>
      <w:divBdr>
        <w:top w:val="none" w:sz="0" w:space="0" w:color="auto"/>
        <w:left w:val="none" w:sz="0" w:space="0" w:color="auto"/>
        <w:bottom w:val="none" w:sz="0" w:space="0" w:color="auto"/>
        <w:right w:val="none" w:sz="0" w:space="0" w:color="auto"/>
      </w:divBdr>
    </w:div>
    <w:div w:id="311060698">
      <w:bodyDiv w:val="1"/>
      <w:marLeft w:val="0"/>
      <w:marRight w:val="0"/>
      <w:marTop w:val="0"/>
      <w:marBottom w:val="0"/>
      <w:divBdr>
        <w:top w:val="none" w:sz="0" w:space="0" w:color="auto"/>
        <w:left w:val="none" w:sz="0" w:space="0" w:color="auto"/>
        <w:bottom w:val="none" w:sz="0" w:space="0" w:color="auto"/>
        <w:right w:val="none" w:sz="0" w:space="0" w:color="auto"/>
      </w:divBdr>
    </w:div>
    <w:div w:id="335764241">
      <w:bodyDiv w:val="1"/>
      <w:marLeft w:val="0"/>
      <w:marRight w:val="0"/>
      <w:marTop w:val="0"/>
      <w:marBottom w:val="0"/>
      <w:divBdr>
        <w:top w:val="none" w:sz="0" w:space="0" w:color="auto"/>
        <w:left w:val="none" w:sz="0" w:space="0" w:color="auto"/>
        <w:bottom w:val="none" w:sz="0" w:space="0" w:color="auto"/>
        <w:right w:val="none" w:sz="0" w:space="0" w:color="auto"/>
      </w:divBdr>
    </w:div>
    <w:div w:id="485320866">
      <w:bodyDiv w:val="1"/>
      <w:marLeft w:val="0"/>
      <w:marRight w:val="0"/>
      <w:marTop w:val="0"/>
      <w:marBottom w:val="0"/>
      <w:divBdr>
        <w:top w:val="none" w:sz="0" w:space="0" w:color="auto"/>
        <w:left w:val="none" w:sz="0" w:space="0" w:color="auto"/>
        <w:bottom w:val="none" w:sz="0" w:space="0" w:color="auto"/>
        <w:right w:val="none" w:sz="0" w:space="0" w:color="auto"/>
      </w:divBdr>
    </w:div>
    <w:div w:id="846285426">
      <w:bodyDiv w:val="1"/>
      <w:marLeft w:val="0"/>
      <w:marRight w:val="0"/>
      <w:marTop w:val="0"/>
      <w:marBottom w:val="0"/>
      <w:divBdr>
        <w:top w:val="none" w:sz="0" w:space="0" w:color="auto"/>
        <w:left w:val="none" w:sz="0" w:space="0" w:color="auto"/>
        <w:bottom w:val="none" w:sz="0" w:space="0" w:color="auto"/>
        <w:right w:val="none" w:sz="0" w:space="0" w:color="auto"/>
      </w:divBdr>
    </w:div>
    <w:div w:id="870385396">
      <w:bodyDiv w:val="1"/>
      <w:marLeft w:val="0"/>
      <w:marRight w:val="0"/>
      <w:marTop w:val="0"/>
      <w:marBottom w:val="0"/>
      <w:divBdr>
        <w:top w:val="none" w:sz="0" w:space="0" w:color="auto"/>
        <w:left w:val="none" w:sz="0" w:space="0" w:color="auto"/>
        <w:bottom w:val="none" w:sz="0" w:space="0" w:color="auto"/>
        <w:right w:val="none" w:sz="0" w:space="0" w:color="auto"/>
      </w:divBdr>
      <w:divsChild>
        <w:div w:id="57172450">
          <w:marLeft w:val="446"/>
          <w:marRight w:val="0"/>
          <w:marTop w:val="0"/>
          <w:marBottom w:val="240"/>
          <w:divBdr>
            <w:top w:val="none" w:sz="0" w:space="0" w:color="auto"/>
            <w:left w:val="none" w:sz="0" w:space="0" w:color="auto"/>
            <w:bottom w:val="none" w:sz="0" w:space="0" w:color="auto"/>
            <w:right w:val="none" w:sz="0" w:space="0" w:color="auto"/>
          </w:divBdr>
        </w:div>
      </w:divsChild>
    </w:div>
    <w:div w:id="895048206">
      <w:bodyDiv w:val="1"/>
      <w:marLeft w:val="0"/>
      <w:marRight w:val="0"/>
      <w:marTop w:val="0"/>
      <w:marBottom w:val="0"/>
      <w:divBdr>
        <w:top w:val="none" w:sz="0" w:space="0" w:color="auto"/>
        <w:left w:val="none" w:sz="0" w:space="0" w:color="auto"/>
        <w:bottom w:val="none" w:sz="0" w:space="0" w:color="auto"/>
        <w:right w:val="none" w:sz="0" w:space="0" w:color="auto"/>
      </w:divBdr>
    </w:div>
    <w:div w:id="943617213">
      <w:bodyDiv w:val="1"/>
      <w:marLeft w:val="0"/>
      <w:marRight w:val="0"/>
      <w:marTop w:val="0"/>
      <w:marBottom w:val="0"/>
      <w:divBdr>
        <w:top w:val="none" w:sz="0" w:space="0" w:color="auto"/>
        <w:left w:val="none" w:sz="0" w:space="0" w:color="auto"/>
        <w:bottom w:val="none" w:sz="0" w:space="0" w:color="auto"/>
        <w:right w:val="none" w:sz="0" w:space="0" w:color="auto"/>
      </w:divBdr>
    </w:div>
    <w:div w:id="1044787513">
      <w:bodyDiv w:val="1"/>
      <w:marLeft w:val="0"/>
      <w:marRight w:val="0"/>
      <w:marTop w:val="0"/>
      <w:marBottom w:val="0"/>
      <w:divBdr>
        <w:top w:val="none" w:sz="0" w:space="0" w:color="auto"/>
        <w:left w:val="none" w:sz="0" w:space="0" w:color="auto"/>
        <w:bottom w:val="none" w:sz="0" w:space="0" w:color="auto"/>
        <w:right w:val="none" w:sz="0" w:space="0" w:color="auto"/>
      </w:divBdr>
    </w:div>
    <w:div w:id="1449276718">
      <w:bodyDiv w:val="1"/>
      <w:marLeft w:val="0"/>
      <w:marRight w:val="0"/>
      <w:marTop w:val="0"/>
      <w:marBottom w:val="0"/>
      <w:divBdr>
        <w:top w:val="none" w:sz="0" w:space="0" w:color="auto"/>
        <w:left w:val="none" w:sz="0" w:space="0" w:color="auto"/>
        <w:bottom w:val="none" w:sz="0" w:space="0" w:color="auto"/>
        <w:right w:val="none" w:sz="0" w:space="0" w:color="auto"/>
      </w:divBdr>
    </w:div>
    <w:div w:id="1546141736">
      <w:bodyDiv w:val="1"/>
      <w:marLeft w:val="0"/>
      <w:marRight w:val="0"/>
      <w:marTop w:val="0"/>
      <w:marBottom w:val="0"/>
      <w:divBdr>
        <w:top w:val="none" w:sz="0" w:space="0" w:color="auto"/>
        <w:left w:val="none" w:sz="0" w:space="0" w:color="auto"/>
        <w:bottom w:val="none" w:sz="0" w:space="0" w:color="auto"/>
        <w:right w:val="none" w:sz="0" w:space="0" w:color="auto"/>
      </w:divBdr>
    </w:div>
    <w:div w:id="1553275780">
      <w:bodyDiv w:val="1"/>
      <w:marLeft w:val="0"/>
      <w:marRight w:val="0"/>
      <w:marTop w:val="0"/>
      <w:marBottom w:val="0"/>
      <w:divBdr>
        <w:top w:val="none" w:sz="0" w:space="0" w:color="auto"/>
        <w:left w:val="none" w:sz="0" w:space="0" w:color="auto"/>
        <w:bottom w:val="none" w:sz="0" w:space="0" w:color="auto"/>
        <w:right w:val="none" w:sz="0" w:space="0" w:color="auto"/>
      </w:divBdr>
      <w:divsChild>
        <w:div w:id="170267245">
          <w:marLeft w:val="547"/>
          <w:marRight w:val="0"/>
          <w:marTop w:val="96"/>
          <w:marBottom w:val="0"/>
          <w:divBdr>
            <w:top w:val="none" w:sz="0" w:space="0" w:color="auto"/>
            <w:left w:val="none" w:sz="0" w:space="0" w:color="auto"/>
            <w:bottom w:val="none" w:sz="0" w:space="0" w:color="auto"/>
            <w:right w:val="none" w:sz="0" w:space="0" w:color="auto"/>
          </w:divBdr>
        </w:div>
      </w:divsChild>
    </w:div>
    <w:div w:id="1591546138">
      <w:bodyDiv w:val="1"/>
      <w:marLeft w:val="0"/>
      <w:marRight w:val="0"/>
      <w:marTop w:val="0"/>
      <w:marBottom w:val="0"/>
      <w:divBdr>
        <w:top w:val="none" w:sz="0" w:space="0" w:color="auto"/>
        <w:left w:val="none" w:sz="0" w:space="0" w:color="auto"/>
        <w:bottom w:val="none" w:sz="0" w:space="0" w:color="auto"/>
        <w:right w:val="none" w:sz="0" w:space="0" w:color="auto"/>
      </w:divBdr>
      <w:divsChild>
        <w:div w:id="266617170">
          <w:marLeft w:val="0"/>
          <w:marRight w:val="0"/>
          <w:marTop w:val="0"/>
          <w:marBottom w:val="0"/>
          <w:divBdr>
            <w:top w:val="single" w:sz="2" w:space="0" w:color="CCCCCC"/>
            <w:left w:val="single" w:sz="2" w:space="0" w:color="CCCCCC"/>
            <w:bottom w:val="single" w:sz="2" w:space="0" w:color="CCCCCC"/>
            <w:right w:val="single" w:sz="2" w:space="0" w:color="CCCCCC"/>
          </w:divBdr>
        </w:div>
        <w:div w:id="2081707550">
          <w:marLeft w:val="0"/>
          <w:marRight w:val="0"/>
          <w:marTop w:val="0"/>
          <w:marBottom w:val="240"/>
          <w:divBdr>
            <w:top w:val="single" w:sz="6" w:space="0" w:color="CCCCCC"/>
            <w:left w:val="single" w:sz="6" w:space="0" w:color="CCCCCC"/>
            <w:bottom w:val="single" w:sz="6" w:space="0" w:color="CCCCCC"/>
            <w:right w:val="single" w:sz="6" w:space="0" w:color="CCCCCC"/>
          </w:divBdr>
        </w:div>
      </w:divsChild>
    </w:div>
    <w:div w:id="1601909148">
      <w:bodyDiv w:val="1"/>
      <w:marLeft w:val="0"/>
      <w:marRight w:val="0"/>
      <w:marTop w:val="0"/>
      <w:marBottom w:val="0"/>
      <w:divBdr>
        <w:top w:val="none" w:sz="0" w:space="0" w:color="auto"/>
        <w:left w:val="none" w:sz="0" w:space="0" w:color="auto"/>
        <w:bottom w:val="none" w:sz="0" w:space="0" w:color="auto"/>
        <w:right w:val="none" w:sz="0" w:space="0" w:color="auto"/>
      </w:divBdr>
      <w:divsChild>
        <w:div w:id="185796093">
          <w:marLeft w:val="446"/>
          <w:marRight w:val="0"/>
          <w:marTop w:val="0"/>
          <w:marBottom w:val="240"/>
          <w:divBdr>
            <w:top w:val="none" w:sz="0" w:space="0" w:color="auto"/>
            <w:left w:val="none" w:sz="0" w:space="0" w:color="auto"/>
            <w:bottom w:val="none" w:sz="0" w:space="0" w:color="auto"/>
            <w:right w:val="none" w:sz="0" w:space="0" w:color="auto"/>
          </w:divBdr>
        </w:div>
        <w:div w:id="1893999987">
          <w:marLeft w:val="446"/>
          <w:marRight w:val="0"/>
          <w:marTop w:val="0"/>
          <w:marBottom w:val="240"/>
          <w:divBdr>
            <w:top w:val="none" w:sz="0" w:space="0" w:color="auto"/>
            <w:left w:val="none" w:sz="0" w:space="0" w:color="auto"/>
            <w:bottom w:val="none" w:sz="0" w:space="0" w:color="auto"/>
            <w:right w:val="none" w:sz="0" w:space="0" w:color="auto"/>
          </w:divBdr>
        </w:div>
        <w:div w:id="2139563636">
          <w:marLeft w:val="446"/>
          <w:marRight w:val="0"/>
          <w:marTop w:val="0"/>
          <w:marBottom w:val="240"/>
          <w:divBdr>
            <w:top w:val="none" w:sz="0" w:space="0" w:color="auto"/>
            <w:left w:val="none" w:sz="0" w:space="0" w:color="auto"/>
            <w:bottom w:val="none" w:sz="0" w:space="0" w:color="auto"/>
            <w:right w:val="none" w:sz="0" w:space="0" w:color="auto"/>
          </w:divBdr>
        </w:div>
        <w:div w:id="1801221367">
          <w:marLeft w:val="446"/>
          <w:marRight w:val="0"/>
          <w:marTop w:val="0"/>
          <w:marBottom w:val="240"/>
          <w:divBdr>
            <w:top w:val="none" w:sz="0" w:space="0" w:color="auto"/>
            <w:left w:val="none" w:sz="0" w:space="0" w:color="auto"/>
            <w:bottom w:val="none" w:sz="0" w:space="0" w:color="auto"/>
            <w:right w:val="none" w:sz="0" w:space="0" w:color="auto"/>
          </w:divBdr>
        </w:div>
      </w:divsChild>
    </w:div>
    <w:div w:id="1814449683">
      <w:bodyDiv w:val="1"/>
      <w:marLeft w:val="0"/>
      <w:marRight w:val="0"/>
      <w:marTop w:val="0"/>
      <w:marBottom w:val="0"/>
      <w:divBdr>
        <w:top w:val="none" w:sz="0" w:space="0" w:color="auto"/>
        <w:left w:val="none" w:sz="0" w:space="0" w:color="auto"/>
        <w:bottom w:val="none" w:sz="0" w:space="0" w:color="auto"/>
        <w:right w:val="none" w:sz="0" w:space="0" w:color="auto"/>
      </w:divBdr>
    </w:div>
    <w:div w:id="1829593908">
      <w:bodyDiv w:val="1"/>
      <w:marLeft w:val="0"/>
      <w:marRight w:val="0"/>
      <w:marTop w:val="0"/>
      <w:marBottom w:val="0"/>
      <w:divBdr>
        <w:top w:val="none" w:sz="0" w:space="0" w:color="auto"/>
        <w:left w:val="none" w:sz="0" w:space="0" w:color="auto"/>
        <w:bottom w:val="none" w:sz="0" w:space="0" w:color="auto"/>
        <w:right w:val="none" w:sz="0" w:space="0" w:color="auto"/>
      </w:divBdr>
    </w:div>
    <w:div w:id="1878544390">
      <w:bodyDiv w:val="1"/>
      <w:marLeft w:val="0"/>
      <w:marRight w:val="0"/>
      <w:marTop w:val="0"/>
      <w:marBottom w:val="0"/>
      <w:divBdr>
        <w:top w:val="none" w:sz="0" w:space="0" w:color="auto"/>
        <w:left w:val="none" w:sz="0" w:space="0" w:color="auto"/>
        <w:bottom w:val="none" w:sz="0" w:space="0" w:color="auto"/>
        <w:right w:val="none" w:sz="0" w:space="0" w:color="auto"/>
      </w:divBdr>
    </w:div>
    <w:div w:id="1974822396">
      <w:bodyDiv w:val="1"/>
      <w:marLeft w:val="0"/>
      <w:marRight w:val="0"/>
      <w:marTop w:val="0"/>
      <w:marBottom w:val="0"/>
      <w:divBdr>
        <w:top w:val="none" w:sz="0" w:space="0" w:color="auto"/>
        <w:left w:val="none" w:sz="0" w:space="0" w:color="auto"/>
        <w:bottom w:val="none" w:sz="0" w:space="0" w:color="auto"/>
        <w:right w:val="none" w:sz="0" w:space="0" w:color="auto"/>
      </w:divBdr>
    </w:div>
    <w:div w:id="2041662159">
      <w:bodyDiv w:val="1"/>
      <w:marLeft w:val="0"/>
      <w:marRight w:val="0"/>
      <w:marTop w:val="0"/>
      <w:marBottom w:val="0"/>
      <w:divBdr>
        <w:top w:val="none" w:sz="0" w:space="0" w:color="auto"/>
        <w:left w:val="none" w:sz="0" w:space="0" w:color="auto"/>
        <w:bottom w:val="none" w:sz="0" w:space="0" w:color="auto"/>
        <w:right w:val="none" w:sz="0" w:space="0" w:color="auto"/>
      </w:divBdr>
    </w:div>
    <w:div w:id="2050952481">
      <w:bodyDiv w:val="1"/>
      <w:marLeft w:val="0"/>
      <w:marRight w:val="0"/>
      <w:marTop w:val="0"/>
      <w:marBottom w:val="0"/>
      <w:divBdr>
        <w:top w:val="none" w:sz="0" w:space="0" w:color="auto"/>
        <w:left w:val="none" w:sz="0" w:space="0" w:color="auto"/>
        <w:bottom w:val="none" w:sz="0" w:space="0" w:color="auto"/>
        <w:right w:val="none" w:sz="0" w:space="0" w:color="auto"/>
      </w:divBdr>
      <w:divsChild>
        <w:div w:id="552349572">
          <w:marLeft w:val="547"/>
          <w:marRight w:val="0"/>
          <w:marTop w:val="115"/>
          <w:marBottom w:val="0"/>
          <w:divBdr>
            <w:top w:val="none" w:sz="0" w:space="0" w:color="auto"/>
            <w:left w:val="none" w:sz="0" w:space="0" w:color="auto"/>
            <w:bottom w:val="none" w:sz="0" w:space="0" w:color="auto"/>
            <w:right w:val="none" w:sz="0" w:space="0" w:color="auto"/>
          </w:divBdr>
        </w:div>
      </w:divsChild>
    </w:div>
    <w:div w:id="213720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hart" Target="charts/chart9.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chart" Target="charts/chart5.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eagri.cz" TargetMode="External"/><Relationship Id="rId5" Type="http://schemas.openxmlformats.org/officeDocument/2006/relationships/customXml" Target="../customXml/item5.xml"/><Relationship Id="rId15" Type="http://schemas.openxmlformats.org/officeDocument/2006/relationships/chart" Target="charts/chart3.xml"/><Relationship Id="rId23" Type="http://schemas.openxmlformats.org/officeDocument/2006/relationships/hyperlink" Target="http://eagri.cz/public/web/mze/dotace/program-rozvoje-venkova-na-obdobi-2014/hodnoceni-a-monitoring/hodnoceni/strednedobe-hodnoceni-prv-2014-2020.html" TargetMode="External"/><Relationship Id="rId10" Type="http://schemas.openxmlformats.org/officeDocument/2006/relationships/footnotes" Target="footnotes.xml"/><Relationship Id="rId19" Type="http://schemas.openxmlformats.org/officeDocument/2006/relationships/chart" Target="charts/chart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2.xml"/><Relationship Id="rId22" Type="http://schemas.openxmlformats.org/officeDocument/2006/relationships/hyperlink" Target="http://dx.doi.org/10.1016/j.foodpol.2012.07.005.%20"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E:\SZP\Vertik&#225;la\KD&#344;\GRAFY%20hl.%20nakupni%20misto%20potravi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SZP\Vertik&#225;la\KD&#344;\GRAFY%20hl.%20nakupni%20misto%20potravin.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SZP\Vertik&#225;la\KD&#344;\GRAFY%20hl.%20nakupni%20misto%20potravin.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SZP\Vertik&#225;la\KD&#344;\GRAFY%20hl.%20nakupni%20misto%20potravin.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SZP\Vertik&#225;la\KD&#344;\GRAFY%20hl.%20nakupni%20misto%20potravin.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IVP\IVP%20transmission\Data%20IVP1%20(obnoveno).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F:\IVP\IVP%20transmission\Data%20IVP1%20(obnoveno).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F:\IVP\IVP%20transmission\Data%20IVP1%20(obnoveno).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E:\SZP\Vertik&#225;la\KD&#344;\ARZ%20formy%20prodej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cs-CZ" sz="1200" b="1">
                <a:solidFill>
                  <a:sysClr val="windowText" lastClr="000000"/>
                </a:solidFill>
              </a:rPr>
              <a:t>Hlavní nákupní místo podle typu prodejny</a:t>
            </a:r>
            <a:r>
              <a:rPr lang="cs-CZ" sz="1200" b="1" baseline="30000">
                <a:solidFill>
                  <a:sysClr val="windowText" lastClr="000000"/>
                </a:solidFill>
              </a:rPr>
              <a:t>1) </a:t>
            </a:r>
            <a:r>
              <a:rPr lang="cs-CZ" sz="1200" b="1">
                <a:solidFill>
                  <a:sysClr val="windowText" lastClr="000000"/>
                </a:solidFill>
              </a:rPr>
              <a:t>- čerstvé maso</a:t>
            </a:r>
          </a:p>
        </c:rich>
      </c:tx>
      <c:layout>
        <c:manualLayout>
          <c:xMode val="edge"/>
          <c:yMode val="edge"/>
          <c:x val="0.20678573714871012"/>
          <c:y val="2.4488254757628981E-2"/>
        </c:manualLayout>
      </c:layout>
      <c:spPr>
        <a:noFill/>
        <a:ln>
          <a:noFill/>
        </a:ln>
        <a:effectLst/>
      </c:spPr>
    </c:title>
    <c:plotArea>
      <c:layout/>
      <c:barChart>
        <c:barDir val="col"/>
        <c:grouping val="percentStacked"/>
        <c:ser>
          <c:idx val="0"/>
          <c:order val="0"/>
          <c:tx>
            <c:strRef>
              <c:f>'E:\SZP\Vertikála\KDŘ\[GRAFY nákupní místo dle druhu potr. 2010 a 2017_rev.xlsx]graf hl. nakupni misto - maso'!$A$2</c:f>
              <c:strCache>
                <c:ptCount val="1"/>
                <c:pt idx="0">
                  <c:v>Hypermarket</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cs-CZ"/>
              </a:p>
            </c:txPr>
            <c:dLblPos val="ct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'[1]graf hl. nakupni misto - maso'!$B$1:$C$1</c:f>
              <c:numCache>
                <c:formatCode>General</c:formatCode>
                <c:ptCount val="2"/>
                <c:pt idx="0">
                  <c:v>2010</c:v>
                </c:pt>
                <c:pt idx="1">
                  <c:v>2017</c:v>
                </c:pt>
              </c:numCache>
            </c:numRef>
          </c:cat>
          <c:val>
            <c:numRef>
              <c:f>'[1]graf hl. nakupni misto - maso'!$B$2:$C$2</c:f>
              <c:numCache>
                <c:formatCode>General</c:formatCode>
                <c:ptCount val="2"/>
                <c:pt idx="0">
                  <c:v>36</c:v>
                </c:pt>
                <c:pt idx="1">
                  <c:v>44</c:v>
                </c:pt>
              </c:numCache>
            </c:numRef>
          </c:val>
          <c:extLst xmlns:c16r2="http://schemas.microsoft.com/office/drawing/2015/06/chart">
            <c:ext xmlns:c16="http://schemas.microsoft.com/office/drawing/2014/chart" uri="{C3380CC4-5D6E-409C-BE32-E72D297353CC}">
              <c16:uniqueId val="{00000000-5500-4217-AF3B-FCB573AD6E54}"/>
            </c:ext>
          </c:extLst>
        </c:ser>
        <c:ser>
          <c:idx val="1"/>
          <c:order val="1"/>
          <c:tx>
            <c:strRef>
              <c:f>'E:\SZP\Vertikála\KDŘ\[GRAFY nákupní místo dle druhu potr. 2010 a 2017_rev.xlsx]graf hl. nakupni misto - maso'!$A$3</c:f>
              <c:strCache>
                <c:ptCount val="1"/>
                <c:pt idx="0">
                  <c:v>Supermarket</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cs-CZ"/>
              </a:p>
            </c:txPr>
            <c:dLblPos val="ct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'[1]graf hl. nakupni misto - maso'!$B$1:$C$1</c:f>
              <c:numCache>
                <c:formatCode>General</c:formatCode>
                <c:ptCount val="2"/>
                <c:pt idx="0">
                  <c:v>2010</c:v>
                </c:pt>
                <c:pt idx="1">
                  <c:v>2017</c:v>
                </c:pt>
              </c:numCache>
            </c:numRef>
          </c:cat>
          <c:val>
            <c:numRef>
              <c:f>'[1]graf hl. nakupni misto - maso'!$B$3:$C$3</c:f>
              <c:numCache>
                <c:formatCode>General</c:formatCode>
                <c:ptCount val="2"/>
                <c:pt idx="0">
                  <c:v>13</c:v>
                </c:pt>
                <c:pt idx="1">
                  <c:v>12</c:v>
                </c:pt>
              </c:numCache>
            </c:numRef>
          </c:val>
          <c:extLst xmlns:c16r2="http://schemas.microsoft.com/office/drawing/2015/06/chart">
            <c:ext xmlns:c16="http://schemas.microsoft.com/office/drawing/2014/chart" uri="{C3380CC4-5D6E-409C-BE32-E72D297353CC}">
              <c16:uniqueId val="{00000001-5500-4217-AF3B-FCB573AD6E54}"/>
            </c:ext>
          </c:extLst>
        </c:ser>
        <c:ser>
          <c:idx val="2"/>
          <c:order val="2"/>
          <c:tx>
            <c:strRef>
              <c:f>'E:\SZP\Vertikála\KDŘ\[GRAFY nákupní místo dle druhu potr. 2010 a 2017_rev.xlsx]graf hl. nakupni misto - maso'!$A$4</c:f>
              <c:strCache>
                <c:ptCount val="1"/>
                <c:pt idx="0">
                  <c:v>Diskont</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cs-CZ"/>
              </a:p>
            </c:txPr>
            <c:dLblPos val="ct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'[1]graf hl. nakupni misto - maso'!$B$1:$C$1</c:f>
              <c:numCache>
                <c:formatCode>General</c:formatCode>
                <c:ptCount val="2"/>
                <c:pt idx="0">
                  <c:v>2010</c:v>
                </c:pt>
                <c:pt idx="1">
                  <c:v>2017</c:v>
                </c:pt>
              </c:numCache>
            </c:numRef>
          </c:cat>
          <c:val>
            <c:numRef>
              <c:f>'[1]graf hl. nakupni misto - maso'!$B$4:$C$4</c:f>
              <c:numCache>
                <c:formatCode>General</c:formatCode>
                <c:ptCount val="2"/>
                <c:pt idx="0">
                  <c:v>8</c:v>
                </c:pt>
                <c:pt idx="1">
                  <c:v>16</c:v>
                </c:pt>
              </c:numCache>
            </c:numRef>
          </c:val>
          <c:extLst xmlns:c16r2="http://schemas.microsoft.com/office/drawing/2015/06/chart">
            <c:ext xmlns:c16="http://schemas.microsoft.com/office/drawing/2014/chart" uri="{C3380CC4-5D6E-409C-BE32-E72D297353CC}">
              <c16:uniqueId val="{00000002-5500-4217-AF3B-FCB573AD6E54}"/>
            </c:ext>
          </c:extLst>
        </c:ser>
        <c:ser>
          <c:idx val="3"/>
          <c:order val="3"/>
          <c:tx>
            <c:strRef>
              <c:f>'E:\SZP\Vertikála\KDŘ\[GRAFY nákupní místo dle druhu potr. 2010 a 2017_rev.xlsx]graf hl. nakupni misto - maso'!$A$5</c:f>
              <c:strCache>
                <c:ptCount val="1"/>
                <c:pt idx="0">
                  <c:v>Malá samoobsluha</c:v>
                </c:pt>
              </c:strCache>
            </c:strRef>
          </c:tx>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mn-lt"/>
                    <a:ea typeface="+mn-ea"/>
                    <a:cs typeface="+mn-cs"/>
                  </a:defRPr>
                </a:pPr>
                <a:endParaRPr lang="cs-CZ"/>
              </a:p>
            </c:txPr>
            <c:dLblPos val="ct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'[1]graf hl. nakupni misto - maso'!$B$1:$C$1</c:f>
              <c:numCache>
                <c:formatCode>General</c:formatCode>
                <c:ptCount val="2"/>
                <c:pt idx="0">
                  <c:v>2010</c:v>
                </c:pt>
                <c:pt idx="1">
                  <c:v>2017</c:v>
                </c:pt>
              </c:numCache>
            </c:numRef>
          </c:cat>
          <c:val>
            <c:numRef>
              <c:f>'[1]graf hl. nakupni misto - maso'!$B$5:$C$5</c:f>
              <c:numCache>
                <c:formatCode>General</c:formatCode>
                <c:ptCount val="2"/>
                <c:pt idx="0">
                  <c:v>5</c:v>
                </c:pt>
                <c:pt idx="1">
                  <c:v>4</c:v>
                </c:pt>
              </c:numCache>
            </c:numRef>
          </c:val>
          <c:extLst xmlns:c16r2="http://schemas.microsoft.com/office/drawing/2015/06/chart">
            <c:ext xmlns:c16="http://schemas.microsoft.com/office/drawing/2014/chart" uri="{C3380CC4-5D6E-409C-BE32-E72D297353CC}">
              <c16:uniqueId val="{00000003-5500-4217-AF3B-FCB573AD6E54}"/>
            </c:ext>
          </c:extLst>
        </c:ser>
        <c:ser>
          <c:idx val="4"/>
          <c:order val="4"/>
          <c:tx>
            <c:strRef>
              <c:f>'E:\SZP\Vertikála\KDŘ\[GRAFY nákupní místo dle druhu potr. 2010 a 2017_rev.xlsx]graf hl. nakupni misto - maso'!$A$6</c:f>
              <c:strCache>
                <c:ptCount val="1"/>
                <c:pt idx="0">
                  <c:v>Pultová/
Specializovaná 
prodejna</c:v>
                </c:pt>
              </c:strCache>
            </c:strRef>
          </c:tx>
          <c:spPr>
            <a:solidFill>
              <a:schemeClr val="accent5"/>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mn-lt"/>
                    <a:ea typeface="+mn-ea"/>
                    <a:cs typeface="+mn-cs"/>
                  </a:defRPr>
                </a:pPr>
                <a:endParaRPr lang="cs-CZ"/>
              </a:p>
            </c:txPr>
            <c:dLblPos val="ct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'[1]graf hl. nakupni misto - maso'!$B$1:$C$1</c:f>
              <c:numCache>
                <c:formatCode>General</c:formatCode>
                <c:ptCount val="2"/>
                <c:pt idx="0">
                  <c:v>2010</c:v>
                </c:pt>
                <c:pt idx="1">
                  <c:v>2017</c:v>
                </c:pt>
              </c:numCache>
            </c:numRef>
          </c:cat>
          <c:val>
            <c:numRef>
              <c:f>'[1]graf hl. nakupni misto - maso'!$B$6:$C$6</c:f>
              <c:numCache>
                <c:formatCode>General</c:formatCode>
                <c:ptCount val="2"/>
                <c:pt idx="0">
                  <c:v>36</c:v>
                </c:pt>
                <c:pt idx="1">
                  <c:v>22</c:v>
                </c:pt>
              </c:numCache>
            </c:numRef>
          </c:val>
          <c:extLst xmlns:c16r2="http://schemas.microsoft.com/office/drawing/2015/06/chart">
            <c:ext xmlns:c16="http://schemas.microsoft.com/office/drawing/2014/chart" uri="{C3380CC4-5D6E-409C-BE32-E72D297353CC}">
              <c16:uniqueId val="{00000004-5500-4217-AF3B-FCB573AD6E54}"/>
            </c:ext>
          </c:extLst>
        </c:ser>
        <c:ser>
          <c:idx val="5"/>
          <c:order val="5"/>
          <c:tx>
            <c:strRef>
              <c:f>'E:\SZP\Vertikála\KDŘ\[GRAFY nákupní místo dle druhu potr. 2010 a 2017_rev.xlsx]graf hl. nakupni misto - maso'!$A$7</c:f>
              <c:strCache>
                <c:ptCount val="1"/>
                <c:pt idx="0">
                  <c:v>Jinde</c:v>
                </c:pt>
              </c:strCache>
            </c:strRef>
          </c:tx>
          <c:spPr>
            <a:solidFill>
              <a:schemeClr val="accent6"/>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mn-lt"/>
                    <a:ea typeface="+mn-ea"/>
                    <a:cs typeface="+mn-cs"/>
                  </a:defRPr>
                </a:pPr>
                <a:endParaRPr lang="cs-CZ"/>
              </a:p>
            </c:txPr>
            <c:dLblPos val="ct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'[1]graf hl. nakupni misto - maso'!$B$1:$C$1</c:f>
              <c:numCache>
                <c:formatCode>General</c:formatCode>
                <c:ptCount val="2"/>
                <c:pt idx="0">
                  <c:v>2010</c:v>
                </c:pt>
                <c:pt idx="1">
                  <c:v>2017</c:v>
                </c:pt>
              </c:numCache>
            </c:numRef>
          </c:cat>
          <c:val>
            <c:numRef>
              <c:f>'[1]graf hl. nakupni misto - maso'!$B$7:$C$7</c:f>
              <c:numCache>
                <c:formatCode>General</c:formatCode>
                <c:ptCount val="2"/>
                <c:pt idx="0">
                  <c:v>2</c:v>
                </c:pt>
                <c:pt idx="1">
                  <c:v>2</c:v>
                </c:pt>
              </c:numCache>
            </c:numRef>
          </c:val>
          <c:extLst xmlns:c16r2="http://schemas.microsoft.com/office/drawing/2015/06/chart">
            <c:ext xmlns:c16="http://schemas.microsoft.com/office/drawing/2014/chart" uri="{C3380CC4-5D6E-409C-BE32-E72D297353CC}">
              <c16:uniqueId val="{00000005-5500-4217-AF3B-FCB573AD6E54}"/>
            </c:ext>
          </c:extLst>
        </c:ser>
        <c:dLbls>
          <c:showVal val="1"/>
        </c:dLbls>
        <c:overlap val="100"/>
        <c:axId val="243641344"/>
        <c:axId val="243651328"/>
      </c:barChart>
      <c:catAx>
        <c:axId val="24364134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cs-CZ"/>
          </a:p>
        </c:txPr>
        <c:crossAx val="243651328"/>
        <c:crosses val="autoZero"/>
        <c:auto val="1"/>
        <c:lblAlgn val="ctr"/>
        <c:lblOffset val="100"/>
      </c:catAx>
      <c:valAx>
        <c:axId val="243651328"/>
        <c:scaling>
          <c:orientation val="minMax"/>
        </c:scaling>
        <c:delete val="1"/>
        <c:axPos val="l"/>
        <c:numFmt formatCode="0%" sourceLinked="1"/>
        <c:majorTickMark val="none"/>
        <c:tickLblPos val="none"/>
        <c:crossAx val="243641344"/>
        <c:crosses val="autoZero"/>
        <c:crossBetween val="between"/>
      </c:valAx>
      <c:spPr>
        <a:solidFill>
          <a:sysClr val="window" lastClr="FFFFFF"/>
        </a:solidFill>
        <a:ln>
          <a:noFill/>
        </a:ln>
        <a:effectLst/>
      </c:spPr>
    </c:plotArea>
    <c:legend>
      <c:legendPos val="b"/>
      <c:spPr>
        <a:solidFill>
          <a:sysClr val="window" lastClr="FFFFFF"/>
        </a:solid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cs-CZ"/>
        </a:p>
      </c:txPr>
    </c:legend>
    <c:plotVisOnly val="1"/>
    <c:dispBlanksAs val="gap"/>
  </c:chart>
  <c:spPr>
    <a:solidFill>
      <a:sysClr val="window" lastClr="FFFFFF"/>
    </a:solidFill>
    <a:ln w="9525" cap="flat" cmpd="sng" algn="ctr">
      <a:solidFill>
        <a:sysClr val="windowText" lastClr="000000"/>
      </a:solidFill>
      <a:round/>
    </a:ln>
    <a:effectLst/>
  </c:spPr>
  <c:txPr>
    <a:bodyPr/>
    <a:lstStyle/>
    <a:p>
      <a:pPr>
        <a:defRPr/>
      </a:pPr>
      <a:endParaRPr lang="cs-CZ"/>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cs-CZ"/>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cs-CZ" sz="1200" b="1">
                <a:solidFill>
                  <a:sysClr val="windowText" lastClr="000000"/>
                </a:solidFill>
              </a:rPr>
              <a:t>Hlavní nákupní místo podle typu prodejny</a:t>
            </a:r>
            <a:r>
              <a:rPr lang="cs-CZ" sz="1200" b="1" baseline="30000">
                <a:solidFill>
                  <a:sysClr val="windowText" lastClr="000000"/>
                </a:solidFill>
              </a:rPr>
              <a:t>1) </a:t>
            </a:r>
            <a:r>
              <a:rPr lang="cs-CZ" sz="1200" b="1">
                <a:solidFill>
                  <a:sysClr val="windowText" lastClr="000000"/>
                </a:solidFill>
              </a:rPr>
              <a:t>- uzeniny</a:t>
            </a:r>
          </a:p>
        </c:rich>
      </c:tx>
      <c:layout>
        <c:manualLayout>
          <c:xMode val="edge"/>
          <c:yMode val="edge"/>
          <c:x val="0.23401709401709417"/>
          <c:y val="6.3781321184510284E-2"/>
        </c:manualLayout>
      </c:layout>
      <c:spPr>
        <a:noFill/>
        <a:ln>
          <a:noFill/>
        </a:ln>
        <a:effectLst/>
      </c:spPr>
    </c:title>
    <c:plotArea>
      <c:layout>
        <c:manualLayout>
          <c:layoutTarget val="inner"/>
          <c:xMode val="edge"/>
          <c:yMode val="edge"/>
          <c:x val="2.4250440917107582E-2"/>
          <c:y val="0"/>
          <c:w val="0.95149911816578503"/>
          <c:h val="0.70777029887393139"/>
        </c:manualLayout>
      </c:layout>
      <c:barChart>
        <c:barDir val="col"/>
        <c:grouping val="stacked"/>
        <c:ser>
          <c:idx val="0"/>
          <c:order val="0"/>
          <c:tx>
            <c:strRef>
              <c:f>'E:\SZP\Vertikála\KDŘ\[GRAFY nákupní místo dle druhu potr. 2010 a 2017_rev.xlsx]graf nakupni misto - uzeniny '!$A$2</c:f>
              <c:strCache>
                <c:ptCount val="1"/>
                <c:pt idx="0">
                  <c:v>Hypermarket</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cs-CZ"/>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'[1]graf nakupni misto - uzeniny '!$B$1:$C$1</c:f>
              <c:numCache>
                <c:formatCode>General</c:formatCode>
                <c:ptCount val="2"/>
                <c:pt idx="0">
                  <c:v>2013</c:v>
                </c:pt>
                <c:pt idx="1">
                  <c:v>2017</c:v>
                </c:pt>
              </c:numCache>
            </c:numRef>
          </c:cat>
          <c:val>
            <c:numRef>
              <c:f>'[1]graf nakupni misto - uzeniny '!$B$2:$C$2</c:f>
              <c:numCache>
                <c:formatCode>General</c:formatCode>
                <c:ptCount val="2"/>
                <c:pt idx="0">
                  <c:v>44</c:v>
                </c:pt>
                <c:pt idx="1">
                  <c:v>48</c:v>
                </c:pt>
              </c:numCache>
            </c:numRef>
          </c:val>
          <c:extLst xmlns:c16r2="http://schemas.microsoft.com/office/drawing/2015/06/chart">
            <c:ext xmlns:c16="http://schemas.microsoft.com/office/drawing/2014/chart" uri="{C3380CC4-5D6E-409C-BE32-E72D297353CC}">
              <c16:uniqueId val="{00000000-399F-45C8-9B6C-C9F41A1AC74B}"/>
            </c:ext>
          </c:extLst>
        </c:ser>
        <c:ser>
          <c:idx val="1"/>
          <c:order val="1"/>
          <c:tx>
            <c:strRef>
              <c:f>'E:\SZP\Vertikála\KDŘ\[GRAFY nákupní místo dle druhu potr. 2010 a 2017_rev.xlsx]graf nakupni misto - uzeniny '!$A$3</c:f>
              <c:strCache>
                <c:ptCount val="1"/>
                <c:pt idx="0">
                  <c:v>Supermarket</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cs-CZ"/>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'[1]graf nakupni misto - uzeniny '!$B$1:$C$1</c:f>
              <c:numCache>
                <c:formatCode>General</c:formatCode>
                <c:ptCount val="2"/>
                <c:pt idx="0">
                  <c:v>2013</c:v>
                </c:pt>
                <c:pt idx="1">
                  <c:v>2017</c:v>
                </c:pt>
              </c:numCache>
            </c:numRef>
          </c:cat>
          <c:val>
            <c:numRef>
              <c:f>'[1]graf nakupni misto - uzeniny '!$B$3:$C$3</c:f>
              <c:numCache>
                <c:formatCode>General</c:formatCode>
                <c:ptCount val="2"/>
                <c:pt idx="0">
                  <c:v>20</c:v>
                </c:pt>
                <c:pt idx="1">
                  <c:v>17</c:v>
                </c:pt>
              </c:numCache>
            </c:numRef>
          </c:val>
          <c:extLst xmlns:c16r2="http://schemas.microsoft.com/office/drawing/2015/06/chart">
            <c:ext xmlns:c16="http://schemas.microsoft.com/office/drawing/2014/chart" uri="{C3380CC4-5D6E-409C-BE32-E72D297353CC}">
              <c16:uniqueId val="{00000001-399F-45C8-9B6C-C9F41A1AC74B}"/>
            </c:ext>
          </c:extLst>
        </c:ser>
        <c:ser>
          <c:idx val="2"/>
          <c:order val="2"/>
          <c:tx>
            <c:strRef>
              <c:f>'E:\SZP\Vertikála\KDŘ\[GRAFY nákupní místo dle druhu potr. 2010 a 2017_rev.xlsx]graf nakupni misto - uzeniny '!$A$4</c:f>
              <c:strCache>
                <c:ptCount val="1"/>
                <c:pt idx="0">
                  <c:v>Diskont</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cs-CZ"/>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'[1]graf nakupni misto - uzeniny '!$B$1:$C$1</c:f>
              <c:numCache>
                <c:formatCode>General</c:formatCode>
                <c:ptCount val="2"/>
                <c:pt idx="0">
                  <c:v>2013</c:v>
                </c:pt>
                <c:pt idx="1">
                  <c:v>2017</c:v>
                </c:pt>
              </c:numCache>
            </c:numRef>
          </c:cat>
          <c:val>
            <c:numRef>
              <c:f>'[1]graf nakupni misto - uzeniny '!$B$4:$C$4</c:f>
              <c:numCache>
                <c:formatCode>General</c:formatCode>
                <c:ptCount val="2"/>
                <c:pt idx="0">
                  <c:v>17</c:v>
                </c:pt>
                <c:pt idx="1">
                  <c:v>20</c:v>
                </c:pt>
              </c:numCache>
            </c:numRef>
          </c:val>
          <c:extLst xmlns:c16r2="http://schemas.microsoft.com/office/drawing/2015/06/chart">
            <c:ext xmlns:c16="http://schemas.microsoft.com/office/drawing/2014/chart" uri="{C3380CC4-5D6E-409C-BE32-E72D297353CC}">
              <c16:uniqueId val="{00000002-399F-45C8-9B6C-C9F41A1AC74B}"/>
            </c:ext>
          </c:extLst>
        </c:ser>
        <c:ser>
          <c:idx val="3"/>
          <c:order val="3"/>
          <c:tx>
            <c:strRef>
              <c:f>'E:\SZP\Vertikála\KDŘ\[GRAFY nákupní místo dle druhu potr. 2010 a 2017_rev.xlsx]graf nakupni misto - uzeniny '!$A$5</c:f>
              <c:strCache>
                <c:ptCount val="1"/>
                <c:pt idx="0">
                  <c:v>Malá samoobsluha</c:v>
                </c:pt>
              </c:strCache>
            </c:strRef>
          </c:tx>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cs-CZ"/>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'[1]graf nakupni misto - uzeniny '!$B$1:$C$1</c:f>
              <c:numCache>
                <c:formatCode>General</c:formatCode>
                <c:ptCount val="2"/>
                <c:pt idx="0">
                  <c:v>2013</c:v>
                </c:pt>
                <c:pt idx="1">
                  <c:v>2017</c:v>
                </c:pt>
              </c:numCache>
            </c:numRef>
          </c:cat>
          <c:val>
            <c:numRef>
              <c:f>'[1]graf nakupni misto - uzeniny '!$B$5:$C$5</c:f>
              <c:numCache>
                <c:formatCode>General</c:formatCode>
                <c:ptCount val="2"/>
                <c:pt idx="0">
                  <c:v>15</c:v>
                </c:pt>
                <c:pt idx="1">
                  <c:v>12</c:v>
                </c:pt>
              </c:numCache>
            </c:numRef>
          </c:val>
          <c:extLst xmlns:c16r2="http://schemas.microsoft.com/office/drawing/2015/06/chart">
            <c:ext xmlns:c16="http://schemas.microsoft.com/office/drawing/2014/chart" uri="{C3380CC4-5D6E-409C-BE32-E72D297353CC}">
              <c16:uniqueId val="{00000003-399F-45C8-9B6C-C9F41A1AC74B}"/>
            </c:ext>
          </c:extLst>
        </c:ser>
        <c:ser>
          <c:idx val="4"/>
          <c:order val="4"/>
          <c:tx>
            <c:strRef>
              <c:f>'E:\SZP\Vertikála\KDŘ\[GRAFY nákupní místo dle druhu potr. 2010 a 2017_rev.xlsx]graf nakupni misto - uzeniny '!$A$6</c:f>
              <c:strCache>
                <c:ptCount val="1"/>
                <c:pt idx="0">
                  <c:v>Pultová/
Specializovaná 
prodejna</c:v>
                </c:pt>
              </c:strCache>
            </c:strRef>
          </c:tx>
          <c:spPr>
            <a:solidFill>
              <a:schemeClr val="accent5"/>
            </a:solidFill>
            <a:ln>
              <a:noFill/>
            </a:ln>
            <a:effectLst/>
          </c:spPr>
          <c:dLbls>
            <c:dLbl>
              <c:idx val="0"/>
              <c:layout>
                <c:manualLayout>
                  <c:x val="-3.1911438725063241E-17"/>
                  <c:y val="-2.733485193621870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399F-45C8-9B6C-C9F41A1AC74B}"/>
                </c:ext>
              </c:extLst>
            </c:dLbl>
            <c:dLbl>
              <c:idx val="1"/>
              <c:layout>
                <c:manualLayout>
                  <c:x val="-1.2764575490025296E-16"/>
                  <c:y val="-2.126044039483674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399F-45C8-9B6C-C9F41A1AC74B}"/>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cs-CZ"/>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'[1]graf nakupni misto - uzeniny '!$B$1:$C$1</c:f>
              <c:numCache>
                <c:formatCode>General</c:formatCode>
                <c:ptCount val="2"/>
                <c:pt idx="0">
                  <c:v>2013</c:v>
                </c:pt>
                <c:pt idx="1">
                  <c:v>2017</c:v>
                </c:pt>
              </c:numCache>
            </c:numRef>
          </c:cat>
          <c:val>
            <c:numRef>
              <c:f>'[1]graf nakupni misto - uzeniny '!$B$6:$C$6</c:f>
              <c:numCache>
                <c:formatCode>General</c:formatCode>
                <c:ptCount val="2"/>
                <c:pt idx="0">
                  <c:v>4</c:v>
                </c:pt>
                <c:pt idx="1">
                  <c:v>2</c:v>
                </c:pt>
              </c:numCache>
            </c:numRef>
          </c:val>
          <c:extLst xmlns:c16r2="http://schemas.microsoft.com/office/drawing/2015/06/chart">
            <c:ext xmlns:c16="http://schemas.microsoft.com/office/drawing/2014/chart" uri="{C3380CC4-5D6E-409C-BE32-E72D297353CC}">
              <c16:uniqueId val="{00000006-399F-45C8-9B6C-C9F41A1AC74B}"/>
            </c:ext>
          </c:extLst>
        </c:ser>
        <c:overlap val="100"/>
        <c:axId val="243974528"/>
        <c:axId val="243976064"/>
      </c:barChart>
      <c:catAx>
        <c:axId val="24397452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cs-CZ"/>
          </a:p>
        </c:txPr>
        <c:crossAx val="243976064"/>
        <c:crosses val="autoZero"/>
        <c:auto val="1"/>
        <c:lblAlgn val="ctr"/>
        <c:lblOffset val="100"/>
      </c:catAx>
      <c:valAx>
        <c:axId val="243976064"/>
        <c:scaling>
          <c:orientation val="minMax"/>
        </c:scaling>
        <c:delete val="1"/>
        <c:axPos val="l"/>
        <c:numFmt formatCode="General" sourceLinked="1"/>
        <c:majorTickMark val="none"/>
        <c:tickLblPos val="none"/>
        <c:crossAx val="243974528"/>
        <c:crosses val="autoZero"/>
        <c:crossBetween val="between"/>
      </c:valAx>
      <c:spPr>
        <a:noFill/>
        <a:ln>
          <a:noFill/>
        </a:ln>
        <a:effectLst/>
      </c:spPr>
    </c:plotArea>
    <c:legend>
      <c:legendPos val="b"/>
      <c:layout>
        <c:manualLayout>
          <c:xMode val="edge"/>
          <c:yMode val="edge"/>
          <c:x val="0.05"/>
          <c:y val="0.78314786297469285"/>
          <c:w val="0.9"/>
          <c:h val="0.21685213702530731"/>
        </c:manualLayout>
      </c:layout>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cs-CZ"/>
        </a:p>
      </c:txPr>
    </c:legend>
    <c:plotVisOnly val="1"/>
    <c:dispBlanksAs val="gap"/>
  </c:chart>
  <c:spPr>
    <a:solidFill>
      <a:schemeClr val="bg1"/>
    </a:solidFill>
    <a:ln w="9525" cap="flat" cmpd="sng" algn="ctr">
      <a:solidFill>
        <a:sysClr val="windowText" lastClr="000000"/>
      </a:solidFill>
      <a:round/>
    </a:ln>
    <a:effectLst/>
  </c:spPr>
  <c:txPr>
    <a:bodyPr/>
    <a:lstStyle/>
    <a:p>
      <a:pPr>
        <a:defRPr/>
      </a:pPr>
      <a:endParaRPr lang="cs-CZ"/>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cs-CZ"/>
  <c:chart>
    <c:title>
      <c:tx>
        <c:rich>
          <a:bodyPr rot="0" spcFirstLastPara="1" vertOverflow="ellipsis" vert="horz" wrap="square" anchor="ctr" anchorCtr="1"/>
          <a:lstStyle/>
          <a:p>
            <a:pPr>
              <a:defRPr sz="1200" b="1" i="0" u="none" strike="noStrike" kern="1200" baseline="0">
                <a:solidFill>
                  <a:schemeClr val="tx2"/>
                </a:solidFill>
                <a:latin typeface="+mn-lt"/>
                <a:ea typeface="+mn-ea"/>
                <a:cs typeface="+mn-cs"/>
              </a:defRPr>
            </a:pPr>
            <a:r>
              <a:rPr lang="cs-CZ" sz="1200" b="1" i="0" baseline="0">
                <a:solidFill>
                  <a:sysClr val="windowText" lastClr="000000"/>
                </a:solidFill>
                <a:effectLst/>
              </a:rPr>
              <a:t>Hlavní nákupní místo podle typu prodejny</a:t>
            </a:r>
            <a:r>
              <a:rPr lang="cs-CZ" sz="1200" b="1" i="0" baseline="30000">
                <a:solidFill>
                  <a:sysClr val="windowText" lastClr="000000"/>
                </a:solidFill>
                <a:effectLst/>
              </a:rPr>
              <a:t>1) </a:t>
            </a:r>
            <a:r>
              <a:rPr lang="cs-CZ" sz="1200" b="1" i="0" baseline="0">
                <a:solidFill>
                  <a:sysClr val="windowText" lastClr="000000"/>
                </a:solidFill>
                <a:effectLst/>
              </a:rPr>
              <a:t>- sýry</a:t>
            </a:r>
            <a:endParaRPr lang="cs-CZ" sz="1200">
              <a:solidFill>
                <a:sysClr val="windowText" lastClr="000000"/>
              </a:solidFill>
              <a:effectLst/>
            </a:endParaRPr>
          </a:p>
        </c:rich>
      </c:tx>
      <c:layout>
        <c:manualLayout>
          <c:xMode val="edge"/>
          <c:yMode val="edge"/>
          <c:x val="0.25136666944409741"/>
          <c:y val="5.3615631379410923E-2"/>
        </c:manualLayout>
      </c:layout>
      <c:spPr>
        <a:noFill/>
        <a:ln>
          <a:noFill/>
        </a:ln>
        <a:effectLst/>
      </c:spPr>
    </c:title>
    <c:plotArea>
      <c:layout>
        <c:manualLayout>
          <c:layoutTarget val="inner"/>
          <c:xMode val="edge"/>
          <c:yMode val="edge"/>
          <c:x val="2.4250440917107582E-2"/>
          <c:y val="8.598742138364783E-2"/>
          <c:w val="0.95149911816578503"/>
          <c:h val="0.54534105878274652"/>
        </c:manualLayout>
      </c:layout>
      <c:barChart>
        <c:barDir val="col"/>
        <c:grouping val="stacked"/>
        <c:ser>
          <c:idx val="0"/>
          <c:order val="0"/>
          <c:tx>
            <c:strRef>
              <c:f>'E:\SZP\Vertikála\KDŘ\[GRAFY nákupní místo dle druhu potr. 2010 a 2017_rev.xlsx]graf hl. nakupni misto - sýry'!$A$2</c:f>
              <c:strCache>
                <c:ptCount val="1"/>
                <c:pt idx="0">
                  <c:v>Hypermarket</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cs-CZ"/>
              </a:p>
            </c:txPr>
            <c:dLblPos val="ctr"/>
            <c:showVal val="1"/>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'[1]graf hl. nakupni misto - sýry'!$B$1:$C$1</c:f>
              <c:numCache>
                <c:formatCode>General</c:formatCode>
                <c:ptCount val="2"/>
                <c:pt idx="0">
                  <c:v>2010</c:v>
                </c:pt>
                <c:pt idx="1">
                  <c:v>2017</c:v>
                </c:pt>
              </c:numCache>
            </c:numRef>
          </c:cat>
          <c:val>
            <c:numRef>
              <c:f>'[1]graf hl. nakupni misto - sýry'!$B$2:$C$2</c:f>
              <c:numCache>
                <c:formatCode>General</c:formatCode>
                <c:ptCount val="2"/>
                <c:pt idx="0">
                  <c:v>42</c:v>
                </c:pt>
                <c:pt idx="1">
                  <c:v>47</c:v>
                </c:pt>
              </c:numCache>
            </c:numRef>
          </c:val>
          <c:extLst xmlns:c16r2="http://schemas.microsoft.com/office/drawing/2015/06/chart">
            <c:ext xmlns:c16="http://schemas.microsoft.com/office/drawing/2014/chart" uri="{C3380CC4-5D6E-409C-BE32-E72D297353CC}">
              <c16:uniqueId val="{00000000-5E89-43CA-9B75-96B7D00F9C9D}"/>
            </c:ext>
          </c:extLst>
        </c:ser>
        <c:ser>
          <c:idx val="1"/>
          <c:order val="1"/>
          <c:tx>
            <c:strRef>
              <c:f>'E:\SZP\Vertikála\KDŘ\[GRAFY nákupní místo dle druhu potr. 2010 a 2017_rev.xlsx]graf hl. nakupni misto - sýry'!$A$3</c:f>
              <c:strCache>
                <c:ptCount val="1"/>
                <c:pt idx="0">
                  <c:v>Supermarket</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cs-CZ"/>
              </a:p>
            </c:txPr>
            <c:dLblPos val="ctr"/>
            <c:showVal val="1"/>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'[1]graf hl. nakupni misto - sýry'!$B$1:$C$1</c:f>
              <c:numCache>
                <c:formatCode>General</c:formatCode>
                <c:ptCount val="2"/>
                <c:pt idx="0">
                  <c:v>2010</c:v>
                </c:pt>
                <c:pt idx="1">
                  <c:v>2017</c:v>
                </c:pt>
              </c:numCache>
            </c:numRef>
          </c:cat>
          <c:val>
            <c:numRef>
              <c:f>'[1]graf hl. nakupni misto - sýry'!$B$3:$C$3</c:f>
              <c:numCache>
                <c:formatCode>General</c:formatCode>
                <c:ptCount val="2"/>
                <c:pt idx="0">
                  <c:v>16</c:v>
                </c:pt>
                <c:pt idx="1">
                  <c:v>16</c:v>
                </c:pt>
              </c:numCache>
            </c:numRef>
          </c:val>
          <c:extLst xmlns:c16r2="http://schemas.microsoft.com/office/drawing/2015/06/chart">
            <c:ext xmlns:c16="http://schemas.microsoft.com/office/drawing/2014/chart" uri="{C3380CC4-5D6E-409C-BE32-E72D297353CC}">
              <c16:uniqueId val="{00000001-5E89-43CA-9B75-96B7D00F9C9D}"/>
            </c:ext>
          </c:extLst>
        </c:ser>
        <c:ser>
          <c:idx val="2"/>
          <c:order val="2"/>
          <c:tx>
            <c:strRef>
              <c:f>'E:\SZP\Vertikála\KDŘ\[GRAFY nákupní místo dle druhu potr. 2010 a 2017_rev.xlsx]graf hl. nakupni misto - sýry'!$A$4</c:f>
              <c:strCache>
                <c:ptCount val="1"/>
                <c:pt idx="0">
                  <c:v>Diskont</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cs-CZ"/>
              </a:p>
            </c:txPr>
            <c:dLblPos val="ctr"/>
            <c:showVal val="1"/>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'[1]graf hl. nakupni misto - sýry'!$B$1:$C$1</c:f>
              <c:numCache>
                <c:formatCode>General</c:formatCode>
                <c:ptCount val="2"/>
                <c:pt idx="0">
                  <c:v>2010</c:v>
                </c:pt>
                <c:pt idx="1">
                  <c:v>2017</c:v>
                </c:pt>
              </c:numCache>
            </c:numRef>
          </c:cat>
          <c:val>
            <c:numRef>
              <c:f>'[1]graf hl. nakupni misto - sýry'!$B$4:$C$4</c:f>
              <c:numCache>
                <c:formatCode>General</c:formatCode>
                <c:ptCount val="2"/>
                <c:pt idx="0">
                  <c:v>24</c:v>
                </c:pt>
                <c:pt idx="1">
                  <c:v>24</c:v>
                </c:pt>
              </c:numCache>
            </c:numRef>
          </c:val>
          <c:extLst xmlns:c16r2="http://schemas.microsoft.com/office/drawing/2015/06/chart">
            <c:ext xmlns:c16="http://schemas.microsoft.com/office/drawing/2014/chart" uri="{C3380CC4-5D6E-409C-BE32-E72D297353CC}">
              <c16:uniqueId val="{00000002-5E89-43CA-9B75-96B7D00F9C9D}"/>
            </c:ext>
          </c:extLst>
        </c:ser>
        <c:ser>
          <c:idx val="3"/>
          <c:order val="3"/>
          <c:tx>
            <c:strRef>
              <c:f>'E:\SZP\Vertikála\KDŘ\[GRAFY nákupní místo dle druhu potr. 2010 a 2017_rev.xlsx]graf hl. nakupni misto - sýry'!$A$5</c:f>
              <c:strCache>
                <c:ptCount val="1"/>
                <c:pt idx="0">
                  <c:v>Malá samoobsluha</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cs-CZ"/>
              </a:p>
            </c:txPr>
            <c:dLblPos val="ctr"/>
            <c:showVal val="1"/>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'[1]graf hl. nakupni misto - sýry'!$B$1:$C$1</c:f>
              <c:numCache>
                <c:formatCode>General</c:formatCode>
                <c:ptCount val="2"/>
                <c:pt idx="0">
                  <c:v>2010</c:v>
                </c:pt>
                <c:pt idx="1">
                  <c:v>2017</c:v>
                </c:pt>
              </c:numCache>
            </c:numRef>
          </c:cat>
          <c:val>
            <c:numRef>
              <c:f>'[1]graf hl. nakupni misto - sýry'!$B$5:$C$5</c:f>
              <c:numCache>
                <c:formatCode>General</c:formatCode>
                <c:ptCount val="2"/>
                <c:pt idx="0">
                  <c:v>15</c:v>
                </c:pt>
                <c:pt idx="1">
                  <c:v>10</c:v>
                </c:pt>
              </c:numCache>
            </c:numRef>
          </c:val>
          <c:extLst xmlns:c16r2="http://schemas.microsoft.com/office/drawing/2015/06/chart">
            <c:ext xmlns:c16="http://schemas.microsoft.com/office/drawing/2014/chart" uri="{C3380CC4-5D6E-409C-BE32-E72D297353CC}">
              <c16:uniqueId val="{00000003-5E89-43CA-9B75-96B7D00F9C9D}"/>
            </c:ext>
          </c:extLst>
        </c:ser>
        <c:ser>
          <c:idx val="4"/>
          <c:order val="4"/>
          <c:tx>
            <c:strRef>
              <c:f>'E:\SZP\Vertikála\KDŘ\[GRAFY nákupní místo dle druhu potr. 2010 a 2017_rev.xlsx]graf hl. nakupni misto - sýry'!$A$6</c:f>
              <c:strCache>
                <c:ptCount val="1"/>
                <c:pt idx="0">
                  <c:v>Pultová/
Specializovaná 
prodejna</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cs-CZ"/>
              </a:p>
            </c:txPr>
            <c:dLblPos val="ctr"/>
            <c:showVal val="1"/>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'[1]graf hl. nakupni misto - sýry'!$B$1:$C$1</c:f>
              <c:numCache>
                <c:formatCode>General</c:formatCode>
                <c:ptCount val="2"/>
                <c:pt idx="0">
                  <c:v>2010</c:v>
                </c:pt>
                <c:pt idx="1">
                  <c:v>2017</c:v>
                </c:pt>
              </c:numCache>
            </c:numRef>
          </c:cat>
          <c:val>
            <c:numRef>
              <c:f>'[1]graf hl. nakupni misto - sýry'!$B$6:$C$6</c:f>
              <c:numCache>
                <c:formatCode>General</c:formatCode>
                <c:ptCount val="2"/>
                <c:pt idx="0">
                  <c:v>0</c:v>
                </c:pt>
                <c:pt idx="1">
                  <c:v>1</c:v>
                </c:pt>
              </c:numCache>
            </c:numRef>
          </c:val>
          <c:extLst xmlns:c16r2="http://schemas.microsoft.com/office/drawing/2015/06/chart">
            <c:ext xmlns:c16="http://schemas.microsoft.com/office/drawing/2014/chart" uri="{C3380CC4-5D6E-409C-BE32-E72D297353CC}">
              <c16:uniqueId val="{00000004-5E89-43CA-9B75-96B7D00F9C9D}"/>
            </c:ext>
          </c:extLst>
        </c:ser>
        <c:ser>
          <c:idx val="5"/>
          <c:order val="5"/>
          <c:tx>
            <c:strRef>
              <c:f>'E:\SZP\Vertikála\KDŘ\[GRAFY nákupní místo dle druhu potr. 2010 a 2017_rev.xlsx]graf hl. nakupni misto - sýry'!$A$7</c:f>
              <c:strCache>
                <c:ptCount val="1"/>
                <c:pt idx="0">
                  <c:v>Jinde</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dLbls>
            <c:dLbl>
              <c:idx val="0"/>
              <c:layout>
                <c:manualLayout>
                  <c:x val="-3.497018893190046E-17"/>
                  <c:y val="-1.8264840182648429E-2"/>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5E89-43CA-9B75-96B7D00F9C9D}"/>
                </c:ext>
              </c:extLst>
            </c:dLbl>
            <c:dLbl>
              <c:idx val="1"/>
              <c:layout>
                <c:manualLayout>
                  <c:x val="-1.3988075572760194E-16"/>
                  <c:y val="-2.1308980213089797E-2"/>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5E89-43CA-9B75-96B7D00F9C9D}"/>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cs-CZ"/>
              </a:p>
            </c:txPr>
            <c:dLblPos val="ctr"/>
            <c:showVal val="1"/>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'[1]graf hl. nakupni misto - sýry'!$B$1:$C$1</c:f>
              <c:numCache>
                <c:formatCode>General</c:formatCode>
                <c:ptCount val="2"/>
                <c:pt idx="0">
                  <c:v>2010</c:v>
                </c:pt>
                <c:pt idx="1">
                  <c:v>2017</c:v>
                </c:pt>
              </c:numCache>
            </c:numRef>
          </c:cat>
          <c:val>
            <c:numRef>
              <c:f>'[1]graf hl. nakupni misto - sýry'!$B$7:$C$7</c:f>
              <c:numCache>
                <c:formatCode>General</c:formatCode>
                <c:ptCount val="2"/>
                <c:pt idx="0">
                  <c:v>2</c:v>
                </c:pt>
                <c:pt idx="1">
                  <c:v>1</c:v>
                </c:pt>
              </c:numCache>
            </c:numRef>
          </c:val>
          <c:extLst xmlns:c16r2="http://schemas.microsoft.com/office/drawing/2015/06/chart">
            <c:ext xmlns:c16="http://schemas.microsoft.com/office/drawing/2014/chart" uri="{C3380CC4-5D6E-409C-BE32-E72D297353CC}">
              <c16:uniqueId val="{00000007-5E89-43CA-9B75-96B7D00F9C9D}"/>
            </c:ext>
          </c:extLst>
        </c:ser>
        <c:dLbls>
          <c:showVal val="1"/>
        </c:dLbls>
        <c:overlap val="100"/>
        <c:axId val="244132864"/>
        <c:axId val="244142848"/>
      </c:barChart>
      <c:catAx>
        <c:axId val="244132864"/>
        <c:scaling>
          <c:orientation val="minMax"/>
        </c:scaling>
        <c:axPos val="b"/>
        <c:numFmt formatCode="General" sourceLinked="1"/>
        <c:maj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cs-CZ"/>
          </a:p>
        </c:txPr>
        <c:crossAx val="244142848"/>
        <c:crosses val="autoZero"/>
        <c:auto val="1"/>
        <c:lblAlgn val="ctr"/>
        <c:lblOffset val="100"/>
      </c:catAx>
      <c:valAx>
        <c:axId val="244142848"/>
        <c:scaling>
          <c:orientation val="minMax"/>
        </c:scaling>
        <c:delete val="1"/>
        <c:axPos val="l"/>
        <c:numFmt formatCode="General" sourceLinked="1"/>
        <c:majorTickMark val="none"/>
        <c:tickLblPos val="none"/>
        <c:crossAx val="24413286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cs-CZ"/>
        </a:p>
      </c:txPr>
    </c:legend>
    <c:plotVisOnly val="1"/>
    <c:dispBlanksAs val="gap"/>
  </c:chart>
  <c:spPr>
    <a:solidFill>
      <a:schemeClr val="bg1"/>
    </a:solidFill>
    <a:ln w="9525" cap="flat" cmpd="sng" algn="ctr">
      <a:solidFill>
        <a:schemeClr val="tx1"/>
      </a:solidFill>
      <a:round/>
    </a:ln>
    <a:effectLst/>
  </c:spPr>
  <c:txPr>
    <a:bodyPr/>
    <a:lstStyle/>
    <a:p>
      <a:pPr>
        <a:defRPr/>
      </a:pPr>
      <a:endParaRPr lang="cs-CZ"/>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cs-CZ"/>
  <c:chart>
    <c:title>
      <c:tx>
        <c:rich>
          <a:bodyPr rot="0" spcFirstLastPara="1" vertOverflow="ellipsis" vert="horz" wrap="square" anchor="ctr" anchorCtr="1"/>
          <a:lstStyle/>
          <a:p>
            <a:pPr>
              <a:defRPr sz="1200" b="1" i="0" u="none" strike="noStrike" kern="1200" baseline="0">
                <a:solidFill>
                  <a:schemeClr val="tx2"/>
                </a:solidFill>
                <a:latin typeface="+mn-lt"/>
                <a:ea typeface="+mn-ea"/>
                <a:cs typeface="+mn-cs"/>
              </a:defRPr>
            </a:pPr>
            <a:r>
              <a:rPr lang="cs-CZ" sz="1200">
                <a:solidFill>
                  <a:sysClr val="windowText" lastClr="000000"/>
                </a:solidFill>
              </a:rPr>
              <a:t>Hlavní nákupní místo podle typu prodejny</a:t>
            </a:r>
            <a:r>
              <a:rPr lang="cs-CZ" sz="1200" baseline="30000">
                <a:solidFill>
                  <a:sysClr val="windowText" lastClr="000000"/>
                </a:solidFill>
              </a:rPr>
              <a:t>1) </a:t>
            </a:r>
            <a:r>
              <a:rPr lang="cs-CZ" sz="1200">
                <a:solidFill>
                  <a:sysClr val="windowText" lastClr="000000"/>
                </a:solidFill>
              </a:rPr>
              <a:t>- čerstvé pečivo</a:t>
            </a:r>
          </a:p>
        </c:rich>
      </c:tx>
      <c:layout>
        <c:manualLayout>
          <c:xMode val="edge"/>
          <c:yMode val="edge"/>
          <c:x val="0.1731098696461825"/>
          <c:y val="7.3365231259968133E-2"/>
        </c:manualLayout>
      </c:layout>
      <c:spPr>
        <a:noFill/>
        <a:ln>
          <a:noFill/>
        </a:ln>
        <a:effectLst/>
      </c:spPr>
    </c:title>
    <c:plotArea>
      <c:layout/>
      <c:barChart>
        <c:barDir val="col"/>
        <c:grouping val="stacked"/>
        <c:ser>
          <c:idx val="0"/>
          <c:order val="0"/>
          <c:tx>
            <c:strRef>
              <c:f>'E:\SZP\Vertikála\KDŘ\[GRAFY nákupní místo dle druhu potr. 2010 a 2017_rev.xlsx]graf hl. nakupni misto - pečiv '!$A$2</c:f>
              <c:strCache>
                <c:ptCount val="1"/>
                <c:pt idx="0">
                  <c:v>Hypermarket</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cs-CZ"/>
              </a:p>
            </c:txPr>
            <c:dLblPos val="ctr"/>
            <c:showVal val="1"/>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'[1]graf hl. nakupni misto - pečiv '!$B$1:$C$1</c:f>
              <c:numCache>
                <c:formatCode>General</c:formatCode>
                <c:ptCount val="2"/>
                <c:pt idx="0">
                  <c:v>2010</c:v>
                </c:pt>
                <c:pt idx="1">
                  <c:v>2017</c:v>
                </c:pt>
              </c:numCache>
            </c:numRef>
          </c:cat>
          <c:val>
            <c:numRef>
              <c:f>'[1]graf hl. nakupni misto - pečiv '!$B$2:$C$2</c:f>
              <c:numCache>
                <c:formatCode>General</c:formatCode>
                <c:ptCount val="2"/>
                <c:pt idx="0">
                  <c:v>26</c:v>
                </c:pt>
                <c:pt idx="1">
                  <c:v>37</c:v>
                </c:pt>
              </c:numCache>
            </c:numRef>
          </c:val>
          <c:extLst xmlns:c16r2="http://schemas.microsoft.com/office/drawing/2015/06/chart">
            <c:ext xmlns:c16="http://schemas.microsoft.com/office/drawing/2014/chart" uri="{C3380CC4-5D6E-409C-BE32-E72D297353CC}">
              <c16:uniqueId val="{00000000-6E2A-4487-85A8-BB6292647142}"/>
            </c:ext>
          </c:extLst>
        </c:ser>
        <c:ser>
          <c:idx val="1"/>
          <c:order val="1"/>
          <c:tx>
            <c:strRef>
              <c:f>'E:\SZP\Vertikála\KDŘ\[GRAFY nákupní místo dle druhu potr. 2010 a 2017_rev.xlsx]graf hl. nakupni misto - pečiv '!$A$3</c:f>
              <c:strCache>
                <c:ptCount val="1"/>
                <c:pt idx="0">
                  <c:v>Supermarket</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cs-CZ"/>
              </a:p>
            </c:txPr>
            <c:dLblPos val="ctr"/>
            <c:showVal val="1"/>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'[1]graf hl. nakupni misto - pečiv '!$B$1:$C$1</c:f>
              <c:numCache>
                <c:formatCode>General</c:formatCode>
                <c:ptCount val="2"/>
                <c:pt idx="0">
                  <c:v>2010</c:v>
                </c:pt>
                <c:pt idx="1">
                  <c:v>2017</c:v>
                </c:pt>
              </c:numCache>
            </c:numRef>
          </c:cat>
          <c:val>
            <c:numRef>
              <c:f>'[1]graf hl. nakupni misto - pečiv '!$B$3:$C$3</c:f>
              <c:numCache>
                <c:formatCode>General</c:formatCode>
                <c:ptCount val="2"/>
                <c:pt idx="0">
                  <c:v>17</c:v>
                </c:pt>
                <c:pt idx="1">
                  <c:v>17</c:v>
                </c:pt>
              </c:numCache>
            </c:numRef>
          </c:val>
          <c:extLst xmlns:c16r2="http://schemas.microsoft.com/office/drawing/2015/06/chart">
            <c:ext xmlns:c16="http://schemas.microsoft.com/office/drawing/2014/chart" uri="{C3380CC4-5D6E-409C-BE32-E72D297353CC}">
              <c16:uniqueId val="{00000001-6E2A-4487-85A8-BB6292647142}"/>
            </c:ext>
          </c:extLst>
        </c:ser>
        <c:ser>
          <c:idx val="2"/>
          <c:order val="2"/>
          <c:tx>
            <c:strRef>
              <c:f>'E:\SZP\Vertikála\KDŘ\[GRAFY nákupní místo dle druhu potr. 2010 a 2017_rev.xlsx]graf hl. nakupni misto - pečiv '!$A$4</c:f>
              <c:strCache>
                <c:ptCount val="1"/>
                <c:pt idx="0">
                  <c:v>Diskont</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cs-CZ"/>
              </a:p>
            </c:txPr>
            <c:dLblPos val="ctr"/>
            <c:showVal val="1"/>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'[1]graf hl. nakupni misto - pečiv '!$B$1:$C$1</c:f>
              <c:numCache>
                <c:formatCode>General</c:formatCode>
                <c:ptCount val="2"/>
                <c:pt idx="0">
                  <c:v>2010</c:v>
                </c:pt>
                <c:pt idx="1">
                  <c:v>2017</c:v>
                </c:pt>
              </c:numCache>
            </c:numRef>
          </c:cat>
          <c:val>
            <c:numRef>
              <c:f>'[1]graf hl. nakupni misto - pečiv '!$B$4:$C$4</c:f>
              <c:numCache>
                <c:formatCode>General</c:formatCode>
                <c:ptCount val="2"/>
                <c:pt idx="0">
                  <c:v>22</c:v>
                </c:pt>
                <c:pt idx="1">
                  <c:v>24</c:v>
                </c:pt>
              </c:numCache>
            </c:numRef>
          </c:val>
          <c:extLst xmlns:c16r2="http://schemas.microsoft.com/office/drawing/2015/06/chart">
            <c:ext xmlns:c16="http://schemas.microsoft.com/office/drawing/2014/chart" uri="{C3380CC4-5D6E-409C-BE32-E72D297353CC}">
              <c16:uniqueId val="{00000002-6E2A-4487-85A8-BB6292647142}"/>
            </c:ext>
          </c:extLst>
        </c:ser>
        <c:ser>
          <c:idx val="3"/>
          <c:order val="3"/>
          <c:tx>
            <c:strRef>
              <c:f>'E:\SZP\Vertikála\KDŘ\[GRAFY nákupní místo dle druhu potr. 2010 a 2017_rev.xlsx]graf hl. nakupni misto - pečiv '!$A$5</c:f>
              <c:strCache>
                <c:ptCount val="1"/>
                <c:pt idx="0">
                  <c:v>Malá samoobsluha</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cs-CZ"/>
              </a:p>
            </c:txPr>
            <c:dLblPos val="ctr"/>
            <c:showVal val="1"/>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'[1]graf hl. nakupni misto - pečiv '!$B$1:$C$1</c:f>
              <c:numCache>
                <c:formatCode>General</c:formatCode>
                <c:ptCount val="2"/>
                <c:pt idx="0">
                  <c:v>2010</c:v>
                </c:pt>
                <c:pt idx="1">
                  <c:v>2017</c:v>
                </c:pt>
              </c:numCache>
            </c:numRef>
          </c:cat>
          <c:val>
            <c:numRef>
              <c:f>'[1]graf hl. nakupni misto - pečiv '!$B$5:$C$5</c:f>
              <c:numCache>
                <c:formatCode>General</c:formatCode>
                <c:ptCount val="2"/>
                <c:pt idx="0">
                  <c:v>24</c:v>
                </c:pt>
                <c:pt idx="1">
                  <c:v>15</c:v>
                </c:pt>
              </c:numCache>
            </c:numRef>
          </c:val>
          <c:extLst xmlns:c16r2="http://schemas.microsoft.com/office/drawing/2015/06/chart">
            <c:ext xmlns:c16="http://schemas.microsoft.com/office/drawing/2014/chart" uri="{C3380CC4-5D6E-409C-BE32-E72D297353CC}">
              <c16:uniqueId val="{00000003-6E2A-4487-85A8-BB6292647142}"/>
            </c:ext>
          </c:extLst>
        </c:ser>
        <c:ser>
          <c:idx val="4"/>
          <c:order val="4"/>
          <c:tx>
            <c:strRef>
              <c:f>'E:\SZP\Vertikála\KDŘ\[GRAFY nákupní místo dle druhu potr. 2010 a 2017_rev.xlsx]graf hl. nakupni misto - pečiv '!$A$6</c:f>
              <c:strCache>
                <c:ptCount val="1"/>
                <c:pt idx="0">
                  <c:v>Pultová/
Specializovaná 
prodejna</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cs-CZ"/>
              </a:p>
            </c:txPr>
            <c:dLblPos val="ctr"/>
            <c:showVal val="1"/>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'[1]graf hl. nakupni misto - pečiv '!$B$1:$C$1</c:f>
              <c:numCache>
                <c:formatCode>General</c:formatCode>
                <c:ptCount val="2"/>
                <c:pt idx="0">
                  <c:v>2010</c:v>
                </c:pt>
                <c:pt idx="1">
                  <c:v>2017</c:v>
                </c:pt>
              </c:numCache>
            </c:numRef>
          </c:cat>
          <c:val>
            <c:numRef>
              <c:f>'[1]graf hl. nakupni misto - pečiv '!$B$6:$C$6</c:f>
              <c:numCache>
                <c:formatCode>General</c:formatCode>
                <c:ptCount val="2"/>
                <c:pt idx="0">
                  <c:v>10</c:v>
                </c:pt>
                <c:pt idx="1">
                  <c:v>6</c:v>
                </c:pt>
              </c:numCache>
            </c:numRef>
          </c:val>
          <c:extLst xmlns:c16r2="http://schemas.microsoft.com/office/drawing/2015/06/chart">
            <c:ext xmlns:c16="http://schemas.microsoft.com/office/drawing/2014/chart" uri="{C3380CC4-5D6E-409C-BE32-E72D297353CC}">
              <c16:uniqueId val="{00000004-6E2A-4487-85A8-BB6292647142}"/>
            </c:ext>
          </c:extLst>
        </c:ser>
        <c:ser>
          <c:idx val="5"/>
          <c:order val="5"/>
          <c:tx>
            <c:strRef>
              <c:f>'E:\SZP\Vertikála\KDŘ\[GRAFY nákupní místo dle druhu potr. 2010 a 2017_rev.xlsx]graf hl. nakupni misto - pečiv '!$A$7</c:f>
              <c:strCache>
                <c:ptCount val="1"/>
                <c:pt idx="0">
                  <c:v>Jinde</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cs-CZ"/>
              </a:p>
            </c:txPr>
            <c:dLblPos val="ctr"/>
            <c:showVal val="1"/>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'[1]graf hl. nakupni misto - pečiv '!$B$1:$C$1</c:f>
              <c:numCache>
                <c:formatCode>General</c:formatCode>
                <c:ptCount val="2"/>
                <c:pt idx="0">
                  <c:v>2010</c:v>
                </c:pt>
                <c:pt idx="1">
                  <c:v>2017</c:v>
                </c:pt>
              </c:numCache>
            </c:numRef>
          </c:cat>
          <c:val>
            <c:numRef>
              <c:f>'[1]graf hl. nakupni misto - pečiv '!$B$7:$C$7</c:f>
              <c:numCache>
                <c:formatCode>General</c:formatCode>
                <c:ptCount val="2"/>
                <c:pt idx="0">
                  <c:v>0</c:v>
                </c:pt>
                <c:pt idx="1">
                  <c:v>0</c:v>
                </c:pt>
              </c:numCache>
            </c:numRef>
          </c:val>
          <c:extLst xmlns:c16r2="http://schemas.microsoft.com/office/drawing/2015/06/chart">
            <c:ext xmlns:c16="http://schemas.microsoft.com/office/drawing/2014/chart" uri="{C3380CC4-5D6E-409C-BE32-E72D297353CC}">
              <c16:uniqueId val="{00000005-6E2A-4487-85A8-BB6292647142}"/>
            </c:ext>
          </c:extLst>
        </c:ser>
        <c:dLbls>
          <c:showVal val="1"/>
        </c:dLbls>
        <c:overlap val="100"/>
        <c:axId val="245486720"/>
        <c:axId val="245488256"/>
      </c:barChart>
      <c:catAx>
        <c:axId val="245486720"/>
        <c:scaling>
          <c:orientation val="minMax"/>
        </c:scaling>
        <c:axPos val="b"/>
        <c:numFmt formatCode="General" sourceLinked="1"/>
        <c:maj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cs-CZ"/>
          </a:p>
        </c:txPr>
        <c:crossAx val="245488256"/>
        <c:crosses val="autoZero"/>
        <c:auto val="1"/>
        <c:lblAlgn val="ctr"/>
        <c:lblOffset val="100"/>
      </c:catAx>
      <c:valAx>
        <c:axId val="245488256"/>
        <c:scaling>
          <c:orientation val="minMax"/>
        </c:scaling>
        <c:delete val="1"/>
        <c:axPos val="l"/>
        <c:numFmt formatCode="General" sourceLinked="1"/>
        <c:majorTickMark val="none"/>
        <c:tickLblPos val="none"/>
        <c:crossAx val="24548672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cs-CZ"/>
        </a:p>
      </c:txPr>
    </c:legend>
    <c:plotVisOnly val="1"/>
    <c:dispBlanksAs val="gap"/>
  </c:chart>
  <c:spPr>
    <a:solidFill>
      <a:schemeClr val="bg1"/>
    </a:solidFill>
    <a:ln w="9525" cap="flat" cmpd="sng" algn="ctr">
      <a:solidFill>
        <a:sysClr val="windowText" lastClr="000000"/>
      </a:solidFill>
      <a:round/>
    </a:ln>
    <a:effectLst/>
  </c:spPr>
  <c:txPr>
    <a:bodyPr/>
    <a:lstStyle/>
    <a:p>
      <a:pPr>
        <a:spcAft>
          <a:spcPts val="300"/>
        </a:spcAft>
        <a:defRPr/>
      </a:pPr>
      <a:endParaRPr lang="cs-CZ"/>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cs-CZ"/>
  <c:chart>
    <c:title>
      <c:tx>
        <c:rich>
          <a:bodyPr rot="0" spcFirstLastPara="1" vertOverflow="ellipsis" vert="horz" wrap="square" anchor="ctr" anchorCtr="1"/>
          <a:lstStyle/>
          <a:p>
            <a:pPr>
              <a:defRPr sz="1200" b="1" i="0" u="none" strike="noStrike" kern="1200" baseline="0">
                <a:solidFill>
                  <a:schemeClr val="tx2"/>
                </a:solidFill>
                <a:latin typeface="+mn-lt"/>
                <a:ea typeface="+mn-ea"/>
                <a:cs typeface="+mn-cs"/>
              </a:defRPr>
            </a:pPr>
            <a:r>
              <a:rPr lang="cs-CZ" sz="1200">
                <a:solidFill>
                  <a:sysClr val="windowText" lastClr="000000"/>
                </a:solidFill>
              </a:rPr>
              <a:t>Hlavní nákupní místo podle typu prodejny</a:t>
            </a:r>
            <a:r>
              <a:rPr lang="cs-CZ" sz="1200" baseline="30000">
                <a:solidFill>
                  <a:sysClr val="windowText" lastClr="000000"/>
                </a:solidFill>
              </a:rPr>
              <a:t>1) </a:t>
            </a:r>
            <a:r>
              <a:rPr lang="cs-CZ" sz="1200">
                <a:solidFill>
                  <a:sysClr val="windowText" lastClr="000000"/>
                </a:solidFill>
              </a:rPr>
              <a:t>- ovoce a zelenina</a:t>
            </a:r>
          </a:p>
        </c:rich>
      </c:tx>
      <c:layout>
        <c:manualLayout>
          <c:xMode val="edge"/>
          <c:yMode val="edge"/>
          <c:x val="0.16260238419918185"/>
          <c:y val="6.0461416070007962E-2"/>
        </c:manualLayout>
      </c:layout>
      <c:spPr>
        <a:noFill/>
        <a:ln>
          <a:noFill/>
        </a:ln>
        <a:effectLst/>
      </c:spPr>
    </c:title>
    <c:plotArea>
      <c:layout/>
      <c:barChart>
        <c:barDir val="col"/>
        <c:grouping val="stacked"/>
        <c:ser>
          <c:idx val="0"/>
          <c:order val="0"/>
          <c:tx>
            <c:strRef>
              <c:f>'E:\SZP\Vertikála\KDŘ\[GRAFY nákupní místo dle druhu potr. 2010 a 2017_rev.xlsx]graf hl. nakupni misto - ovzel'!$A$2</c:f>
              <c:strCache>
                <c:ptCount val="1"/>
                <c:pt idx="0">
                  <c:v>Hypermarket</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cs-CZ"/>
              </a:p>
            </c:txPr>
            <c:dLblPos val="ctr"/>
            <c:showVal val="1"/>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'[1]graf hl. nakupni misto - ovzel'!$B$1:$C$1</c:f>
              <c:numCache>
                <c:formatCode>General</c:formatCode>
                <c:ptCount val="2"/>
                <c:pt idx="0">
                  <c:v>2010</c:v>
                </c:pt>
                <c:pt idx="1">
                  <c:v>2017</c:v>
                </c:pt>
              </c:numCache>
            </c:numRef>
          </c:cat>
          <c:val>
            <c:numRef>
              <c:f>'[1]graf hl. nakupni misto - ovzel'!$B$2:$C$2</c:f>
              <c:numCache>
                <c:formatCode>General</c:formatCode>
                <c:ptCount val="2"/>
                <c:pt idx="0">
                  <c:v>43</c:v>
                </c:pt>
                <c:pt idx="1">
                  <c:v>45</c:v>
                </c:pt>
              </c:numCache>
            </c:numRef>
          </c:val>
          <c:extLst xmlns:c16r2="http://schemas.microsoft.com/office/drawing/2015/06/chart">
            <c:ext xmlns:c16="http://schemas.microsoft.com/office/drawing/2014/chart" uri="{C3380CC4-5D6E-409C-BE32-E72D297353CC}">
              <c16:uniqueId val="{00000000-9BEA-4904-AC51-78156DBFD9FC}"/>
            </c:ext>
          </c:extLst>
        </c:ser>
        <c:ser>
          <c:idx val="1"/>
          <c:order val="1"/>
          <c:tx>
            <c:strRef>
              <c:f>'E:\SZP\Vertikála\KDŘ\[GRAFY nákupní místo dle druhu potr. 2010 a 2017_rev.xlsx]graf hl. nakupni misto - ovzel'!$A$3</c:f>
              <c:strCache>
                <c:ptCount val="1"/>
                <c:pt idx="0">
                  <c:v>Supermarket</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cs-CZ"/>
              </a:p>
            </c:txPr>
            <c:dLblPos val="ctr"/>
            <c:showVal val="1"/>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'[1]graf hl. nakupni misto - ovzel'!$B$1:$C$1</c:f>
              <c:numCache>
                <c:formatCode>General</c:formatCode>
                <c:ptCount val="2"/>
                <c:pt idx="0">
                  <c:v>2010</c:v>
                </c:pt>
                <c:pt idx="1">
                  <c:v>2017</c:v>
                </c:pt>
              </c:numCache>
            </c:numRef>
          </c:cat>
          <c:val>
            <c:numRef>
              <c:f>'[1]graf hl. nakupni misto - ovzel'!$B$3:$C$3</c:f>
              <c:numCache>
                <c:formatCode>General</c:formatCode>
                <c:ptCount val="2"/>
                <c:pt idx="0">
                  <c:v>15</c:v>
                </c:pt>
                <c:pt idx="1">
                  <c:v>17</c:v>
                </c:pt>
              </c:numCache>
            </c:numRef>
          </c:val>
          <c:extLst xmlns:c16r2="http://schemas.microsoft.com/office/drawing/2015/06/chart">
            <c:ext xmlns:c16="http://schemas.microsoft.com/office/drawing/2014/chart" uri="{C3380CC4-5D6E-409C-BE32-E72D297353CC}">
              <c16:uniqueId val="{00000001-9BEA-4904-AC51-78156DBFD9FC}"/>
            </c:ext>
          </c:extLst>
        </c:ser>
        <c:ser>
          <c:idx val="2"/>
          <c:order val="2"/>
          <c:tx>
            <c:strRef>
              <c:f>'E:\SZP\Vertikála\KDŘ\[GRAFY nákupní místo dle druhu potr. 2010 a 2017_rev.xlsx]graf hl. nakupni misto - ovzel'!$A$4</c:f>
              <c:strCache>
                <c:ptCount val="1"/>
                <c:pt idx="0">
                  <c:v>Diskont</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cs-CZ"/>
              </a:p>
            </c:txPr>
            <c:dLblPos val="ctr"/>
            <c:showVal val="1"/>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'[1]graf hl. nakupni misto - ovzel'!$B$1:$C$1</c:f>
              <c:numCache>
                <c:formatCode>General</c:formatCode>
                <c:ptCount val="2"/>
                <c:pt idx="0">
                  <c:v>2010</c:v>
                </c:pt>
                <c:pt idx="1">
                  <c:v>2017</c:v>
                </c:pt>
              </c:numCache>
            </c:numRef>
          </c:cat>
          <c:val>
            <c:numRef>
              <c:f>'[1]graf hl. nakupni misto - ovzel'!$B$4:$C$4</c:f>
              <c:numCache>
                <c:formatCode>General</c:formatCode>
                <c:ptCount val="2"/>
                <c:pt idx="0">
                  <c:v>27</c:v>
                </c:pt>
                <c:pt idx="1">
                  <c:v>28</c:v>
                </c:pt>
              </c:numCache>
            </c:numRef>
          </c:val>
          <c:extLst xmlns:c16r2="http://schemas.microsoft.com/office/drawing/2015/06/chart">
            <c:ext xmlns:c16="http://schemas.microsoft.com/office/drawing/2014/chart" uri="{C3380CC4-5D6E-409C-BE32-E72D297353CC}">
              <c16:uniqueId val="{00000002-9BEA-4904-AC51-78156DBFD9FC}"/>
            </c:ext>
          </c:extLst>
        </c:ser>
        <c:ser>
          <c:idx val="3"/>
          <c:order val="3"/>
          <c:tx>
            <c:strRef>
              <c:f>'E:\SZP\Vertikála\KDŘ\[GRAFY nákupní místo dle druhu potr. 2010 a 2017_rev.xlsx]graf hl. nakupni misto - ovzel'!$A$5</c:f>
              <c:strCache>
                <c:ptCount val="1"/>
                <c:pt idx="0">
                  <c:v>Malá samoobsluha</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cs-CZ"/>
              </a:p>
            </c:txPr>
            <c:dLblPos val="ctr"/>
            <c:showVal val="1"/>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'[1]graf hl. nakupni misto - ovzel'!$B$1:$C$1</c:f>
              <c:numCache>
                <c:formatCode>General</c:formatCode>
                <c:ptCount val="2"/>
                <c:pt idx="0">
                  <c:v>2010</c:v>
                </c:pt>
                <c:pt idx="1">
                  <c:v>2017</c:v>
                </c:pt>
              </c:numCache>
            </c:numRef>
          </c:cat>
          <c:val>
            <c:numRef>
              <c:f>'[1]graf hl. nakupni misto - ovzel'!$B$5:$C$5</c:f>
              <c:numCache>
                <c:formatCode>General</c:formatCode>
                <c:ptCount val="2"/>
                <c:pt idx="0">
                  <c:v>11</c:v>
                </c:pt>
                <c:pt idx="1">
                  <c:v>7</c:v>
                </c:pt>
              </c:numCache>
            </c:numRef>
          </c:val>
          <c:extLst xmlns:c16r2="http://schemas.microsoft.com/office/drawing/2015/06/chart">
            <c:ext xmlns:c16="http://schemas.microsoft.com/office/drawing/2014/chart" uri="{C3380CC4-5D6E-409C-BE32-E72D297353CC}">
              <c16:uniqueId val="{00000003-9BEA-4904-AC51-78156DBFD9FC}"/>
            </c:ext>
          </c:extLst>
        </c:ser>
        <c:ser>
          <c:idx val="4"/>
          <c:order val="4"/>
          <c:tx>
            <c:strRef>
              <c:f>'E:\SZP\Vertikála\KDŘ\[GRAFY nákupní místo dle druhu potr. 2010 a 2017_rev.xlsx]graf hl. nakupni misto - ovzel'!$A$6</c:f>
              <c:strCache>
                <c:ptCount val="1"/>
                <c:pt idx="0">
                  <c:v>Pultová/
Specializovaná 
prodejna</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cs-CZ"/>
              </a:p>
            </c:txPr>
            <c:dLblPos val="ctr"/>
            <c:showVal val="1"/>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'[1]graf hl. nakupni misto - ovzel'!$B$1:$C$1</c:f>
              <c:numCache>
                <c:formatCode>General</c:formatCode>
                <c:ptCount val="2"/>
                <c:pt idx="0">
                  <c:v>2010</c:v>
                </c:pt>
                <c:pt idx="1">
                  <c:v>2017</c:v>
                </c:pt>
              </c:numCache>
            </c:numRef>
          </c:cat>
          <c:val>
            <c:numRef>
              <c:f>'[1]graf hl. nakupni misto - ovzel'!$B$6:$C$6</c:f>
              <c:numCache>
                <c:formatCode>General</c:formatCode>
                <c:ptCount val="2"/>
                <c:pt idx="0">
                  <c:v>4</c:v>
                </c:pt>
                <c:pt idx="1">
                  <c:v>2</c:v>
                </c:pt>
              </c:numCache>
            </c:numRef>
          </c:val>
          <c:extLst xmlns:c16r2="http://schemas.microsoft.com/office/drawing/2015/06/chart">
            <c:ext xmlns:c16="http://schemas.microsoft.com/office/drawing/2014/chart" uri="{C3380CC4-5D6E-409C-BE32-E72D297353CC}">
              <c16:uniqueId val="{00000004-9BEA-4904-AC51-78156DBFD9FC}"/>
            </c:ext>
          </c:extLst>
        </c:ser>
        <c:ser>
          <c:idx val="5"/>
          <c:order val="5"/>
          <c:tx>
            <c:strRef>
              <c:f>'E:\SZP\Vertikála\KDŘ\[GRAFY nákupní místo dle druhu potr. 2010 a 2017_rev.xlsx]graf hl. nakupni misto - ovzel'!$A$7</c:f>
              <c:strCache>
                <c:ptCount val="1"/>
                <c:pt idx="0">
                  <c:v>Jinde</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dLbls>
            <c:dLbl>
              <c:idx val="0"/>
              <c:layout>
                <c:manualLayout>
                  <c:x val="0"/>
                  <c:y val="-1.9093078758949909E-2"/>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9BEA-4904-AC51-78156DBFD9FC}"/>
                </c:ext>
              </c:extLst>
            </c:dLbl>
            <c:dLbl>
              <c:idx val="1"/>
              <c:layout>
                <c:manualLayout>
                  <c:x val="-1.8832391713749031E-3"/>
                  <c:y val="-1.9093078758949909E-2"/>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9BEA-4904-AC51-78156DBFD9FC}"/>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cs-CZ"/>
              </a:p>
            </c:txPr>
            <c:dLblPos val="ctr"/>
            <c:showVal val="1"/>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'[1]graf hl. nakupni misto - ovzel'!$B$1:$C$1</c:f>
              <c:numCache>
                <c:formatCode>General</c:formatCode>
                <c:ptCount val="2"/>
                <c:pt idx="0">
                  <c:v>2010</c:v>
                </c:pt>
                <c:pt idx="1">
                  <c:v>2017</c:v>
                </c:pt>
              </c:numCache>
            </c:numRef>
          </c:cat>
          <c:val>
            <c:numRef>
              <c:f>'[1]graf hl. nakupni misto - ovzel'!$B$7:$C$7</c:f>
              <c:numCache>
                <c:formatCode>General</c:formatCode>
                <c:ptCount val="2"/>
                <c:pt idx="0">
                  <c:v>1</c:v>
                </c:pt>
                <c:pt idx="1">
                  <c:v>1</c:v>
                </c:pt>
              </c:numCache>
            </c:numRef>
          </c:val>
          <c:extLst xmlns:c16r2="http://schemas.microsoft.com/office/drawing/2015/06/chart">
            <c:ext xmlns:c16="http://schemas.microsoft.com/office/drawing/2014/chart" uri="{C3380CC4-5D6E-409C-BE32-E72D297353CC}">
              <c16:uniqueId val="{00000007-9BEA-4904-AC51-78156DBFD9FC}"/>
            </c:ext>
          </c:extLst>
        </c:ser>
        <c:dLbls>
          <c:showVal val="1"/>
        </c:dLbls>
        <c:overlap val="100"/>
        <c:axId val="226516992"/>
        <c:axId val="226518528"/>
      </c:barChart>
      <c:catAx>
        <c:axId val="226516992"/>
        <c:scaling>
          <c:orientation val="minMax"/>
        </c:scaling>
        <c:axPos val="b"/>
        <c:numFmt formatCode="General" sourceLinked="1"/>
        <c:maj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cs-CZ"/>
          </a:p>
        </c:txPr>
        <c:crossAx val="226518528"/>
        <c:crosses val="autoZero"/>
        <c:auto val="1"/>
        <c:lblAlgn val="ctr"/>
        <c:lblOffset val="100"/>
      </c:catAx>
      <c:valAx>
        <c:axId val="226518528"/>
        <c:scaling>
          <c:orientation val="minMax"/>
        </c:scaling>
        <c:delete val="1"/>
        <c:axPos val="l"/>
        <c:numFmt formatCode="General" sourceLinked="1"/>
        <c:majorTickMark val="none"/>
        <c:tickLblPos val="none"/>
        <c:crossAx val="22651699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cs-CZ"/>
        </a:p>
      </c:txPr>
    </c:legend>
    <c:plotVisOnly val="1"/>
    <c:dispBlanksAs val="gap"/>
  </c:chart>
  <c:spPr>
    <a:solidFill>
      <a:schemeClr val="bg1"/>
    </a:solidFill>
    <a:ln w="9525" cap="flat" cmpd="sng" algn="ctr">
      <a:solidFill>
        <a:sysClr val="windowText" lastClr="000000"/>
      </a:solidFill>
      <a:round/>
    </a:ln>
    <a:effectLst/>
  </c:spPr>
  <c:txPr>
    <a:bodyPr/>
    <a:lstStyle/>
    <a:p>
      <a:pPr>
        <a:defRPr/>
      </a:pPr>
      <a:endParaRPr lang="cs-CZ"/>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cs-CZ"/>
  <c:chart>
    <c:plotArea>
      <c:layout>
        <c:manualLayout>
          <c:layoutTarget val="inner"/>
          <c:xMode val="edge"/>
          <c:yMode val="edge"/>
          <c:x val="9.3574122347334643E-2"/>
          <c:y val="4.6337728234721924E-2"/>
          <c:w val="0.84745926383775383"/>
          <c:h val="0.66654857833922698"/>
        </c:manualLayout>
      </c:layout>
      <c:lineChart>
        <c:grouping val="standard"/>
        <c:ser>
          <c:idx val="2"/>
          <c:order val="2"/>
          <c:tx>
            <c:strRef>
              <c:f>List1!$K$1</c:f>
              <c:strCache>
                <c:ptCount val="1"/>
                <c:pt idx="0">
                  <c:v>MlékoCZV</c:v>
                </c:pt>
              </c:strCache>
            </c:strRef>
          </c:tx>
          <c:spPr>
            <a:ln>
              <a:solidFill>
                <a:schemeClr val="tx1"/>
              </a:solidFill>
            </a:ln>
          </c:spPr>
          <c:marker>
            <c:symbol val="none"/>
          </c:marker>
          <c:trendline>
            <c:trendlineType val="linear"/>
            <c:dispRSqr val="1"/>
            <c:trendlineLbl>
              <c:layout>
                <c:manualLayout>
                  <c:x val="-0.13590067453172455"/>
                  <c:y val="3.5291354346472459E-2"/>
                </c:manualLayout>
              </c:layout>
              <c:numFmt formatCode="General" sourceLinked="0"/>
            </c:trendlineLbl>
          </c:trendline>
          <c:cat>
            <c:numRef>
              <c:f>List1!$A$2:$A$142</c:f>
              <c:numCache>
                <c:formatCode>General</c:formatCode>
                <c:ptCount val="141"/>
                <c:pt idx="0">
                  <c:v>106</c:v>
                </c:pt>
                <c:pt idx="1">
                  <c:v>206</c:v>
                </c:pt>
                <c:pt idx="2">
                  <c:v>306</c:v>
                </c:pt>
                <c:pt idx="3">
                  <c:v>406</c:v>
                </c:pt>
                <c:pt idx="4">
                  <c:v>506</c:v>
                </c:pt>
                <c:pt idx="5">
                  <c:v>606</c:v>
                </c:pt>
                <c:pt idx="6">
                  <c:v>706</c:v>
                </c:pt>
                <c:pt idx="7">
                  <c:v>806</c:v>
                </c:pt>
                <c:pt idx="8">
                  <c:v>906</c:v>
                </c:pt>
                <c:pt idx="9">
                  <c:v>1006</c:v>
                </c:pt>
                <c:pt idx="10">
                  <c:v>1106</c:v>
                </c:pt>
                <c:pt idx="11">
                  <c:v>1206</c:v>
                </c:pt>
                <c:pt idx="12">
                  <c:v>107</c:v>
                </c:pt>
                <c:pt idx="13">
                  <c:v>207</c:v>
                </c:pt>
                <c:pt idx="14">
                  <c:v>307</c:v>
                </c:pt>
                <c:pt idx="15">
                  <c:v>407</c:v>
                </c:pt>
                <c:pt idx="16">
                  <c:v>507</c:v>
                </c:pt>
                <c:pt idx="17">
                  <c:v>607</c:v>
                </c:pt>
                <c:pt idx="18">
                  <c:v>707</c:v>
                </c:pt>
                <c:pt idx="19">
                  <c:v>807</c:v>
                </c:pt>
                <c:pt idx="20">
                  <c:v>907</c:v>
                </c:pt>
                <c:pt idx="21">
                  <c:v>1007</c:v>
                </c:pt>
                <c:pt idx="22">
                  <c:v>1107</c:v>
                </c:pt>
                <c:pt idx="23">
                  <c:v>1207</c:v>
                </c:pt>
                <c:pt idx="24">
                  <c:v>108</c:v>
                </c:pt>
                <c:pt idx="25">
                  <c:v>208</c:v>
                </c:pt>
                <c:pt idx="26">
                  <c:v>308</c:v>
                </c:pt>
                <c:pt idx="27">
                  <c:v>408</c:v>
                </c:pt>
                <c:pt idx="28">
                  <c:v>508</c:v>
                </c:pt>
                <c:pt idx="29">
                  <c:v>608</c:v>
                </c:pt>
                <c:pt idx="30">
                  <c:v>708</c:v>
                </c:pt>
                <c:pt idx="31">
                  <c:v>808</c:v>
                </c:pt>
                <c:pt idx="32">
                  <c:v>908</c:v>
                </c:pt>
                <c:pt idx="33">
                  <c:v>1008</c:v>
                </c:pt>
                <c:pt idx="34">
                  <c:v>1108</c:v>
                </c:pt>
                <c:pt idx="35">
                  <c:v>1208</c:v>
                </c:pt>
                <c:pt idx="36">
                  <c:v>109</c:v>
                </c:pt>
                <c:pt idx="37">
                  <c:v>209</c:v>
                </c:pt>
                <c:pt idx="38">
                  <c:v>309</c:v>
                </c:pt>
                <c:pt idx="39">
                  <c:v>409</c:v>
                </c:pt>
                <c:pt idx="40">
                  <c:v>509</c:v>
                </c:pt>
                <c:pt idx="41">
                  <c:v>609</c:v>
                </c:pt>
                <c:pt idx="42">
                  <c:v>709</c:v>
                </c:pt>
                <c:pt idx="43">
                  <c:v>809</c:v>
                </c:pt>
                <c:pt idx="44">
                  <c:v>909</c:v>
                </c:pt>
                <c:pt idx="45">
                  <c:v>1009</c:v>
                </c:pt>
                <c:pt idx="46">
                  <c:v>1109</c:v>
                </c:pt>
                <c:pt idx="47">
                  <c:v>1209</c:v>
                </c:pt>
                <c:pt idx="48">
                  <c:v>110</c:v>
                </c:pt>
                <c:pt idx="49">
                  <c:v>210</c:v>
                </c:pt>
                <c:pt idx="50">
                  <c:v>310</c:v>
                </c:pt>
                <c:pt idx="51">
                  <c:v>410</c:v>
                </c:pt>
                <c:pt idx="52">
                  <c:v>510</c:v>
                </c:pt>
                <c:pt idx="53">
                  <c:v>610</c:v>
                </c:pt>
                <c:pt idx="54">
                  <c:v>710</c:v>
                </c:pt>
                <c:pt idx="55">
                  <c:v>810</c:v>
                </c:pt>
                <c:pt idx="56">
                  <c:v>910</c:v>
                </c:pt>
                <c:pt idx="57">
                  <c:v>1010</c:v>
                </c:pt>
                <c:pt idx="58">
                  <c:v>1110</c:v>
                </c:pt>
                <c:pt idx="59">
                  <c:v>1210</c:v>
                </c:pt>
                <c:pt idx="60">
                  <c:v>111</c:v>
                </c:pt>
                <c:pt idx="61">
                  <c:v>211</c:v>
                </c:pt>
                <c:pt idx="62">
                  <c:v>311</c:v>
                </c:pt>
                <c:pt idx="63">
                  <c:v>411</c:v>
                </c:pt>
                <c:pt idx="64">
                  <c:v>511</c:v>
                </c:pt>
                <c:pt idx="65">
                  <c:v>611</c:v>
                </c:pt>
                <c:pt idx="66">
                  <c:v>711</c:v>
                </c:pt>
                <c:pt idx="67">
                  <c:v>811</c:v>
                </c:pt>
                <c:pt idx="68">
                  <c:v>911</c:v>
                </c:pt>
                <c:pt idx="69">
                  <c:v>1011</c:v>
                </c:pt>
                <c:pt idx="70">
                  <c:v>1111</c:v>
                </c:pt>
                <c:pt idx="71">
                  <c:v>1211</c:v>
                </c:pt>
                <c:pt idx="72">
                  <c:v>112</c:v>
                </c:pt>
                <c:pt idx="73">
                  <c:v>212</c:v>
                </c:pt>
                <c:pt idx="74">
                  <c:v>312</c:v>
                </c:pt>
                <c:pt idx="75">
                  <c:v>412</c:v>
                </c:pt>
                <c:pt idx="76">
                  <c:v>512</c:v>
                </c:pt>
                <c:pt idx="77">
                  <c:v>612</c:v>
                </c:pt>
                <c:pt idx="78">
                  <c:v>712</c:v>
                </c:pt>
                <c:pt idx="79">
                  <c:v>812</c:v>
                </c:pt>
                <c:pt idx="80">
                  <c:v>912</c:v>
                </c:pt>
                <c:pt idx="81">
                  <c:v>1012</c:v>
                </c:pt>
                <c:pt idx="82">
                  <c:v>1112</c:v>
                </c:pt>
                <c:pt idx="83">
                  <c:v>1212</c:v>
                </c:pt>
                <c:pt idx="84">
                  <c:v>113</c:v>
                </c:pt>
                <c:pt idx="85">
                  <c:v>213</c:v>
                </c:pt>
                <c:pt idx="86">
                  <c:v>313</c:v>
                </c:pt>
                <c:pt idx="87">
                  <c:v>413</c:v>
                </c:pt>
                <c:pt idx="88">
                  <c:v>513</c:v>
                </c:pt>
                <c:pt idx="89">
                  <c:v>613</c:v>
                </c:pt>
                <c:pt idx="90">
                  <c:v>713</c:v>
                </c:pt>
                <c:pt idx="91">
                  <c:v>813</c:v>
                </c:pt>
                <c:pt idx="92">
                  <c:v>913</c:v>
                </c:pt>
                <c:pt idx="93">
                  <c:v>1013</c:v>
                </c:pt>
                <c:pt idx="94">
                  <c:v>1113</c:v>
                </c:pt>
                <c:pt idx="95">
                  <c:v>1213</c:v>
                </c:pt>
                <c:pt idx="96">
                  <c:v>114</c:v>
                </c:pt>
                <c:pt idx="97">
                  <c:v>214</c:v>
                </c:pt>
                <c:pt idx="98">
                  <c:v>314</c:v>
                </c:pt>
                <c:pt idx="99">
                  <c:v>414</c:v>
                </c:pt>
                <c:pt idx="100">
                  <c:v>514</c:v>
                </c:pt>
                <c:pt idx="101">
                  <c:v>614</c:v>
                </c:pt>
                <c:pt idx="102">
                  <c:v>714</c:v>
                </c:pt>
                <c:pt idx="103">
                  <c:v>814</c:v>
                </c:pt>
                <c:pt idx="104">
                  <c:v>914</c:v>
                </c:pt>
                <c:pt idx="105">
                  <c:v>1014</c:v>
                </c:pt>
                <c:pt idx="106">
                  <c:v>1114</c:v>
                </c:pt>
                <c:pt idx="107">
                  <c:v>1214</c:v>
                </c:pt>
                <c:pt idx="108">
                  <c:v>115</c:v>
                </c:pt>
                <c:pt idx="109">
                  <c:v>215</c:v>
                </c:pt>
                <c:pt idx="110">
                  <c:v>315</c:v>
                </c:pt>
                <c:pt idx="111">
                  <c:v>415</c:v>
                </c:pt>
                <c:pt idx="112">
                  <c:v>515</c:v>
                </c:pt>
                <c:pt idx="113">
                  <c:v>615</c:v>
                </c:pt>
                <c:pt idx="114">
                  <c:v>715</c:v>
                </c:pt>
                <c:pt idx="115">
                  <c:v>815</c:v>
                </c:pt>
                <c:pt idx="116">
                  <c:v>915</c:v>
                </c:pt>
                <c:pt idx="117">
                  <c:v>1015</c:v>
                </c:pt>
                <c:pt idx="118">
                  <c:v>1115</c:v>
                </c:pt>
                <c:pt idx="119">
                  <c:v>1215</c:v>
                </c:pt>
                <c:pt idx="120">
                  <c:v>116</c:v>
                </c:pt>
                <c:pt idx="121">
                  <c:v>216</c:v>
                </c:pt>
                <c:pt idx="122">
                  <c:v>316</c:v>
                </c:pt>
                <c:pt idx="123">
                  <c:v>416</c:v>
                </c:pt>
                <c:pt idx="124">
                  <c:v>516</c:v>
                </c:pt>
                <c:pt idx="125">
                  <c:v>616</c:v>
                </c:pt>
                <c:pt idx="126">
                  <c:v>716</c:v>
                </c:pt>
                <c:pt idx="127">
                  <c:v>816</c:v>
                </c:pt>
                <c:pt idx="128">
                  <c:v>916</c:v>
                </c:pt>
                <c:pt idx="129">
                  <c:v>1016</c:v>
                </c:pt>
                <c:pt idx="130">
                  <c:v>1116</c:v>
                </c:pt>
                <c:pt idx="131">
                  <c:v>1216</c:v>
                </c:pt>
                <c:pt idx="132">
                  <c:v>117</c:v>
                </c:pt>
                <c:pt idx="133">
                  <c:v>217</c:v>
                </c:pt>
                <c:pt idx="134">
                  <c:v>317</c:v>
                </c:pt>
                <c:pt idx="135">
                  <c:v>417</c:v>
                </c:pt>
                <c:pt idx="136">
                  <c:v>517</c:v>
                </c:pt>
                <c:pt idx="137">
                  <c:v>617</c:v>
                </c:pt>
                <c:pt idx="138">
                  <c:v>717</c:v>
                </c:pt>
                <c:pt idx="139">
                  <c:v>817</c:v>
                </c:pt>
                <c:pt idx="140">
                  <c:v>917</c:v>
                </c:pt>
              </c:numCache>
            </c:numRef>
          </c:cat>
          <c:val>
            <c:numRef>
              <c:f>List1!$K$2:$K$142</c:f>
              <c:numCache>
                <c:formatCode>General</c:formatCode>
                <c:ptCount val="141"/>
                <c:pt idx="0">
                  <c:v>8159</c:v>
                </c:pt>
                <c:pt idx="1">
                  <c:v>8112</c:v>
                </c:pt>
                <c:pt idx="2">
                  <c:v>8058</c:v>
                </c:pt>
                <c:pt idx="3">
                  <c:v>8033</c:v>
                </c:pt>
                <c:pt idx="4">
                  <c:v>7941</c:v>
                </c:pt>
                <c:pt idx="5">
                  <c:v>7857</c:v>
                </c:pt>
                <c:pt idx="6">
                  <c:v>7774</c:v>
                </c:pt>
                <c:pt idx="7">
                  <c:v>7626</c:v>
                </c:pt>
                <c:pt idx="8">
                  <c:v>7617</c:v>
                </c:pt>
                <c:pt idx="9">
                  <c:v>7669</c:v>
                </c:pt>
                <c:pt idx="10">
                  <c:v>7734</c:v>
                </c:pt>
                <c:pt idx="11">
                  <c:v>7789</c:v>
                </c:pt>
                <c:pt idx="12">
                  <c:v>7809</c:v>
                </c:pt>
                <c:pt idx="13">
                  <c:v>7807</c:v>
                </c:pt>
                <c:pt idx="14">
                  <c:v>7799</c:v>
                </c:pt>
                <c:pt idx="15">
                  <c:v>7792</c:v>
                </c:pt>
                <c:pt idx="16">
                  <c:v>7803</c:v>
                </c:pt>
                <c:pt idx="17">
                  <c:v>7776</c:v>
                </c:pt>
                <c:pt idx="18">
                  <c:v>7781</c:v>
                </c:pt>
                <c:pt idx="19">
                  <c:v>7924</c:v>
                </c:pt>
                <c:pt idx="20">
                  <c:v>8143</c:v>
                </c:pt>
                <c:pt idx="21">
                  <c:v>8549</c:v>
                </c:pt>
                <c:pt idx="22">
                  <c:v>9471</c:v>
                </c:pt>
                <c:pt idx="23">
                  <c:v>9978</c:v>
                </c:pt>
                <c:pt idx="24">
                  <c:v>10098</c:v>
                </c:pt>
                <c:pt idx="25">
                  <c:v>10072</c:v>
                </c:pt>
                <c:pt idx="26">
                  <c:v>10021</c:v>
                </c:pt>
                <c:pt idx="27">
                  <c:v>9733</c:v>
                </c:pt>
                <c:pt idx="28">
                  <c:v>9176</c:v>
                </c:pt>
                <c:pt idx="29">
                  <c:v>8731</c:v>
                </c:pt>
                <c:pt idx="30">
                  <c:v>8468</c:v>
                </c:pt>
                <c:pt idx="31">
                  <c:v>8219</c:v>
                </c:pt>
                <c:pt idx="32">
                  <c:v>7979</c:v>
                </c:pt>
                <c:pt idx="33">
                  <c:v>7815</c:v>
                </c:pt>
                <c:pt idx="34">
                  <c:v>7548</c:v>
                </c:pt>
                <c:pt idx="35">
                  <c:v>7207</c:v>
                </c:pt>
                <c:pt idx="36">
                  <c:v>6848</c:v>
                </c:pt>
                <c:pt idx="37">
                  <c:v>6517</c:v>
                </c:pt>
                <c:pt idx="38">
                  <c:v>6247</c:v>
                </c:pt>
                <c:pt idx="39">
                  <c:v>6153</c:v>
                </c:pt>
                <c:pt idx="40">
                  <c:v>6093</c:v>
                </c:pt>
                <c:pt idx="41">
                  <c:v>6030</c:v>
                </c:pt>
                <c:pt idx="42">
                  <c:v>5994</c:v>
                </c:pt>
                <c:pt idx="43">
                  <c:v>5924</c:v>
                </c:pt>
                <c:pt idx="44">
                  <c:v>5921</c:v>
                </c:pt>
                <c:pt idx="45">
                  <c:v>6020</c:v>
                </c:pt>
                <c:pt idx="46">
                  <c:v>6184</c:v>
                </c:pt>
                <c:pt idx="47">
                  <c:v>6443</c:v>
                </c:pt>
                <c:pt idx="48">
                  <c:v>6722</c:v>
                </c:pt>
                <c:pt idx="49">
                  <c:v>6924</c:v>
                </c:pt>
                <c:pt idx="50">
                  <c:v>7089</c:v>
                </c:pt>
                <c:pt idx="51">
                  <c:v>7161</c:v>
                </c:pt>
                <c:pt idx="52">
                  <c:v>7239</c:v>
                </c:pt>
                <c:pt idx="53">
                  <c:v>7314</c:v>
                </c:pt>
                <c:pt idx="54">
                  <c:v>7372</c:v>
                </c:pt>
                <c:pt idx="55">
                  <c:v>7403</c:v>
                </c:pt>
                <c:pt idx="56">
                  <c:v>7508</c:v>
                </c:pt>
                <c:pt idx="57">
                  <c:v>7645</c:v>
                </c:pt>
                <c:pt idx="58">
                  <c:v>7838</c:v>
                </c:pt>
                <c:pt idx="59">
                  <c:v>7975</c:v>
                </c:pt>
                <c:pt idx="60">
                  <c:v>8110</c:v>
                </c:pt>
                <c:pt idx="61">
                  <c:v>8122</c:v>
                </c:pt>
                <c:pt idx="62">
                  <c:v>8176</c:v>
                </c:pt>
                <c:pt idx="63">
                  <c:v>8238</c:v>
                </c:pt>
                <c:pt idx="64">
                  <c:v>8268</c:v>
                </c:pt>
                <c:pt idx="65">
                  <c:v>8288</c:v>
                </c:pt>
                <c:pt idx="66">
                  <c:v>8276</c:v>
                </c:pt>
                <c:pt idx="67">
                  <c:v>8305</c:v>
                </c:pt>
                <c:pt idx="68">
                  <c:v>8312</c:v>
                </c:pt>
                <c:pt idx="69">
                  <c:v>8339</c:v>
                </c:pt>
                <c:pt idx="70">
                  <c:v>8392</c:v>
                </c:pt>
                <c:pt idx="71">
                  <c:v>8462</c:v>
                </c:pt>
                <c:pt idx="72">
                  <c:v>8465</c:v>
                </c:pt>
                <c:pt idx="73">
                  <c:v>8371</c:v>
                </c:pt>
                <c:pt idx="74">
                  <c:v>8351</c:v>
                </c:pt>
                <c:pt idx="75">
                  <c:v>8194</c:v>
                </c:pt>
                <c:pt idx="76">
                  <c:v>7933</c:v>
                </c:pt>
                <c:pt idx="77">
                  <c:v>7626</c:v>
                </c:pt>
                <c:pt idx="78">
                  <c:v>7388</c:v>
                </c:pt>
                <c:pt idx="79">
                  <c:v>7258</c:v>
                </c:pt>
                <c:pt idx="80">
                  <c:v>7255</c:v>
                </c:pt>
                <c:pt idx="81">
                  <c:v>7351</c:v>
                </c:pt>
                <c:pt idx="82">
                  <c:v>7541</c:v>
                </c:pt>
                <c:pt idx="83">
                  <c:v>7731</c:v>
                </c:pt>
                <c:pt idx="84">
                  <c:v>7898</c:v>
                </c:pt>
                <c:pt idx="85">
                  <c:v>7943</c:v>
                </c:pt>
                <c:pt idx="86">
                  <c:v>8056</c:v>
                </c:pt>
                <c:pt idx="87">
                  <c:v>8136</c:v>
                </c:pt>
                <c:pt idx="88">
                  <c:v>8210</c:v>
                </c:pt>
                <c:pt idx="89">
                  <c:v>8249</c:v>
                </c:pt>
                <c:pt idx="90">
                  <c:v>8306</c:v>
                </c:pt>
                <c:pt idx="91">
                  <c:v>8377</c:v>
                </c:pt>
                <c:pt idx="92">
                  <c:v>8500</c:v>
                </c:pt>
                <c:pt idx="93">
                  <c:v>8719</c:v>
                </c:pt>
                <c:pt idx="94">
                  <c:v>9045</c:v>
                </c:pt>
                <c:pt idx="95">
                  <c:v>9365</c:v>
                </c:pt>
                <c:pt idx="96">
                  <c:v>9567</c:v>
                </c:pt>
                <c:pt idx="97">
                  <c:v>9728</c:v>
                </c:pt>
                <c:pt idx="98">
                  <c:v>9795</c:v>
                </c:pt>
                <c:pt idx="99">
                  <c:v>9808</c:v>
                </c:pt>
                <c:pt idx="100">
                  <c:v>9780</c:v>
                </c:pt>
                <c:pt idx="101">
                  <c:v>9677</c:v>
                </c:pt>
                <c:pt idx="102">
                  <c:v>9550</c:v>
                </c:pt>
                <c:pt idx="103">
                  <c:v>9515</c:v>
                </c:pt>
                <c:pt idx="104">
                  <c:v>9331</c:v>
                </c:pt>
                <c:pt idx="105">
                  <c:v>9156</c:v>
                </c:pt>
                <c:pt idx="106">
                  <c:v>9085</c:v>
                </c:pt>
                <c:pt idx="107">
                  <c:v>9011</c:v>
                </c:pt>
                <c:pt idx="108" formatCode="#,##0">
                  <c:v>8952</c:v>
                </c:pt>
                <c:pt idx="109" formatCode="#,##0">
                  <c:v>8614</c:v>
                </c:pt>
                <c:pt idx="110" formatCode="#,##0">
                  <c:v>8478</c:v>
                </c:pt>
                <c:pt idx="111" formatCode="#,##0">
                  <c:v>8378</c:v>
                </c:pt>
                <c:pt idx="112" formatCode="#,##0">
                  <c:v>8240</c:v>
                </c:pt>
                <c:pt idx="113" formatCode="#,##0">
                  <c:v>7818</c:v>
                </c:pt>
                <c:pt idx="114" formatCode="#,##0">
                  <c:v>7528</c:v>
                </c:pt>
                <c:pt idx="115" formatCode="#,##0">
                  <c:v>7305</c:v>
                </c:pt>
                <c:pt idx="116" formatCode="#,##0">
                  <c:v>7141</c:v>
                </c:pt>
                <c:pt idx="117" formatCode="#,##0">
                  <c:v>7142</c:v>
                </c:pt>
                <c:pt idx="118" formatCode="#,##0">
                  <c:v>7314</c:v>
                </c:pt>
                <c:pt idx="119" formatCode="#,##0">
                  <c:v>7435</c:v>
                </c:pt>
                <c:pt idx="120" formatCode="#,##0">
                  <c:v>7497</c:v>
                </c:pt>
                <c:pt idx="121" formatCode="#,##0">
                  <c:v>7329</c:v>
                </c:pt>
                <c:pt idx="122" formatCode="#,##0">
                  <c:v>7070</c:v>
                </c:pt>
                <c:pt idx="123" formatCode="#,##0">
                  <c:v>6829</c:v>
                </c:pt>
                <c:pt idx="124" formatCode="#,##0">
                  <c:v>6588</c:v>
                </c:pt>
                <c:pt idx="125" formatCode="#,##0">
                  <c:v>6268</c:v>
                </c:pt>
                <c:pt idx="126" formatCode="#,##0">
                  <c:v>6139</c:v>
                </c:pt>
                <c:pt idx="127" formatCode="#,##0">
                  <c:v>6119</c:v>
                </c:pt>
                <c:pt idx="128" formatCode="#,##0">
                  <c:v>6202</c:v>
                </c:pt>
                <c:pt idx="129" formatCode="#,##0">
                  <c:v>6435</c:v>
                </c:pt>
                <c:pt idx="130" formatCode="###,###,##0">
                  <c:v>6799</c:v>
                </c:pt>
                <c:pt idx="131" formatCode="###,###,##0">
                  <c:v>7228</c:v>
                </c:pt>
                <c:pt idx="132" formatCode="#,##0">
                  <c:v>7633</c:v>
                </c:pt>
                <c:pt idx="133" formatCode="###,###,##0">
                  <c:v>7841</c:v>
                </c:pt>
                <c:pt idx="134" formatCode="###,###,##0">
                  <c:v>8067</c:v>
                </c:pt>
                <c:pt idx="135" formatCode="###,###,##0">
                  <c:v>8197</c:v>
                </c:pt>
                <c:pt idx="136" formatCode="###,###,##0">
                  <c:v>8297</c:v>
                </c:pt>
                <c:pt idx="137" formatCode="###,###,##0">
                  <c:v>8344</c:v>
                </c:pt>
                <c:pt idx="138" formatCode="#,##0">
                  <c:v>8410</c:v>
                </c:pt>
                <c:pt idx="139" formatCode="#,##0">
                  <c:v>8480</c:v>
                </c:pt>
                <c:pt idx="140" formatCode="#,##0">
                  <c:v>8635</c:v>
                </c:pt>
              </c:numCache>
            </c:numRef>
          </c:val>
          <c:extLst xmlns:c16r2="http://schemas.microsoft.com/office/drawing/2015/06/chart">
            <c:ext xmlns:c16="http://schemas.microsoft.com/office/drawing/2014/chart" uri="{C3380CC4-5D6E-409C-BE32-E72D297353CC}">
              <c16:uniqueId val="{00000001-78CD-4C9A-BBDA-E8C20E78AF61}"/>
            </c:ext>
          </c:extLst>
        </c:ser>
        <c:marker val="1"/>
        <c:axId val="226889088"/>
        <c:axId val="226899072"/>
      </c:lineChart>
      <c:lineChart>
        <c:grouping val="standard"/>
        <c:ser>
          <c:idx val="0"/>
          <c:order val="0"/>
          <c:tx>
            <c:strRef>
              <c:f>List1!$L$1</c:f>
              <c:strCache>
                <c:ptCount val="1"/>
                <c:pt idx="0">
                  <c:v>MlékoCPV</c:v>
                </c:pt>
              </c:strCache>
            </c:strRef>
          </c:tx>
          <c:marker>
            <c:symbol val="none"/>
          </c:marker>
          <c:trendline>
            <c:spPr>
              <a:ln>
                <a:solidFill>
                  <a:srgbClr val="0070C0"/>
                </a:solidFill>
                <a:prstDash val="sysDash"/>
              </a:ln>
            </c:spPr>
            <c:trendlineType val="linear"/>
            <c:dispRSqr val="1"/>
            <c:trendlineLbl>
              <c:layout>
                <c:manualLayout>
                  <c:x val="-7.6446928775541309E-2"/>
                  <c:y val="3.9435656128569536E-2"/>
                </c:manualLayout>
              </c:layout>
              <c:numFmt formatCode="General" sourceLinked="0"/>
            </c:trendlineLbl>
          </c:trendline>
          <c:cat>
            <c:numRef>
              <c:f>List1!$A$2:$A$142</c:f>
              <c:numCache>
                <c:formatCode>General</c:formatCode>
                <c:ptCount val="141"/>
                <c:pt idx="0">
                  <c:v>106</c:v>
                </c:pt>
                <c:pt idx="1">
                  <c:v>206</c:v>
                </c:pt>
                <c:pt idx="2">
                  <c:v>306</c:v>
                </c:pt>
                <c:pt idx="3">
                  <c:v>406</c:v>
                </c:pt>
                <c:pt idx="4">
                  <c:v>506</c:v>
                </c:pt>
                <c:pt idx="5">
                  <c:v>606</c:v>
                </c:pt>
                <c:pt idx="6">
                  <c:v>706</c:v>
                </c:pt>
                <c:pt idx="7">
                  <c:v>806</c:v>
                </c:pt>
                <c:pt idx="8">
                  <c:v>906</c:v>
                </c:pt>
                <c:pt idx="9">
                  <c:v>1006</c:v>
                </c:pt>
                <c:pt idx="10">
                  <c:v>1106</c:v>
                </c:pt>
                <c:pt idx="11">
                  <c:v>1206</c:v>
                </c:pt>
                <c:pt idx="12">
                  <c:v>107</c:v>
                </c:pt>
                <c:pt idx="13">
                  <c:v>207</c:v>
                </c:pt>
                <c:pt idx="14">
                  <c:v>307</c:v>
                </c:pt>
                <c:pt idx="15">
                  <c:v>407</c:v>
                </c:pt>
                <c:pt idx="16">
                  <c:v>507</c:v>
                </c:pt>
                <c:pt idx="17">
                  <c:v>607</c:v>
                </c:pt>
                <c:pt idx="18">
                  <c:v>707</c:v>
                </c:pt>
                <c:pt idx="19">
                  <c:v>807</c:v>
                </c:pt>
                <c:pt idx="20">
                  <c:v>907</c:v>
                </c:pt>
                <c:pt idx="21">
                  <c:v>1007</c:v>
                </c:pt>
                <c:pt idx="22">
                  <c:v>1107</c:v>
                </c:pt>
                <c:pt idx="23">
                  <c:v>1207</c:v>
                </c:pt>
                <c:pt idx="24">
                  <c:v>108</c:v>
                </c:pt>
                <c:pt idx="25">
                  <c:v>208</c:v>
                </c:pt>
                <c:pt idx="26">
                  <c:v>308</c:v>
                </c:pt>
                <c:pt idx="27">
                  <c:v>408</c:v>
                </c:pt>
                <c:pt idx="28">
                  <c:v>508</c:v>
                </c:pt>
                <c:pt idx="29">
                  <c:v>608</c:v>
                </c:pt>
                <c:pt idx="30">
                  <c:v>708</c:v>
                </c:pt>
                <c:pt idx="31">
                  <c:v>808</c:v>
                </c:pt>
                <c:pt idx="32">
                  <c:v>908</c:v>
                </c:pt>
                <c:pt idx="33">
                  <c:v>1008</c:v>
                </c:pt>
                <c:pt idx="34">
                  <c:v>1108</c:v>
                </c:pt>
                <c:pt idx="35">
                  <c:v>1208</c:v>
                </c:pt>
                <c:pt idx="36">
                  <c:v>109</c:v>
                </c:pt>
                <c:pt idx="37">
                  <c:v>209</c:v>
                </c:pt>
                <c:pt idx="38">
                  <c:v>309</c:v>
                </c:pt>
                <c:pt idx="39">
                  <c:v>409</c:v>
                </c:pt>
                <c:pt idx="40">
                  <c:v>509</c:v>
                </c:pt>
                <c:pt idx="41">
                  <c:v>609</c:v>
                </c:pt>
                <c:pt idx="42">
                  <c:v>709</c:v>
                </c:pt>
                <c:pt idx="43">
                  <c:v>809</c:v>
                </c:pt>
                <c:pt idx="44">
                  <c:v>909</c:v>
                </c:pt>
                <c:pt idx="45">
                  <c:v>1009</c:v>
                </c:pt>
                <c:pt idx="46">
                  <c:v>1109</c:v>
                </c:pt>
                <c:pt idx="47">
                  <c:v>1209</c:v>
                </c:pt>
                <c:pt idx="48">
                  <c:v>110</c:v>
                </c:pt>
                <c:pt idx="49">
                  <c:v>210</c:v>
                </c:pt>
                <c:pt idx="50">
                  <c:v>310</c:v>
                </c:pt>
                <c:pt idx="51">
                  <c:v>410</c:v>
                </c:pt>
                <c:pt idx="52">
                  <c:v>510</c:v>
                </c:pt>
                <c:pt idx="53">
                  <c:v>610</c:v>
                </c:pt>
                <c:pt idx="54">
                  <c:v>710</c:v>
                </c:pt>
                <c:pt idx="55">
                  <c:v>810</c:v>
                </c:pt>
                <c:pt idx="56">
                  <c:v>910</c:v>
                </c:pt>
                <c:pt idx="57">
                  <c:v>1010</c:v>
                </c:pt>
                <c:pt idx="58">
                  <c:v>1110</c:v>
                </c:pt>
                <c:pt idx="59">
                  <c:v>1210</c:v>
                </c:pt>
                <c:pt idx="60">
                  <c:v>111</c:v>
                </c:pt>
                <c:pt idx="61">
                  <c:v>211</c:v>
                </c:pt>
                <c:pt idx="62">
                  <c:v>311</c:v>
                </c:pt>
                <c:pt idx="63">
                  <c:v>411</c:v>
                </c:pt>
                <c:pt idx="64">
                  <c:v>511</c:v>
                </c:pt>
                <c:pt idx="65">
                  <c:v>611</c:v>
                </c:pt>
                <c:pt idx="66">
                  <c:v>711</c:v>
                </c:pt>
                <c:pt idx="67">
                  <c:v>811</c:v>
                </c:pt>
                <c:pt idx="68">
                  <c:v>911</c:v>
                </c:pt>
                <c:pt idx="69">
                  <c:v>1011</c:v>
                </c:pt>
                <c:pt idx="70">
                  <c:v>1111</c:v>
                </c:pt>
                <c:pt idx="71">
                  <c:v>1211</c:v>
                </c:pt>
                <c:pt idx="72">
                  <c:v>112</c:v>
                </c:pt>
                <c:pt idx="73">
                  <c:v>212</c:v>
                </c:pt>
                <c:pt idx="74">
                  <c:v>312</c:v>
                </c:pt>
                <c:pt idx="75">
                  <c:v>412</c:v>
                </c:pt>
                <c:pt idx="76">
                  <c:v>512</c:v>
                </c:pt>
                <c:pt idx="77">
                  <c:v>612</c:v>
                </c:pt>
                <c:pt idx="78">
                  <c:v>712</c:v>
                </c:pt>
                <c:pt idx="79">
                  <c:v>812</c:v>
                </c:pt>
                <c:pt idx="80">
                  <c:v>912</c:v>
                </c:pt>
                <c:pt idx="81">
                  <c:v>1012</c:v>
                </c:pt>
                <c:pt idx="82">
                  <c:v>1112</c:v>
                </c:pt>
                <c:pt idx="83">
                  <c:v>1212</c:v>
                </c:pt>
                <c:pt idx="84">
                  <c:v>113</c:v>
                </c:pt>
                <c:pt idx="85">
                  <c:v>213</c:v>
                </c:pt>
                <c:pt idx="86">
                  <c:v>313</c:v>
                </c:pt>
                <c:pt idx="87">
                  <c:v>413</c:v>
                </c:pt>
                <c:pt idx="88">
                  <c:v>513</c:v>
                </c:pt>
                <c:pt idx="89">
                  <c:v>613</c:v>
                </c:pt>
                <c:pt idx="90">
                  <c:v>713</c:v>
                </c:pt>
                <c:pt idx="91">
                  <c:v>813</c:v>
                </c:pt>
                <c:pt idx="92">
                  <c:v>913</c:v>
                </c:pt>
                <c:pt idx="93">
                  <c:v>1013</c:v>
                </c:pt>
                <c:pt idx="94">
                  <c:v>1113</c:v>
                </c:pt>
                <c:pt idx="95">
                  <c:v>1213</c:v>
                </c:pt>
                <c:pt idx="96">
                  <c:v>114</c:v>
                </c:pt>
                <c:pt idx="97">
                  <c:v>214</c:v>
                </c:pt>
                <c:pt idx="98">
                  <c:v>314</c:v>
                </c:pt>
                <c:pt idx="99">
                  <c:v>414</c:v>
                </c:pt>
                <c:pt idx="100">
                  <c:v>514</c:v>
                </c:pt>
                <c:pt idx="101">
                  <c:v>614</c:v>
                </c:pt>
                <c:pt idx="102">
                  <c:v>714</c:v>
                </c:pt>
                <c:pt idx="103">
                  <c:v>814</c:v>
                </c:pt>
                <c:pt idx="104">
                  <c:v>914</c:v>
                </c:pt>
                <c:pt idx="105">
                  <c:v>1014</c:v>
                </c:pt>
                <c:pt idx="106">
                  <c:v>1114</c:v>
                </c:pt>
                <c:pt idx="107">
                  <c:v>1214</c:v>
                </c:pt>
                <c:pt idx="108">
                  <c:v>115</c:v>
                </c:pt>
                <c:pt idx="109">
                  <c:v>215</c:v>
                </c:pt>
                <c:pt idx="110">
                  <c:v>315</c:v>
                </c:pt>
                <c:pt idx="111">
                  <c:v>415</c:v>
                </c:pt>
                <c:pt idx="112">
                  <c:v>515</c:v>
                </c:pt>
                <c:pt idx="113">
                  <c:v>615</c:v>
                </c:pt>
                <c:pt idx="114">
                  <c:v>715</c:v>
                </c:pt>
                <c:pt idx="115">
                  <c:v>815</c:v>
                </c:pt>
                <c:pt idx="116">
                  <c:v>915</c:v>
                </c:pt>
                <c:pt idx="117">
                  <c:v>1015</c:v>
                </c:pt>
                <c:pt idx="118">
                  <c:v>1115</c:v>
                </c:pt>
                <c:pt idx="119">
                  <c:v>1215</c:v>
                </c:pt>
                <c:pt idx="120">
                  <c:v>116</c:v>
                </c:pt>
                <c:pt idx="121">
                  <c:v>216</c:v>
                </c:pt>
                <c:pt idx="122">
                  <c:v>316</c:v>
                </c:pt>
                <c:pt idx="123">
                  <c:v>416</c:v>
                </c:pt>
                <c:pt idx="124">
                  <c:v>516</c:v>
                </c:pt>
                <c:pt idx="125">
                  <c:v>616</c:v>
                </c:pt>
                <c:pt idx="126">
                  <c:v>716</c:v>
                </c:pt>
                <c:pt idx="127">
                  <c:v>816</c:v>
                </c:pt>
                <c:pt idx="128">
                  <c:v>916</c:v>
                </c:pt>
                <c:pt idx="129">
                  <c:v>1016</c:v>
                </c:pt>
                <c:pt idx="130">
                  <c:v>1116</c:v>
                </c:pt>
                <c:pt idx="131">
                  <c:v>1216</c:v>
                </c:pt>
                <c:pt idx="132">
                  <c:v>117</c:v>
                </c:pt>
                <c:pt idx="133">
                  <c:v>217</c:v>
                </c:pt>
                <c:pt idx="134">
                  <c:v>317</c:v>
                </c:pt>
                <c:pt idx="135">
                  <c:v>417</c:v>
                </c:pt>
                <c:pt idx="136">
                  <c:v>517</c:v>
                </c:pt>
                <c:pt idx="137">
                  <c:v>617</c:v>
                </c:pt>
                <c:pt idx="138">
                  <c:v>717</c:v>
                </c:pt>
                <c:pt idx="139">
                  <c:v>817</c:v>
                </c:pt>
                <c:pt idx="140">
                  <c:v>917</c:v>
                </c:pt>
              </c:numCache>
            </c:numRef>
          </c:cat>
          <c:val>
            <c:numRef>
              <c:f>List1!$L$2:$L$142</c:f>
              <c:numCache>
                <c:formatCode>General</c:formatCode>
                <c:ptCount val="141"/>
                <c:pt idx="0">
                  <c:v>11.68</c:v>
                </c:pt>
                <c:pt idx="1">
                  <c:v>11.69</c:v>
                </c:pt>
                <c:pt idx="2">
                  <c:v>11.66</c:v>
                </c:pt>
                <c:pt idx="3">
                  <c:v>11.68</c:v>
                </c:pt>
                <c:pt idx="4">
                  <c:v>11.64</c:v>
                </c:pt>
                <c:pt idx="5">
                  <c:v>11.68</c:v>
                </c:pt>
                <c:pt idx="6">
                  <c:v>11.69</c:v>
                </c:pt>
                <c:pt idx="7">
                  <c:v>11.63</c:v>
                </c:pt>
                <c:pt idx="8">
                  <c:v>11.62</c:v>
                </c:pt>
                <c:pt idx="9">
                  <c:v>11.64</c:v>
                </c:pt>
                <c:pt idx="10">
                  <c:v>11.58</c:v>
                </c:pt>
                <c:pt idx="11">
                  <c:v>11.67</c:v>
                </c:pt>
                <c:pt idx="12">
                  <c:v>11.66</c:v>
                </c:pt>
                <c:pt idx="13">
                  <c:v>11.91</c:v>
                </c:pt>
                <c:pt idx="14">
                  <c:v>11.9</c:v>
                </c:pt>
                <c:pt idx="15">
                  <c:v>11.950000000000003</c:v>
                </c:pt>
                <c:pt idx="16">
                  <c:v>11.850000000000003</c:v>
                </c:pt>
                <c:pt idx="17">
                  <c:v>11.93</c:v>
                </c:pt>
                <c:pt idx="18">
                  <c:v>12.11</c:v>
                </c:pt>
                <c:pt idx="19">
                  <c:v>12.17</c:v>
                </c:pt>
                <c:pt idx="20">
                  <c:v>12.24</c:v>
                </c:pt>
                <c:pt idx="21">
                  <c:v>12.71</c:v>
                </c:pt>
                <c:pt idx="22">
                  <c:v>13.4</c:v>
                </c:pt>
                <c:pt idx="23">
                  <c:v>13.450000000000003</c:v>
                </c:pt>
                <c:pt idx="24">
                  <c:v>14.66</c:v>
                </c:pt>
                <c:pt idx="25">
                  <c:v>14.62</c:v>
                </c:pt>
                <c:pt idx="26">
                  <c:v>14.65</c:v>
                </c:pt>
                <c:pt idx="27">
                  <c:v>14.59</c:v>
                </c:pt>
                <c:pt idx="28">
                  <c:v>14.38</c:v>
                </c:pt>
                <c:pt idx="29">
                  <c:v>14.4</c:v>
                </c:pt>
                <c:pt idx="30">
                  <c:v>14.39</c:v>
                </c:pt>
                <c:pt idx="31">
                  <c:v>14.3</c:v>
                </c:pt>
                <c:pt idx="32">
                  <c:v>14.21</c:v>
                </c:pt>
                <c:pt idx="33">
                  <c:v>14.360000000000003</c:v>
                </c:pt>
                <c:pt idx="34">
                  <c:v>14.370000000000003</c:v>
                </c:pt>
                <c:pt idx="35">
                  <c:v>14.28</c:v>
                </c:pt>
                <c:pt idx="36">
                  <c:v>14.15</c:v>
                </c:pt>
                <c:pt idx="37">
                  <c:v>14.02</c:v>
                </c:pt>
                <c:pt idx="38">
                  <c:v>13.4</c:v>
                </c:pt>
                <c:pt idx="39">
                  <c:v>13.51</c:v>
                </c:pt>
                <c:pt idx="40">
                  <c:v>13.27</c:v>
                </c:pt>
                <c:pt idx="41">
                  <c:v>12.99</c:v>
                </c:pt>
                <c:pt idx="42">
                  <c:v>12.58</c:v>
                </c:pt>
                <c:pt idx="43">
                  <c:v>12.53</c:v>
                </c:pt>
                <c:pt idx="44">
                  <c:v>12.28</c:v>
                </c:pt>
                <c:pt idx="45">
                  <c:v>12.06</c:v>
                </c:pt>
                <c:pt idx="46">
                  <c:v>12.26</c:v>
                </c:pt>
                <c:pt idx="47">
                  <c:v>12.18</c:v>
                </c:pt>
                <c:pt idx="48">
                  <c:v>12.44</c:v>
                </c:pt>
                <c:pt idx="49">
                  <c:v>12.350000000000003</c:v>
                </c:pt>
                <c:pt idx="50">
                  <c:v>12.42</c:v>
                </c:pt>
                <c:pt idx="51">
                  <c:v>12.22</c:v>
                </c:pt>
                <c:pt idx="52">
                  <c:v>12.16</c:v>
                </c:pt>
                <c:pt idx="53">
                  <c:v>12.17</c:v>
                </c:pt>
                <c:pt idx="54">
                  <c:v>12.19</c:v>
                </c:pt>
                <c:pt idx="55">
                  <c:v>12.17</c:v>
                </c:pt>
                <c:pt idx="56">
                  <c:v>12.21</c:v>
                </c:pt>
                <c:pt idx="57">
                  <c:v>12.43</c:v>
                </c:pt>
                <c:pt idx="58">
                  <c:v>12.56</c:v>
                </c:pt>
                <c:pt idx="59">
                  <c:v>12.42</c:v>
                </c:pt>
                <c:pt idx="60">
                  <c:v>12.47</c:v>
                </c:pt>
                <c:pt idx="61">
                  <c:v>12.49</c:v>
                </c:pt>
                <c:pt idx="62">
                  <c:v>12.58</c:v>
                </c:pt>
                <c:pt idx="63">
                  <c:v>12.58</c:v>
                </c:pt>
                <c:pt idx="64">
                  <c:v>12.71</c:v>
                </c:pt>
                <c:pt idx="65">
                  <c:v>12.84</c:v>
                </c:pt>
                <c:pt idx="66">
                  <c:v>12.72</c:v>
                </c:pt>
                <c:pt idx="67">
                  <c:v>12.81</c:v>
                </c:pt>
                <c:pt idx="68">
                  <c:v>12.77</c:v>
                </c:pt>
                <c:pt idx="69">
                  <c:v>12.94</c:v>
                </c:pt>
                <c:pt idx="70">
                  <c:v>12.75</c:v>
                </c:pt>
                <c:pt idx="71">
                  <c:v>12.83</c:v>
                </c:pt>
                <c:pt idx="72">
                  <c:v>13.25</c:v>
                </c:pt>
                <c:pt idx="73" formatCode="0.00">
                  <c:v>12.99</c:v>
                </c:pt>
                <c:pt idx="74" formatCode="0.00">
                  <c:v>13.22</c:v>
                </c:pt>
                <c:pt idx="75" formatCode="0.00">
                  <c:v>13.2</c:v>
                </c:pt>
                <c:pt idx="76" formatCode="0.00">
                  <c:v>12.96</c:v>
                </c:pt>
                <c:pt idx="77" formatCode="0.00">
                  <c:v>13.02</c:v>
                </c:pt>
                <c:pt idx="78" formatCode="0.00">
                  <c:v>13</c:v>
                </c:pt>
                <c:pt idx="79" formatCode="0.00">
                  <c:v>12.69</c:v>
                </c:pt>
                <c:pt idx="80" formatCode="0.00">
                  <c:v>12.870000000000003</c:v>
                </c:pt>
                <c:pt idx="81" formatCode="0.00">
                  <c:v>12.69</c:v>
                </c:pt>
                <c:pt idx="82" formatCode="0.00">
                  <c:v>12.89</c:v>
                </c:pt>
                <c:pt idx="83" formatCode="0.00">
                  <c:v>12.5</c:v>
                </c:pt>
                <c:pt idx="84">
                  <c:v>12.55</c:v>
                </c:pt>
                <c:pt idx="85">
                  <c:v>12.39</c:v>
                </c:pt>
                <c:pt idx="86">
                  <c:v>12.42</c:v>
                </c:pt>
                <c:pt idx="87">
                  <c:v>12.4</c:v>
                </c:pt>
                <c:pt idx="88">
                  <c:v>12.5</c:v>
                </c:pt>
                <c:pt idx="89">
                  <c:v>12.75</c:v>
                </c:pt>
                <c:pt idx="90">
                  <c:v>12.78</c:v>
                </c:pt>
                <c:pt idx="91">
                  <c:v>12.96</c:v>
                </c:pt>
                <c:pt idx="92">
                  <c:v>13.4</c:v>
                </c:pt>
                <c:pt idx="93">
                  <c:v>13.51</c:v>
                </c:pt>
                <c:pt idx="94">
                  <c:v>13.56</c:v>
                </c:pt>
                <c:pt idx="95">
                  <c:v>13.58</c:v>
                </c:pt>
                <c:pt idx="96">
                  <c:v>13.67</c:v>
                </c:pt>
                <c:pt idx="97">
                  <c:v>13.81</c:v>
                </c:pt>
                <c:pt idx="98">
                  <c:v>13.88</c:v>
                </c:pt>
                <c:pt idx="99">
                  <c:v>13.83</c:v>
                </c:pt>
                <c:pt idx="100">
                  <c:v>13.82</c:v>
                </c:pt>
                <c:pt idx="101">
                  <c:v>13.93</c:v>
                </c:pt>
                <c:pt idx="102">
                  <c:v>13.96</c:v>
                </c:pt>
                <c:pt idx="103">
                  <c:v>14.1</c:v>
                </c:pt>
                <c:pt idx="104">
                  <c:v>13.79</c:v>
                </c:pt>
                <c:pt idx="105">
                  <c:v>13.78</c:v>
                </c:pt>
                <c:pt idx="106">
                  <c:v>13.47</c:v>
                </c:pt>
                <c:pt idx="107">
                  <c:v>13.38</c:v>
                </c:pt>
                <c:pt idx="108">
                  <c:v>13.64</c:v>
                </c:pt>
                <c:pt idx="109">
                  <c:v>13.39</c:v>
                </c:pt>
                <c:pt idx="110">
                  <c:v>13.24</c:v>
                </c:pt>
                <c:pt idx="111">
                  <c:v>13.3</c:v>
                </c:pt>
                <c:pt idx="112">
                  <c:v>12.88</c:v>
                </c:pt>
                <c:pt idx="113">
                  <c:v>12.88</c:v>
                </c:pt>
                <c:pt idx="114">
                  <c:v>12.75</c:v>
                </c:pt>
                <c:pt idx="115">
                  <c:v>12.74</c:v>
                </c:pt>
                <c:pt idx="116">
                  <c:v>12.4</c:v>
                </c:pt>
                <c:pt idx="117">
                  <c:v>12.44</c:v>
                </c:pt>
                <c:pt idx="118">
                  <c:v>12.370000000000003</c:v>
                </c:pt>
                <c:pt idx="119">
                  <c:v>12.33</c:v>
                </c:pt>
                <c:pt idx="120">
                  <c:v>12.32</c:v>
                </c:pt>
                <c:pt idx="121">
                  <c:v>12.23</c:v>
                </c:pt>
                <c:pt idx="122">
                  <c:v>11.870000000000003</c:v>
                </c:pt>
                <c:pt idx="123">
                  <c:v>11.9</c:v>
                </c:pt>
                <c:pt idx="124">
                  <c:v>11.43</c:v>
                </c:pt>
                <c:pt idx="125">
                  <c:v>11.17</c:v>
                </c:pt>
                <c:pt idx="126">
                  <c:v>10.74</c:v>
                </c:pt>
                <c:pt idx="127">
                  <c:v>10.75</c:v>
                </c:pt>
                <c:pt idx="128">
                  <c:v>10.76</c:v>
                </c:pt>
                <c:pt idx="129">
                  <c:v>10.74</c:v>
                </c:pt>
                <c:pt idx="130">
                  <c:v>10.83</c:v>
                </c:pt>
                <c:pt idx="131">
                  <c:v>10.860000000000003</c:v>
                </c:pt>
                <c:pt idx="132">
                  <c:v>11.08</c:v>
                </c:pt>
                <c:pt idx="133">
                  <c:v>11.16</c:v>
                </c:pt>
                <c:pt idx="134">
                  <c:v>11.49</c:v>
                </c:pt>
                <c:pt idx="135">
                  <c:v>11.39</c:v>
                </c:pt>
                <c:pt idx="136">
                  <c:v>11.39</c:v>
                </c:pt>
                <c:pt idx="137">
                  <c:v>11.31</c:v>
                </c:pt>
                <c:pt idx="138">
                  <c:v>11.39</c:v>
                </c:pt>
                <c:pt idx="139">
                  <c:v>11.41</c:v>
                </c:pt>
                <c:pt idx="140">
                  <c:v>11.62</c:v>
                </c:pt>
              </c:numCache>
            </c:numRef>
          </c:val>
          <c:extLst xmlns:c16r2="http://schemas.microsoft.com/office/drawing/2015/06/chart">
            <c:ext xmlns:c16="http://schemas.microsoft.com/office/drawing/2014/chart" uri="{C3380CC4-5D6E-409C-BE32-E72D297353CC}">
              <c16:uniqueId val="{00000003-78CD-4C9A-BBDA-E8C20E78AF61}"/>
            </c:ext>
          </c:extLst>
        </c:ser>
        <c:ser>
          <c:idx val="1"/>
          <c:order val="1"/>
          <c:tx>
            <c:strRef>
              <c:f>List1!$O$1</c:f>
              <c:strCache>
                <c:ptCount val="1"/>
                <c:pt idx="0">
                  <c:v>MlékoSC</c:v>
                </c:pt>
              </c:strCache>
            </c:strRef>
          </c:tx>
          <c:spPr>
            <a:ln>
              <a:solidFill>
                <a:srgbClr val="C00000"/>
              </a:solidFill>
            </a:ln>
          </c:spPr>
          <c:marker>
            <c:symbol val="none"/>
          </c:marker>
          <c:trendline>
            <c:spPr>
              <a:ln>
                <a:solidFill>
                  <a:schemeClr val="accent2">
                    <a:lumMod val="75000"/>
                  </a:schemeClr>
                </a:solidFill>
                <a:prstDash val="sysDash"/>
              </a:ln>
            </c:spPr>
            <c:trendlineType val="linear"/>
            <c:dispRSqr val="1"/>
            <c:trendlineLbl>
              <c:layout>
                <c:manualLayout>
                  <c:x val="7.7718954072720484E-4"/>
                  <c:y val="-4.0698020855501206E-2"/>
                </c:manualLayout>
              </c:layout>
              <c:numFmt formatCode="General" sourceLinked="0"/>
            </c:trendlineLbl>
          </c:trendline>
          <c:cat>
            <c:numRef>
              <c:f>List1!$A$2:$A$142</c:f>
              <c:numCache>
                <c:formatCode>General</c:formatCode>
                <c:ptCount val="141"/>
                <c:pt idx="0">
                  <c:v>106</c:v>
                </c:pt>
                <c:pt idx="1">
                  <c:v>206</c:v>
                </c:pt>
                <c:pt idx="2">
                  <c:v>306</c:v>
                </c:pt>
                <c:pt idx="3">
                  <c:v>406</c:v>
                </c:pt>
                <c:pt idx="4">
                  <c:v>506</c:v>
                </c:pt>
                <c:pt idx="5">
                  <c:v>606</c:v>
                </c:pt>
                <c:pt idx="6">
                  <c:v>706</c:v>
                </c:pt>
                <c:pt idx="7">
                  <c:v>806</c:v>
                </c:pt>
                <c:pt idx="8">
                  <c:v>906</c:v>
                </c:pt>
                <c:pt idx="9">
                  <c:v>1006</c:v>
                </c:pt>
                <c:pt idx="10">
                  <c:v>1106</c:v>
                </c:pt>
                <c:pt idx="11">
                  <c:v>1206</c:v>
                </c:pt>
                <c:pt idx="12">
                  <c:v>107</c:v>
                </c:pt>
                <c:pt idx="13">
                  <c:v>207</c:v>
                </c:pt>
                <c:pt idx="14">
                  <c:v>307</c:v>
                </c:pt>
                <c:pt idx="15">
                  <c:v>407</c:v>
                </c:pt>
                <c:pt idx="16">
                  <c:v>507</c:v>
                </c:pt>
                <c:pt idx="17">
                  <c:v>607</c:v>
                </c:pt>
                <c:pt idx="18">
                  <c:v>707</c:v>
                </c:pt>
                <c:pt idx="19">
                  <c:v>807</c:v>
                </c:pt>
                <c:pt idx="20">
                  <c:v>907</c:v>
                </c:pt>
                <c:pt idx="21">
                  <c:v>1007</c:v>
                </c:pt>
                <c:pt idx="22">
                  <c:v>1107</c:v>
                </c:pt>
                <c:pt idx="23">
                  <c:v>1207</c:v>
                </c:pt>
                <c:pt idx="24">
                  <c:v>108</c:v>
                </c:pt>
                <c:pt idx="25">
                  <c:v>208</c:v>
                </c:pt>
                <c:pt idx="26">
                  <c:v>308</c:v>
                </c:pt>
                <c:pt idx="27">
                  <c:v>408</c:v>
                </c:pt>
                <c:pt idx="28">
                  <c:v>508</c:v>
                </c:pt>
                <c:pt idx="29">
                  <c:v>608</c:v>
                </c:pt>
                <c:pt idx="30">
                  <c:v>708</c:v>
                </c:pt>
                <c:pt idx="31">
                  <c:v>808</c:v>
                </c:pt>
                <c:pt idx="32">
                  <c:v>908</c:v>
                </c:pt>
                <c:pt idx="33">
                  <c:v>1008</c:v>
                </c:pt>
                <c:pt idx="34">
                  <c:v>1108</c:v>
                </c:pt>
                <c:pt idx="35">
                  <c:v>1208</c:v>
                </c:pt>
                <c:pt idx="36">
                  <c:v>109</c:v>
                </c:pt>
                <c:pt idx="37">
                  <c:v>209</c:v>
                </c:pt>
                <c:pt idx="38">
                  <c:v>309</c:v>
                </c:pt>
                <c:pt idx="39">
                  <c:v>409</c:v>
                </c:pt>
                <c:pt idx="40">
                  <c:v>509</c:v>
                </c:pt>
                <c:pt idx="41">
                  <c:v>609</c:v>
                </c:pt>
                <c:pt idx="42">
                  <c:v>709</c:v>
                </c:pt>
                <c:pt idx="43">
                  <c:v>809</c:v>
                </c:pt>
                <c:pt idx="44">
                  <c:v>909</c:v>
                </c:pt>
                <c:pt idx="45">
                  <c:v>1009</c:v>
                </c:pt>
                <c:pt idx="46">
                  <c:v>1109</c:v>
                </c:pt>
                <c:pt idx="47">
                  <c:v>1209</c:v>
                </c:pt>
                <c:pt idx="48">
                  <c:v>110</c:v>
                </c:pt>
                <c:pt idx="49">
                  <c:v>210</c:v>
                </c:pt>
                <c:pt idx="50">
                  <c:v>310</c:v>
                </c:pt>
                <c:pt idx="51">
                  <c:v>410</c:v>
                </c:pt>
                <c:pt idx="52">
                  <c:v>510</c:v>
                </c:pt>
                <c:pt idx="53">
                  <c:v>610</c:v>
                </c:pt>
                <c:pt idx="54">
                  <c:v>710</c:v>
                </c:pt>
                <c:pt idx="55">
                  <c:v>810</c:v>
                </c:pt>
                <c:pt idx="56">
                  <c:v>910</c:v>
                </c:pt>
                <c:pt idx="57">
                  <c:v>1010</c:v>
                </c:pt>
                <c:pt idx="58">
                  <c:v>1110</c:v>
                </c:pt>
                <c:pt idx="59">
                  <c:v>1210</c:v>
                </c:pt>
                <c:pt idx="60">
                  <c:v>111</c:v>
                </c:pt>
                <c:pt idx="61">
                  <c:v>211</c:v>
                </c:pt>
                <c:pt idx="62">
                  <c:v>311</c:v>
                </c:pt>
                <c:pt idx="63">
                  <c:v>411</c:v>
                </c:pt>
                <c:pt idx="64">
                  <c:v>511</c:v>
                </c:pt>
                <c:pt idx="65">
                  <c:v>611</c:v>
                </c:pt>
                <c:pt idx="66">
                  <c:v>711</c:v>
                </c:pt>
                <c:pt idx="67">
                  <c:v>811</c:v>
                </c:pt>
                <c:pt idx="68">
                  <c:v>911</c:v>
                </c:pt>
                <c:pt idx="69">
                  <c:v>1011</c:v>
                </c:pt>
                <c:pt idx="70">
                  <c:v>1111</c:v>
                </c:pt>
                <c:pt idx="71">
                  <c:v>1211</c:v>
                </c:pt>
                <c:pt idx="72">
                  <c:v>112</c:v>
                </c:pt>
                <c:pt idx="73">
                  <c:v>212</c:v>
                </c:pt>
                <c:pt idx="74">
                  <c:v>312</c:v>
                </c:pt>
                <c:pt idx="75">
                  <c:v>412</c:v>
                </c:pt>
                <c:pt idx="76">
                  <c:v>512</c:v>
                </c:pt>
                <c:pt idx="77">
                  <c:v>612</c:v>
                </c:pt>
                <c:pt idx="78">
                  <c:v>712</c:v>
                </c:pt>
                <c:pt idx="79">
                  <c:v>812</c:v>
                </c:pt>
                <c:pt idx="80">
                  <c:v>912</c:v>
                </c:pt>
                <c:pt idx="81">
                  <c:v>1012</c:v>
                </c:pt>
                <c:pt idx="82">
                  <c:v>1112</c:v>
                </c:pt>
                <c:pt idx="83">
                  <c:v>1212</c:v>
                </c:pt>
                <c:pt idx="84">
                  <c:v>113</c:v>
                </c:pt>
                <c:pt idx="85">
                  <c:v>213</c:v>
                </c:pt>
                <c:pt idx="86">
                  <c:v>313</c:v>
                </c:pt>
                <c:pt idx="87">
                  <c:v>413</c:v>
                </c:pt>
                <c:pt idx="88">
                  <c:v>513</c:v>
                </c:pt>
                <c:pt idx="89">
                  <c:v>613</c:v>
                </c:pt>
                <c:pt idx="90">
                  <c:v>713</c:v>
                </c:pt>
                <c:pt idx="91">
                  <c:v>813</c:v>
                </c:pt>
                <c:pt idx="92">
                  <c:v>913</c:v>
                </c:pt>
                <c:pt idx="93">
                  <c:v>1013</c:v>
                </c:pt>
                <c:pt idx="94">
                  <c:v>1113</c:v>
                </c:pt>
                <c:pt idx="95">
                  <c:v>1213</c:v>
                </c:pt>
                <c:pt idx="96">
                  <c:v>114</c:v>
                </c:pt>
                <c:pt idx="97">
                  <c:v>214</c:v>
                </c:pt>
                <c:pt idx="98">
                  <c:v>314</c:v>
                </c:pt>
                <c:pt idx="99">
                  <c:v>414</c:v>
                </c:pt>
                <c:pt idx="100">
                  <c:v>514</c:v>
                </c:pt>
                <c:pt idx="101">
                  <c:v>614</c:v>
                </c:pt>
                <c:pt idx="102">
                  <c:v>714</c:v>
                </c:pt>
                <c:pt idx="103">
                  <c:v>814</c:v>
                </c:pt>
                <c:pt idx="104">
                  <c:v>914</c:v>
                </c:pt>
                <c:pt idx="105">
                  <c:v>1014</c:v>
                </c:pt>
                <c:pt idx="106">
                  <c:v>1114</c:v>
                </c:pt>
                <c:pt idx="107">
                  <c:v>1214</c:v>
                </c:pt>
                <c:pt idx="108">
                  <c:v>115</c:v>
                </c:pt>
                <c:pt idx="109">
                  <c:v>215</c:v>
                </c:pt>
                <c:pt idx="110">
                  <c:v>315</c:v>
                </c:pt>
                <c:pt idx="111">
                  <c:v>415</c:v>
                </c:pt>
                <c:pt idx="112">
                  <c:v>515</c:v>
                </c:pt>
                <c:pt idx="113">
                  <c:v>615</c:v>
                </c:pt>
                <c:pt idx="114">
                  <c:v>715</c:v>
                </c:pt>
                <c:pt idx="115">
                  <c:v>815</c:v>
                </c:pt>
                <c:pt idx="116">
                  <c:v>915</c:v>
                </c:pt>
                <c:pt idx="117">
                  <c:v>1015</c:v>
                </c:pt>
                <c:pt idx="118">
                  <c:v>1115</c:v>
                </c:pt>
                <c:pt idx="119">
                  <c:v>1215</c:v>
                </c:pt>
                <c:pt idx="120">
                  <c:v>116</c:v>
                </c:pt>
                <c:pt idx="121">
                  <c:v>216</c:v>
                </c:pt>
                <c:pt idx="122">
                  <c:v>316</c:v>
                </c:pt>
                <c:pt idx="123">
                  <c:v>416</c:v>
                </c:pt>
                <c:pt idx="124">
                  <c:v>516</c:v>
                </c:pt>
                <c:pt idx="125">
                  <c:v>616</c:v>
                </c:pt>
                <c:pt idx="126">
                  <c:v>716</c:v>
                </c:pt>
                <c:pt idx="127">
                  <c:v>816</c:v>
                </c:pt>
                <c:pt idx="128">
                  <c:v>916</c:v>
                </c:pt>
                <c:pt idx="129">
                  <c:v>1016</c:v>
                </c:pt>
                <c:pt idx="130">
                  <c:v>1116</c:v>
                </c:pt>
                <c:pt idx="131">
                  <c:v>1216</c:v>
                </c:pt>
                <c:pt idx="132">
                  <c:v>117</c:v>
                </c:pt>
                <c:pt idx="133">
                  <c:v>217</c:v>
                </c:pt>
                <c:pt idx="134">
                  <c:v>317</c:v>
                </c:pt>
                <c:pt idx="135">
                  <c:v>417</c:v>
                </c:pt>
                <c:pt idx="136">
                  <c:v>517</c:v>
                </c:pt>
                <c:pt idx="137">
                  <c:v>617</c:v>
                </c:pt>
                <c:pt idx="138">
                  <c:v>717</c:v>
                </c:pt>
                <c:pt idx="139">
                  <c:v>817</c:v>
                </c:pt>
                <c:pt idx="140">
                  <c:v>917</c:v>
                </c:pt>
              </c:numCache>
            </c:numRef>
          </c:cat>
          <c:val>
            <c:numRef>
              <c:f>List1!$O$2:$O$142</c:f>
              <c:numCache>
                <c:formatCode>General</c:formatCode>
                <c:ptCount val="141"/>
                <c:pt idx="0">
                  <c:v>14.23</c:v>
                </c:pt>
                <c:pt idx="1">
                  <c:v>14.12</c:v>
                </c:pt>
                <c:pt idx="2">
                  <c:v>14.39</c:v>
                </c:pt>
                <c:pt idx="3">
                  <c:v>14.34</c:v>
                </c:pt>
                <c:pt idx="4">
                  <c:v>14.42</c:v>
                </c:pt>
                <c:pt idx="5">
                  <c:v>14.34</c:v>
                </c:pt>
                <c:pt idx="6">
                  <c:v>14.41</c:v>
                </c:pt>
                <c:pt idx="7">
                  <c:v>14.450000000000003</c:v>
                </c:pt>
                <c:pt idx="8">
                  <c:v>14.48</c:v>
                </c:pt>
                <c:pt idx="9">
                  <c:v>14.450000000000003</c:v>
                </c:pt>
                <c:pt idx="10">
                  <c:v>14.450000000000003</c:v>
                </c:pt>
                <c:pt idx="11">
                  <c:v>14.4</c:v>
                </c:pt>
                <c:pt idx="12">
                  <c:v>14.43</c:v>
                </c:pt>
                <c:pt idx="13">
                  <c:v>14.49</c:v>
                </c:pt>
                <c:pt idx="14">
                  <c:v>14.65</c:v>
                </c:pt>
                <c:pt idx="15">
                  <c:v>14.7</c:v>
                </c:pt>
                <c:pt idx="16">
                  <c:v>14.83</c:v>
                </c:pt>
                <c:pt idx="17">
                  <c:v>15.1</c:v>
                </c:pt>
                <c:pt idx="18">
                  <c:v>15.44</c:v>
                </c:pt>
                <c:pt idx="19">
                  <c:v>15.42</c:v>
                </c:pt>
                <c:pt idx="20">
                  <c:v>15.3</c:v>
                </c:pt>
                <c:pt idx="21">
                  <c:v>16.670000000000005</c:v>
                </c:pt>
                <c:pt idx="22">
                  <c:v>17.54</c:v>
                </c:pt>
                <c:pt idx="23">
                  <c:v>17.84</c:v>
                </c:pt>
                <c:pt idx="24">
                  <c:v>18.21</c:v>
                </c:pt>
                <c:pt idx="25">
                  <c:v>18.170000000000005</c:v>
                </c:pt>
                <c:pt idx="26">
                  <c:v>18.899999999999999</c:v>
                </c:pt>
                <c:pt idx="27">
                  <c:v>18.12</c:v>
                </c:pt>
                <c:pt idx="28">
                  <c:v>17.72</c:v>
                </c:pt>
                <c:pt idx="29">
                  <c:v>17.8</c:v>
                </c:pt>
                <c:pt idx="30">
                  <c:v>17.7</c:v>
                </c:pt>
                <c:pt idx="31">
                  <c:v>17.7</c:v>
                </c:pt>
                <c:pt idx="32">
                  <c:v>17.55</c:v>
                </c:pt>
                <c:pt idx="33">
                  <c:v>17.54</c:v>
                </c:pt>
                <c:pt idx="34">
                  <c:v>17.439999999999994</c:v>
                </c:pt>
                <c:pt idx="35">
                  <c:v>17.279999999999994</c:v>
                </c:pt>
                <c:pt idx="36">
                  <c:v>16.89</c:v>
                </c:pt>
                <c:pt idx="37">
                  <c:v>16.45</c:v>
                </c:pt>
                <c:pt idx="38">
                  <c:v>15.79</c:v>
                </c:pt>
                <c:pt idx="39">
                  <c:v>15.8</c:v>
                </c:pt>
                <c:pt idx="40">
                  <c:v>15.61</c:v>
                </c:pt>
                <c:pt idx="41">
                  <c:v>15.76</c:v>
                </c:pt>
                <c:pt idx="42">
                  <c:v>15.22</c:v>
                </c:pt>
                <c:pt idx="43">
                  <c:v>14.73</c:v>
                </c:pt>
                <c:pt idx="44">
                  <c:v>14.99</c:v>
                </c:pt>
                <c:pt idx="45">
                  <c:v>14.97</c:v>
                </c:pt>
                <c:pt idx="46">
                  <c:v>15.21</c:v>
                </c:pt>
                <c:pt idx="47">
                  <c:v>15.32</c:v>
                </c:pt>
                <c:pt idx="48">
                  <c:v>15.73</c:v>
                </c:pt>
                <c:pt idx="49">
                  <c:v>15.79</c:v>
                </c:pt>
                <c:pt idx="50">
                  <c:v>15</c:v>
                </c:pt>
                <c:pt idx="51">
                  <c:v>15.74</c:v>
                </c:pt>
                <c:pt idx="52">
                  <c:v>15.43</c:v>
                </c:pt>
                <c:pt idx="53">
                  <c:v>15.4</c:v>
                </c:pt>
                <c:pt idx="54">
                  <c:v>16.579999999999991</c:v>
                </c:pt>
                <c:pt idx="55">
                  <c:v>16.71</c:v>
                </c:pt>
                <c:pt idx="56">
                  <c:v>16.27</c:v>
                </c:pt>
                <c:pt idx="57">
                  <c:v>16.809999999999999</c:v>
                </c:pt>
                <c:pt idx="58">
                  <c:v>16.62</c:v>
                </c:pt>
                <c:pt idx="59">
                  <c:v>16.170000000000005</c:v>
                </c:pt>
                <c:pt idx="60">
                  <c:v>16.670000000000005</c:v>
                </c:pt>
                <c:pt idx="61">
                  <c:v>16.62</c:v>
                </c:pt>
                <c:pt idx="62">
                  <c:v>17.53</c:v>
                </c:pt>
                <c:pt idx="63">
                  <c:v>17.77</c:v>
                </c:pt>
                <c:pt idx="64">
                  <c:v>17.95</c:v>
                </c:pt>
                <c:pt idx="65">
                  <c:v>17.5</c:v>
                </c:pt>
                <c:pt idx="66">
                  <c:v>17.939999999999994</c:v>
                </c:pt>
                <c:pt idx="67">
                  <c:v>17.809999999999999</c:v>
                </c:pt>
                <c:pt idx="68">
                  <c:v>17.479999999999993</c:v>
                </c:pt>
                <c:pt idx="69">
                  <c:v>17.82</c:v>
                </c:pt>
                <c:pt idx="70">
                  <c:v>18.03</c:v>
                </c:pt>
                <c:pt idx="71">
                  <c:v>18.45</c:v>
                </c:pt>
                <c:pt idx="72">
                  <c:v>19</c:v>
                </c:pt>
                <c:pt idx="73">
                  <c:v>18.170000000000005</c:v>
                </c:pt>
                <c:pt idx="74">
                  <c:v>19.12</c:v>
                </c:pt>
                <c:pt idx="75">
                  <c:v>18.75</c:v>
                </c:pt>
                <c:pt idx="76">
                  <c:v>19.610000000000007</c:v>
                </c:pt>
                <c:pt idx="77">
                  <c:v>18.920000000000002</c:v>
                </c:pt>
                <c:pt idx="78">
                  <c:v>18.489999999999984</c:v>
                </c:pt>
                <c:pt idx="79">
                  <c:v>18.52</c:v>
                </c:pt>
                <c:pt idx="80">
                  <c:v>18.34</c:v>
                </c:pt>
                <c:pt idx="81">
                  <c:v>19.170000000000005</c:v>
                </c:pt>
                <c:pt idx="82">
                  <c:v>18.34</c:v>
                </c:pt>
                <c:pt idx="83">
                  <c:v>18.32</c:v>
                </c:pt>
                <c:pt idx="84">
                  <c:v>19.3</c:v>
                </c:pt>
                <c:pt idx="85">
                  <c:v>19.18</c:v>
                </c:pt>
                <c:pt idx="86">
                  <c:v>19.279999999999994</c:v>
                </c:pt>
                <c:pt idx="87">
                  <c:v>18.989999999999984</c:v>
                </c:pt>
                <c:pt idx="88">
                  <c:v>18.68</c:v>
                </c:pt>
                <c:pt idx="89">
                  <c:v>19.079999999999991</c:v>
                </c:pt>
                <c:pt idx="90">
                  <c:v>19.21</c:v>
                </c:pt>
                <c:pt idx="91">
                  <c:v>19.03</c:v>
                </c:pt>
                <c:pt idx="92">
                  <c:v>19.14</c:v>
                </c:pt>
                <c:pt idx="93">
                  <c:v>19.489999999999984</c:v>
                </c:pt>
                <c:pt idx="94">
                  <c:v>19.489999999999984</c:v>
                </c:pt>
                <c:pt idx="95">
                  <c:v>20.49</c:v>
                </c:pt>
                <c:pt idx="96">
                  <c:v>19.86</c:v>
                </c:pt>
                <c:pt idx="97">
                  <c:v>19.959999999999994</c:v>
                </c:pt>
                <c:pt idx="98">
                  <c:v>21.07</c:v>
                </c:pt>
                <c:pt idx="99">
                  <c:v>21.18</c:v>
                </c:pt>
                <c:pt idx="100">
                  <c:v>21.07</c:v>
                </c:pt>
                <c:pt idx="101">
                  <c:v>21.05</c:v>
                </c:pt>
                <c:pt idx="102">
                  <c:v>21.14</c:v>
                </c:pt>
                <c:pt idx="103">
                  <c:v>20.830000000000005</c:v>
                </c:pt>
                <c:pt idx="104">
                  <c:v>20.21</c:v>
                </c:pt>
                <c:pt idx="105">
                  <c:v>21.07</c:v>
                </c:pt>
                <c:pt idx="106">
                  <c:v>20.9</c:v>
                </c:pt>
                <c:pt idx="107">
                  <c:v>20.59</c:v>
                </c:pt>
                <c:pt idx="108">
                  <c:v>20.329999999999991</c:v>
                </c:pt>
                <c:pt idx="109">
                  <c:v>21.04</c:v>
                </c:pt>
                <c:pt idx="110">
                  <c:v>20.8</c:v>
                </c:pt>
                <c:pt idx="111">
                  <c:v>20.52</c:v>
                </c:pt>
                <c:pt idx="112">
                  <c:v>20.27</c:v>
                </c:pt>
                <c:pt idx="113">
                  <c:v>19.86</c:v>
                </c:pt>
                <c:pt idx="114">
                  <c:v>18.62</c:v>
                </c:pt>
                <c:pt idx="115">
                  <c:v>18.979999999999993</c:v>
                </c:pt>
                <c:pt idx="116">
                  <c:v>19.07</c:v>
                </c:pt>
                <c:pt idx="117">
                  <c:v>19.510000000000005</c:v>
                </c:pt>
                <c:pt idx="118">
                  <c:v>18.55</c:v>
                </c:pt>
                <c:pt idx="119">
                  <c:v>17.8</c:v>
                </c:pt>
                <c:pt idx="120">
                  <c:v>19.21</c:v>
                </c:pt>
                <c:pt idx="121">
                  <c:v>18.739999999999991</c:v>
                </c:pt>
                <c:pt idx="122">
                  <c:v>17.53</c:v>
                </c:pt>
                <c:pt idx="123">
                  <c:v>18.59</c:v>
                </c:pt>
                <c:pt idx="124">
                  <c:v>17.809999999999999</c:v>
                </c:pt>
                <c:pt idx="125">
                  <c:v>17.439999999999994</c:v>
                </c:pt>
                <c:pt idx="126">
                  <c:v>16.86</c:v>
                </c:pt>
                <c:pt idx="127">
                  <c:v>17.630000000000006</c:v>
                </c:pt>
                <c:pt idx="128">
                  <c:v>17.27</c:v>
                </c:pt>
                <c:pt idx="129">
                  <c:v>17.89</c:v>
                </c:pt>
                <c:pt idx="130">
                  <c:v>18.32</c:v>
                </c:pt>
                <c:pt idx="131">
                  <c:v>18.610000000000007</c:v>
                </c:pt>
                <c:pt idx="132">
                  <c:v>18.73</c:v>
                </c:pt>
                <c:pt idx="133">
                  <c:v>19.350000000000001</c:v>
                </c:pt>
                <c:pt idx="134">
                  <c:v>19.04</c:v>
                </c:pt>
                <c:pt idx="135">
                  <c:v>19.8</c:v>
                </c:pt>
                <c:pt idx="136">
                  <c:v>18.71</c:v>
                </c:pt>
                <c:pt idx="137">
                  <c:v>19.579999999999991</c:v>
                </c:pt>
                <c:pt idx="138">
                  <c:v>19.45</c:v>
                </c:pt>
                <c:pt idx="139">
                  <c:v>20.100000000000001</c:v>
                </c:pt>
                <c:pt idx="140">
                  <c:v>19.72</c:v>
                </c:pt>
              </c:numCache>
            </c:numRef>
          </c:val>
          <c:extLst xmlns:c16r2="http://schemas.microsoft.com/office/drawing/2015/06/chart">
            <c:ext xmlns:c16="http://schemas.microsoft.com/office/drawing/2014/chart" uri="{C3380CC4-5D6E-409C-BE32-E72D297353CC}">
              <c16:uniqueId val="{00000005-78CD-4C9A-BBDA-E8C20E78AF61}"/>
            </c:ext>
          </c:extLst>
        </c:ser>
        <c:marker val="1"/>
        <c:axId val="226914688"/>
        <c:axId val="226900608"/>
      </c:lineChart>
      <c:catAx>
        <c:axId val="226889088"/>
        <c:scaling>
          <c:orientation val="minMax"/>
        </c:scaling>
        <c:axPos val="b"/>
        <c:numFmt formatCode="General" sourceLinked="1"/>
        <c:tickLblPos val="nextTo"/>
        <c:crossAx val="226899072"/>
        <c:crosses val="autoZero"/>
        <c:auto val="1"/>
        <c:lblAlgn val="ctr"/>
        <c:lblOffset val="100"/>
      </c:catAx>
      <c:valAx>
        <c:axId val="226899072"/>
        <c:scaling>
          <c:orientation val="minMax"/>
          <c:min val="10"/>
        </c:scaling>
        <c:axPos val="l"/>
        <c:majorGridlines/>
        <c:numFmt formatCode="General" sourceLinked="1"/>
        <c:tickLblPos val="nextTo"/>
        <c:crossAx val="226889088"/>
        <c:crosses val="autoZero"/>
        <c:crossBetween val="between"/>
      </c:valAx>
      <c:valAx>
        <c:axId val="226900608"/>
        <c:scaling>
          <c:orientation val="minMax"/>
        </c:scaling>
        <c:axPos val="r"/>
        <c:numFmt formatCode="General" sourceLinked="1"/>
        <c:tickLblPos val="nextTo"/>
        <c:crossAx val="226914688"/>
        <c:crosses val="max"/>
        <c:crossBetween val="between"/>
      </c:valAx>
      <c:catAx>
        <c:axId val="226914688"/>
        <c:scaling>
          <c:orientation val="minMax"/>
        </c:scaling>
        <c:delete val="1"/>
        <c:axPos val="b"/>
        <c:numFmt formatCode="General" sourceLinked="1"/>
        <c:tickLblPos val="none"/>
        <c:crossAx val="226900608"/>
        <c:crosses val="autoZero"/>
        <c:auto val="1"/>
        <c:lblAlgn val="ctr"/>
        <c:lblOffset val="100"/>
      </c:catAx>
    </c:plotArea>
    <c:legend>
      <c:legendPos val="b"/>
      <c:layout>
        <c:manualLayout>
          <c:xMode val="edge"/>
          <c:yMode val="edge"/>
          <c:x val="0.11030818350772328"/>
          <c:y val="0.83444060310491264"/>
          <c:w val="0.77938363298455371"/>
          <c:h val="0.13805618472607431"/>
        </c:manualLayout>
      </c:layout>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cs-CZ"/>
  <c:chart>
    <c:plotArea>
      <c:layout>
        <c:manualLayout>
          <c:layoutTarget val="inner"/>
          <c:xMode val="edge"/>
          <c:yMode val="edge"/>
          <c:x val="9.3569361443542762E-2"/>
          <c:y val="5.0894154293727303E-2"/>
          <c:w val="0.83593177561755483"/>
          <c:h val="0.63304649533347179"/>
        </c:manualLayout>
      </c:layout>
      <c:lineChart>
        <c:grouping val="standard"/>
        <c:ser>
          <c:idx val="2"/>
          <c:order val="2"/>
          <c:tx>
            <c:strRef>
              <c:f>List1!$B$1</c:f>
              <c:strCache>
                <c:ptCount val="1"/>
                <c:pt idx="0">
                  <c:v>Prasata jatečná</c:v>
                </c:pt>
              </c:strCache>
            </c:strRef>
          </c:tx>
          <c:spPr>
            <a:ln>
              <a:solidFill>
                <a:schemeClr val="tx1">
                  <a:lumMod val="95000"/>
                  <a:lumOff val="5000"/>
                </a:schemeClr>
              </a:solidFill>
            </a:ln>
          </c:spPr>
          <c:marker>
            <c:symbol val="none"/>
          </c:marker>
          <c:trendline>
            <c:trendlineType val="linear"/>
            <c:dispRSqr val="1"/>
            <c:trendlineLbl>
              <c:layout>
                <c:manualLayout>
                  <c:x val="-0.18460276083237043"/>
                  <c:y val="5.6117634043453837E-2"/>
                </c:manualLayout>
              </c:layout>
              <c:numFmt formatCode="General" sourceLinked="0"/>
            </c:trendlineLbl>
          </c:trendline>
          <c:cat>
            <c:numRef>
              <c:f>List1!$A$2:$A$142</c:f>
              <c:numCache>
                <c:formatCode>General</c:formatCode>
                <c:ptCount val="141"/>
                <c:pt idx="0">
                  <c:v>106</c:v>
                </c:pt>
                <c:pt idx="1">
                  <c:v>206</c:v>
                </c:pt>
                <c:pt idx="2">
                  <c:v>306</c:v>
                </c:pt>
                <c:pt idx="3">
                  <c:v>406</c:v>
                </c:pt>
                <c:pt idx="4">
                  <c:v>506</c:v>
                </c:pt>
                <c:pt idx="5">
                  <c:v>606</c:v>
                </c:pt>
                <c:pt idx="6">
                  <c:v>706</c:v>
                </c:pt>
                <c:pt idx="7">
                  <c:v>806</c:v>
                </c:pt>
                <c:pt idx="8">
                  <c:v>906</c:v>
                </c:pt>
                <c:pt idx="9">
                  <c:v>1006</c:v>
                </c:pt>
                <c:pt idx="10">
                  <c:v>1106</c:v>
                </c:pt>
                <c:pt idx="11">
                  <c:v>1206</c:v>
                </c:pt>
                <c:pt idx="12">
                  <c:v>107</c:v>
                </c:pt>
                <c:pt idx="13">
                  <c:v>207</c:v>
                </c:pt>
                <c:pt idx="14">
                  <c:v>307</c:v>
                </c:pt>
                <c:pt idx="15">
                  <c:v>407</c:v>
                </c:pt>
                <c:pt idx="16">
                  <c:v>507</c:v>
                </c:pt>
                <c:pt idx="17">
                  <c:v>607</c:v>
                </c:pt>
                <c:pt idx="18">
                  <c:v>707</c:v>
                </c:pt>
                <c:pt idx="19">
                  <c:v>807</c:v>
                </c:pt>
                <c:pt idx="20">
                  <c:v>907</c:v>
                </c:pt>
                <c:pt idx="21">
                  <c:v>1007</c:v>
                </c:pt>
                <c:pt idx="22">
                  <c:v>1107</c:v>
                </c:pt>
                <c:pt idx="23">
                  <c:v>1207</c:v>
                </c:pt>
                <c:pt idx="24">
                  <c:v>108</c:v>
                </c:pt>
                <c:pt idx="25">
                  <c:v>208</c:v>
                </c:pt>
                <c:pt idx="26">
                  <c:v>308</c:v>
                </c:pt>
                <c:pt idx="27">
                  <c:v>408</c:v>
                </c:pt>
                <c:pt idx="28">
                  <c:v>508</c:v>
                </c:pt>
                <c:pt idx="29">
                  <c:v>608</c:v>
                </c:pt>
                <c:pt idx="30">
                  <c:v>708</c:v>
                </c:pt>
                <c:pt idx="31">
                  <c:v>808</c:v>
                </c:pt>
                <c:pt idx="32">
                  <c:v>908</c:v>
                </c:pt>
                <c:pt idx="33">
                  <c:v>1008</c:v>
                </c:pt>
                <c:pt idx="34">
                  <c:v>1108</c:v>
                </c:pt>
                <c:pt idx="35">
                  <c:v>1208</c:v>
                </c:pt>
                <c:pt idx="36">
                  <c:v>109</c:v>
                </c:pt>
                <c:pt idx="37">
                  <c:v>209</c:v>
                </c:pt>
                <c:pt idx="38">
                  <c:v>309</c:v>
                </c:pt>
                <c:pt idx="39">
                  <c:v>409</c:v>
                </c:pt>
                <c:pt idx="40">
                  <c:v>509</c:v>
                </c:pt>
                <c:pt idx="41">
                  <c:v>609</c:v>
                </c:pt>
                <c:pt idx="42">
                  <c:v>709</c:v>
                </c:pt>
                <c:pt idx="43">
                  <c:v>809</c:v>
                </c:pt>
                <c:pt idx="44">
                  <c:v>909</c:v>
                </c:pt>
                <c:pt idx="45">
                  <c:v>1009</c:v>
                </c:pt>
                <c:pt idx="46">
                  <c:v>1109</c:v>
                </c:pt>
                <c:pt idx="47">
                  <c:v>1209</c:v>
                </c:pt>
                <c:pt idx="48">
                  <c:v>110</c:v>
                </c:pt>
                <c:pt idx="49">
                  <c:v>210</c:v>
                </c:pt>
                <c:pt idx="50">
                  <c:v>310</c:v>
                </c:pt>
                <c:pt idx="51">
                  <c:v>410</c:v>
                </c:pt>
                <c:pt idx="52">
                  <c:v>510</c:v>
                </c:pt>
                <c:pt idx="53">
                  <c:v>610</c:v>
                </c:pt>
                <c:pt idx="54">
                  <c:v>710</c:v>
                </c:pt>
                <c:pt idx="55">
                  <c:v>810</c:v>
                </c:pt>
                <c:pt idx="56">
                  <c:v>910</c:v>
                </c:pt>
                <c:pt idx="57">
                  <c:v>1010</c:v>
                </c:pt>
                <c:pt idx="58">
                  <c:v>1110</c:v>
                </c:pt>
                <c:pt idx="59">
                  <c:v>1210</c:v>
                </c:pt>
                <c:pt idx="60">
                  <c:v>111</c:v>
                </c:pt>
                <c:pt idx="61">
                  <c:v>211</c:v>
                </c:pt>
                <c:pt idx="62">
                  <c:v>311</c:v>
                </c:pt>
                <c:pt idx="63">
                  <c:v>411</c:v>
                </c:pt>
                <c:pt idx="64">
                  <c:v>511</c:v>
                </c:pt>
                <c:pt idx="65">
                  <c:v>611</c:v>
                </c:pt>
                <c:pt idx="66">
                  <c:v>711</c:v>
                </c:pt>
                <c:pt idx="67">
                  <c:v>811</c:v>
                </c:pt>
                <c:pt idx="68">
                  <c:v>911</c:v>
                </c:pt>
                <c:pt idx="69">
                  <c:v>1011</c:v>
                </c:pt>
                <c:pt idx="70">
                  <c:v>1111</c:v>
                </c:pt>
                <c:pt idx="71">
                  <c:v>1211</c:v>
                </c:pt>
                <c:pt idx="72">
                  <c:v>112</c:v>
                </c:pt>
                <c:pt idx="73">
                  <c:v>212</c:v>
                </c:pt>
                <c:pt idx="74">
                  <c:v>312</c:v>
                </c:pt>
                <c:pt idx="75">
                  <c:v>412</c:v>
                </c:pt>
                <c:pt idx="76">
                  <c:v>512</c:v>
                </c:pt>
                <c:pt idx="77">
                  <c:v>612</c:v>
                </c:pt>
                <c:pt idx="78">
                  <c:v>712</c:v>
                </c:pt>
                <c:pt idx="79">
                  <c:v>812</c:v>
                </c:pt>
                <c:pt idx="80">
                  <c:v>912</c:v>
                </c:pt>
                <c:pt idx="81">
                  <c:v>1012</c:v>
                </c:pt>
                <c:pt idx="82">
                  <c:v>1112</c:v>
                </c:pt>
                <c:pt idx="83">
                  <c:v>1212</c:v>
                </c:pt>
                <c:pt idx="84">
                  <c:v>113</c:v>
                </c:pt>
                <c:pt idx="85">
                  <c:v>213</c:v>
                </c:pt>
                <c:pt idx="86">
                  <c:v>313</c:v>
                </c:pt>
                <c:pt idx="87">
                  <c:v>413</c:v>
                </c:pt>
                <c:pt idx="88">
                  <c:v>513</c:v>
                </c:pt>
                <c:pt idx="89">
                  <c:v>613</c:v>
                </c:pt>
                <c:pt idx="90">
                  <c:v>713</c:v>
                </c:pt>
                <c:pt idx="91">
                  <c:v>813</c:v>
                </c:pt>
                <c:pt idx="92">
                  <c:v>913</c:v>
                </c:pt>
                <c:pt idx="93">
                  <c:v>1013</c:v>
                </c:pt>
                <c:pt idx="94">
                  <c:v>1113</c:v>
                </c:pt>
                <c:pt idx="95">
                  <c:v>1213</c:v>
                </c:pt>
                <c:pt idx="96">
                  <c:v>114</c:v>
                </c:pt>
                <c:pt idx="97">
                  <c:v>214</c:v>
                </c:pt>
                <c:pt idx="98">
                  <c:v>314</c:v>
                </c:pt>
                <c:pt idx="99">
                  <c:v>414</c:v>
                </c:pt>
                <c:pt idx="100">
                  <c:v>514</c:v>
                </c:pt>
                <c:pt idx="101">
                  <c:v>614</c:v>
                </c:pt>
                <c:pt idx="102">
                  <c:v>714</c:v>
                </c:pt>
                <c:pt idx="103">
                  <c:v>814</c:v>
                </c:pt>
                <c:pt idx="104">
                  <c:v>914</c:v>
                </c:pt>
                <c:pt idx="105">
                  <c:v>1014</c:v>
                </c:pt>
                <c:pt idx="106">
                  <c:v>1114</c:v>
                </c:pt>
                <c:pt idx="107">
                  <c:v>1214</c:v>
                </c:pt>
                <c:pt idx="108">
                  <c:v>115</c:v>
                </c:pt>
                <c:pt idx="109">
                  <c:v>215</c:v>
                </c:pt>
                <c:pt idx="110">
                  <c:v>315</c:v>
                </c:pt>
                <c:pt idx="111">
                  <c:v>415</c:v>
                </c:pt>
                <c:pt idx="112">
                  <c:v>515</c:v>
                </c:pt>
                <c:pt idx="113">
                  <c:v>615</c:v>
                </c:pt>
                <c:pt idx="114">
                  <c:v>715</c:v>
                </c:pt>
                <c:pt idx="115">
                  <c:v>815</c:v>
                </c:pt>
                <c:pt idx="116">
                  <c:v>915</c:v>
                </c:pt>
                <c:pt idx="117">
                  <c:v>1015</c:v>
                </c:pt>
                <c:pt idx="118">
                  <c:v>1115</c:v>
                </c:pt>
                <c:pt idx="119">
                  <c:v>1215</c:v>
                </c:pt>
                <c:pt idx="120">
                  <c:v>116</c:v>
                </c:pt>
                <c:pt idx="121">
                  <c:v>216</c:v>
                </c:pt>
                <c:pt idx="122">
                  <c:v>316</c:v>
                </c:pt>
                <c:pt idx="123">
                  <c:v>416</c:v>
                </c:pt>
                <c:pt idx="124">
                  <c:v>516</c:v>
                </c:pt>
                <c:pt idx="125">
                  <c:v>616</c:v>
                </c:pt>
                <c:pt idx="126">
                  <c:v>716</c:v>
                </c:pt>
                <c:pt idx="127">
                  <c:v>816</c:v>
                </c:pt>
                <c:pt idx="128">
                  <c:v>916</c:v>
                </c:pt>
                <c:pt idx="129">
                  <c:v>1016</c:v>
                </c:pt>
                <c:pt idx="130">
                  <c:v>1116</c:v>
                </c:pt>
                <c:pt idx="131">
                  <c:v>1216</c:v>
                </c:pt>
                <c:pt idx="132">
                  <c:v>117</c:v>
                </c:pt>
                <c:pt idx="133">
                  <c:v>217</c:v>
                </c:pt>
                <c:pt idx="134">
                  <c:v>317</c:v>
                </c:pt>
                <c:pt idx="135">
                  <c:v>417</c:v>
                </c:pt>
                <c:pt idx="136">
                  <c:v>517</c:v>
                </c:pt>
                <c:pt idx="137">
                  <c:v>617</c:v>
                </c:pt>
                <c:pt idx="138">
                  <c:v>717</c:v>
                </c:pt>
                <c:pt idx="139">
                  <c:v>817</c:v>
                </c:pt>
                <c:pt idx="140">
                  <c:v>917</c:v>
                </c:pt>
              </c:numCache>
            </c:numRef>
          </c:cat>
          <c:val>
            <c:numRef>
              <c:f>List1!$B$2:$B$142</c:f>
              <c:numCache>
                <c:formatCode>General</c:formatCode>
                <c:ptCount val="141"/>
                <c:pt idx="0">
                  <c:v>41312</c:v>
                </c:pt>
                <c:pt idx="1">
                  <c:v>39029</c:v>
                </c:pt>
                <c:pt idx="2">
                  <c:v>37574</c:v>
                </c:pt>
                <c:pt idx="3">
                  <c:v>38104</c:v>
                </c:pt>
                <c:pt idx="4">
                  <c:v>38755</c:v>
                </c:pt>
                <c:pt idx="5">
                  <c:v>40120</c:v>
                </c:pt>
                <c:pt idx="6">
                  <c:v>42660</c:v>
                </c:pt>
                <c:pt idx="7">
                  <c:v>44043</c:v>
                </c:pt>
                <c:pt idx="8">
                  <c:v>45193</c:v>
                </c:pt>
                <c:pt idx="9">
                  <c:v>43572</c:v>
                </c:pt>
                <c:pt idx="10">
                  <c:v>40435</c:v>
                </c:pt>
                <c:pt idx="11">
                  <c:v>38333</c:v>
                </c:pt>
                <c:pt idx="12">
                  <c:v>37315</c:v>
                </c:pt>
                <c:pt idx="13">
                  <c:v>35609</c:v>
                </c:pt>
                <c:pt idx="14">
                  <c:v>34133</c:v>
                </c:pt>
                <c:pt idx="15">
                  <c:v>34104</c:v>
                </c:pt>
                <c:pt idx="16">
                  <c:v>34878</c:v>
                </c:pt>
                <c:pt idx="17">
                  <c:v>37088</c:v>
                </c:pt>
                <c:pt idx="18">
                  <c:v>40062</c:v>
                </c:pt>
                <c:pt idx="19">
                  <c:v>42664</c:v>
                </c:pt>
                <c:pt idx="20">
                  <c:v>42872</c:v>
                </c:pt>
                <c:pt idx="21">
                  <c:v>40216</c:v>
                </c:pt>
                <c:pt idx="22">
                  <c:v>36437</c:v>
                </c:pt>
                <c:pt idx="23">
                  <c:v>36067</c:v>
                </c:pt>
                <c:pt idx="24">
                  <c:v>36455</c:v>
                </c:pt>
                <c:pt idx="25">
                  <c:v>34607</c:v>
                </c:pt>
                <c:pt idx="26">
                  <c:v>34118</c:v>
                </c:pt>
                <c:pt idx="27">
                  <c:v>36815</c:v>
                </c:pt>
                <c:pt idx="28">
                  <c:v>38373</c:v>
                </c:pt>
                <c:pt idx="29">
                  <c:v>42363</c:v>
                </c:pt>
                <c:pt idx="30">
                  <c:v>42387</c:v>
                </c:pt>
                <c:pt idx="31">
                  <c:v>42043</c:v>
                </c:pt>
                <c:pt idx="32">
                  <c:v>43125</c:v>
                </c:pt>
                <c:pt idx="33">
                  <c:v>42976</c:v>
                </c:pt>
                <c:pt idx="34">
                  <c:v>39929</c:v>
                </c:pt>
                <c:pt idx="35">
                  <c:v>38995</c:v>
                </c:pt>
                <c:pt idx="36">
                  <c:v>38425</c:v>
                </c:pt>
                <c:pt idx="37">
                  <c:v>37335</c:v>
                </c:pt>
                <c:pt idx="38">
                  <c:v>37634</c:v>
                </c:pt>
                <c:pt idx="39">
                  <c:v>39245</c:v>
                </c:pt>
                <c:pt idx="40">
                  <c:v>39640</c:v>
                </c:pt>
                <c:pt idx="41">
                  <c:v>40894</c:v>
                </c:pt>
                <c:pt idx="42">
                  <c:v>41695</c:v>
                </c:pt>
                <c:pt idx="43">
                  <c:v>40786</c:v>
                </c:pt>
                <c:pt idx="44">
                  <c:v>40048</c:v>
                </c:pt>
                <c:pt idx="45">
                  <c:v>38403</c:v>
                </c:pt>
                <c:pt idx="46">
                  <c:v>35522</c:v>
                </c:pt>
                <c:pt idx="47">
                  <c:v>34533</c:v>
                </c:pt>
                <c:pt idx="48">
                  <c:v>34303</c:v>
                </c:pt>
                <c:pt idx="49">
                  <c:v>33461</c:v>
                </c:pt>
                <c:pt idx="50">
                  <c:v>32982</c:v>
                </c:pt>
                <c:pt idx="51">
                  <c:v>33530</c:v>
                </c:pt>
                <c:pt idx="52">
                  <c:v>34017</c:v>
                </c:pt>
                <c:pt idx="53">
                  <c:v>36466</c:v>
                </c:pt>
                <c:pt idx="54">
                  <c:v>38009</c:v>
                </c:pt>
                <c:pt idx="55">
                  <c:v>37247</c:v>
                </c:pt>
                <c:pt idx="56">
                  <c:v>36517</c:v>
                </c:pt>
                <c:pt idx="57">
                  <c:v>35612</c:v>
                </c:pt>
                <c:pt idx="58">
                  <c:v>34391</c:v>
                </c:pt>
                <c:pt idx="59">
                  <c:v>34353</c:v>
                </c:pt>
                <c:pt idx="60">
                  <c:v>33786</c:v>
                </c:pt>
                <c:pt idx="61">
                  <c:v>33604</c:v>
                </c:pt>
                <c:pt idx="62">
                  <c:v>33983</c:v>
                </c:pt>
                <c:pt idx="63">
                  <c:v>35376</c:v>
                </c:pt>
                <c:pt idx="64">
                  <c:v>37410</c:v>
                </c:pt>
                <c:pt idx="65">
                  <c:v>37331</c:v>
                </c:pt>
                <c:pt idx="66">
                  <c:v>37784</c:v>
                </c:pt>
                <c:pt idx="67">
                  <c:v>38497</c:v>
                </c:pt>
                <c:pt idx="68">
                  <c:v>37540</c:v>
                </c:pt>
                <c:pt idx="69">
                  <c:v>37577</c:v>
                </c:pt>
                <c:pt idx="70">
                  <c:v>38951</c:v>
                </c:pt>
                <c:pt idx="71">
                  <c:v>40224</c:v>
                </c:pt>
                <c:pt idx="72">
                  <c:v>41143</c:v>
                </c:pt>
                <c:pt idx="73">
                  <c:v>39826</c:v>
                </c:pt>
                <c:pt idx="74">
                  <c:v>40283</c:v>
                </c:pt>
                <c:pt idx="75">
                  <c:v>41123</c:v>
                </c:pt>
                <c:pt idx="76">
                  <c:v>42099</c:v>
                </c:pt>
                <c:pt idx="77">
                  <c:v>42070</c:v>
                </c:pt>
                <c:pt idx="78">
                  <c:v>42234</c:v>
                </c:pt>
                <c:pt idx="79">
                  <c:v>42146</c:v>
                </c:pt>
                <c:pt idx="80">
                  <c:v>44312</c:v>
                </c:pt>
                <c:pt idx="81">
                  <c:v>46401</c:v>
                </c:pt>
                <c:pt idx="82">
                  <c:v>46356</c:v>
                </c:pt>
                <c:pt idx="83">
                  <c:v>45348</c:v>
                </c:pt>
                <c:pt idx="84">
                  <c:v>43793</c:v>
                </c:pt>
                <c:pt idx="85">
                  <c:v>41534</c:v>
                </c:pt>
                <c:pt idx="86">
                  <c:v>40453</c:v>
                </c:pt>
                <c:pt idx="87">
                  <c:v>40883</c:v>
                </c:pt>
                <c:pt idx="88">
                  <c:v>41025</c:v>
                </c:pt>
                <c:pt idx="89">
                  <c:v>41806</c:v>
                </c:pt>
                <c:pt idx="90">
                  <c:v>43636</c:v>
                </c:pt>
                <c:pt idx="91">
                  <c:v>45072</c:v>
                </c:pt>
                <c:pt idx="92">
                  <c:v>46806</c:v>
                </c:pt>
                <c:pt idx="93">
                  <c:v>46538</c:v>
                </c:pt>
                <c:pt idx="94">
                  <c:v>46062</c:v>
                </c:pt>
                <c:pt idx="95">
                  <c:v>45487</c:v>
                </c:pt>
                <c:pt idx="96">
                  <c:v>44429</c:v>
                </c:pt>
                <c:pt idx="97">
                  <c:v>42760</c:v>
                </c:pt>
                <c:pt idx="98">
                  <c:v>41867</c:v>
                </c:pt>
                <c:pt idx="99">
                  <c:v>41808</c:v>
                </c:pt>
                <c:pt idx="100">
                  <c:v>42567</c:v>
                </c:pt>
                <c:pt idx="101">
                  <c:v>43501</c:v>
                </c:pt>
                <c:pt idx="102">
                  <c:v>46223</c:v>
                </c:pt>
                <c:pt idx="103">
                  <c:v>45731</c:v>
                </c:pt>
                <c:pt idx="104">
                  <c:v>44533</c:v>
                </c:pt>
                <c:pt idx="105">
                  <c:v>42990</c:v>
                </c:pt>
                <c:pt idx="106">
                  <c:v>40441</c:v>
                </c:pt>
                <c:pt idx="107">
                  <c:v>39765</c:v>
                </c:pt>
                <c:pt idx="108">
                  <c:v>39048</c:v>
                </c:pt>
                <c:pt idx="109">
                  <c:v>37603</c:v>
                </c:pt>
                <c:pt idx="110">
                  <c:v>37596</c:v>
                </c:pt>
                <c:pt idx="111">
                  <c:v>37643</c:v>
                </c:pt>
                <c:pt idx="112">
                  <c:v>37239</c:v>
                </c:pt>
                <c:pt idx="113">
                  <c:v>37833</c:v>
                </c:pt>
                <c:pt idx="114">
                  <c:v>38689</c:v>
                </c:pt>
                <c:pt idx="115">
                  <c:v>38578</c:v>
                </c:pt>
                <c:pt idx="116">
                  <c:v>38339</c:v>
                </c:pt>
                <c:pt idx="117">
                  <c:v>38555</c:v>
                </c:pt>
                <c:pt idx="118">
                  <c:v>37560</c:v>
                </c:pt>
                <c:pt idx="119">
                  <c:v>35656</c:v>
                </c:pt>
                <c:pt idx="120">
                  <c:v>35456</c:v>
                </c:pt>
                <c:pt idx="121">
                  <c:v>33862</c:v>
                </c:pt>
                <c:pt idx="122">
                  <c:v>33483</c:v>
                </c:pt>
                <c:pt idx="123">
                  <c:v>32939</c:v>
                </c:pt>
                <c:pt idx="124">
                  <c:v>33417</c:v>
                </c:pt>
                <c:pt idx="125">
                  <c:v>36000</c:v>
                </c:pt>
                <c:pt idx="126">
                  <c:v>39969</c:v>
                </c:pt>
                <c:pt idx="127">
                  <c:v>41163</c:v>
                </c:pt>
                <c:pt idx="128">
                  <c:v>41522</c:v>
                </c:pt>
                <c:pt idx="129">
                  <c:v>43265</c:v>
                </c:pt>
                <c:pt idx="130">
                  <c:v>41523</c:v>
                </c:pt>
                <c:pt idx="131">
                  <c:v>40936</c:v>
                </c:pt>
                <c:pt idx="132">
                  <c:v>40757</c:v>
                </c:pt>
                <c:pt idx="133">
                  <c:v>40255</c:v>
                </c:pt>
                <c:pt idx="134">
                  <c:v>39978</c:v>
                </c:pt>
                <c:pt idx="135">
                  <c:v>41355</c:v>
                </c:pt>
                <c:pt idx="136">
                  <c:v>42661</c:v>
                </c:pt>
                <c:pt idx="137">
                  <c:v>44333</c:v>
                </c:pt>
                <c:pt idx="138">
                  <c:v>45090</c:v>
                </c:pt>
                <c:pt idx="139">
                  <c:v>43778</c:v>
                </c:pt>
                <c:pt idx="140">
                  <c:v>42682</c:v>
                </c:pt>
              </c:numCache>
            </c:numRef>
          </c:val>
          <c:extLst xmlns:c16r2="http://schemas.microsoft.com/office/drawing/2015/06/chart">
            <c:ext xmlns:c16="http://schemas.microsoft.com/office/drawing/2014/chart" uri="{C3380CC4-5D6E-409C-BE32-E72D297353CC}">
              <c16:uniqueId val="{00000001-287C-47C0-9FAF-110EB2ADD721}"/>
            </c:ext>
          </c:extLst>
        </c:ser>
        <c:marker val="1"/>
        <c:axId val="226946048"/>
        <c:axId val="243471104"/>
      </c:lineChart>
      <c:lineChart>
        <c:grouping val="standard"/>
        <c:ser>
          <c:idx val="0"/>
          <c:order val="0"/>
          <c:tx>
            <c:strRef>
              <c:f>List1!$D$1</c:f>
              <c:strCache>
                <c:ptCount val="1"/>
                <c:pt idx="0">
                  <c:v>Vepřová kýta CPV</c:v>
                </c:pt>
              </c:strCache>
            </c:strRef>
          </c:tx>
          <c:marker>
            <c:symbol val="none"/>
          </c:marker>
          <c:trendline>
            <c:spPr>
              <a:ln>
                <a:solidFill>
                  <a:srgbClr val="0070C0"/>
                </a:solidFill>
                <a:prstDash val="sysDash"/>
              </a:ln>
            </c:spPr>
            <c:trendlineType val="linear"/>
            <c:dispRSqr val="1"/>
            <c:trendlineLbl>
              <c:layout>
                <c:manualLayout>
                  <c:x val="-8.2090421291195256E-3"/>
                  <c:y val="6.4446999103731514E-2"/>
                </c:manualLayout>
              </c:layout>
              <c:numFmt formatCode="General" sourceLinked="0"/>
            </c:trendlineLbl>
          </c:trendline>
          <c:cat>
            <c:numRef>
              <c:f>List1!$A$2:$A$142</c:f>
              <c:numCache>
                <c:formatCode>General</c:formatCode>
                <c:ptCount val="141"/>
                <c:pt idx="0">
                  <c:v>106</c:v>
                </c:pt>
                <c:pt idx="1">
                  <c:v>206</c:v>
                </c:pt>
                <c:pt idx="2">
                  <c:v>306</c:v>
                </c:pt>
                <c:pt idx="3">
                  <c:v>406</c:v>
                </c:pt>
                <c:pt idx="4">
                  <c:v>506</c:v>
                </c:pt>
                <c:pt idx="5">
                  <c:v>606</c:v>
                </c:pt>
                <c:pt idx="6">
                  <c:v>706</c:v>
                </c:pt>
                <c:pt idx="7">
                  <c:v>806</c:v>
                </c:pt>
                <c:pt idx="8">
                  <c:v>906</c:v>
                </c:pt>
                <c:pt idx="9">
                  <c:v>1006</c:v>
                </c:pt>
                <c:pt idx="10">
                  <c:v>1106</c:v>
                </c:pt>
                <c:pt idx="11">
                  <c:v>1206</c:v>
                </c:pt>
                <c:pt idx="12">
                  <c:v>107</c:v>
                </c:pt>
                <c:pt idx="13">
                  <c:v>207</c:v>
                </c:pt>
                <c:pt idx="14">
                  <c:v>307</c:v>
                </c:pt>
                <c:pt idx="15">
                  <c:v>407</c:v>
                </c:pt>
                <c:pt idx="16">
                  <c:v>507</c:v>
                </c:pt>
                <c:pt idx="17">
                  <c:v>607</c:v>
                </c:pt>
                <c:pt idx="18">
                  <c:v>707</c:v>
                </c:pt>
                <c:pt idx="19">
                  <c:v>807</c:v>
                </c:pt>
                <c:pt idx="20">
                  <c:v>907</c:v>
                </c:pt>
                <c:pt idx="21">
                  <c:v>1007</c:v>
                </c:pt>
                <c:pt idx="22">
                  <c:v>1107</c:v>
                </c:pt>
                <c:pt idx="23">
                  <c:v>1207</c:v>
                </c:pt>
                <c:pt idx="24">
                  <c:v>108</c:v>
                </c:pt>
                <c:pt idx="25">
                  <c:v>208</c:v>
                </c:pt>
                <c:pt idx="26">
                  <c:v>308</c:v>
                </c:pt>
                <c:pt idx="27">
                  <c:v>408</c:v>
                </c:pt>
                <c:pt idx="28">
                  <c:v>508</c:v>
                </c:pt>
                <c:pt idx="29">
                  <c:v>608</c:v>
                </c:pt>
                <c:pt idx="30">
                  <c:v>708</c:v>
                </c:pt>
                <c:pt idx="31">
                  <c:v>808</c:v>
                </c:pt>
                <c:pt idx="32">
                  <c:v>908</c:v>
                </c:pt>
                <c:pt idx="33">
                  <c:v>1008</c:v>
                </c:pt>
                <c:pt idx="34">
                  <c:v>1108</c:v>
                </c:pt>
                <c:pt idx="35">
                  <c:v>1208</c:v>
                </c:pt>
                <c:pt idx="36">
                  <c:v>109</c:v>
                </c:pt>
                <c:pt idx="37">
                  <c:v>209</c:v>
                </c:pt>
                <c:pt idx="38">
                  <c:v>309</c:v>
                </c:pt>
                <c:pt idx="39">
                  <c:v>409</c:v>
                </c:pt>
                <c:pt idx="40">
                  <c:v>509</c:v>
                </c:pt>
                <c:pt idx="41">
                  <c:v>609</c:v>
                </c:pt>
                <c:pt idx="42">
                  <c:v>709</c:v>
                </c:pt>
                <c:pt idx="43">
                  <c:v>809</c:v>
                </c:pt>
                <c:pt idx="44">
                  <c:v>909</c:v>
                </c:pt>
                <c:pt idx="45">
                  <c:v>1009</c:v>
                </c:pt>
                <c:pt idx="46">
                  <c:v>1109</c:v>
                </c:pt>
                <c:pt idx="47">
                  <c:v>1209</c:v>
                </c:pt>
                <c:pt idx="48">
                  <c:v>110</c:v>
                </c:pt>
                <c:pt idx="49">
                  <c:v>210</c:v>
                </c:pt>
                <c:pt idx="50">
                  <c:v>310</c:v>
                </c:pt>
                <c:pt idx="51">
                  <c:v>410</c:v>
                </c:pt>
                <c:pt idx="52">
                  <c:v>510</c:v>
                </c:pt>
                <c:pt idx="53">
                  <c:v>610</c:v>
                </c:pt>
                <c:pt idx="54">
                  <c:v>710</c:v>
                </c:pt>
                <c:pt idx="55">
                  <c:v>810</c:v>
                </c:pt>
                <c:pt idx="56">
                  <c:v>910</c:v>
                </c:pt>
                <c:pt idx="57">
                  <c:v>1010</c:v>
                </c:pt>
                <c:pt idx="58">
                  <c:v>1110</c:v>
                </c:pt>
                <c:pt idx="59">
                  <c:v>1210</c:v>
                </c:pt>
                <c:pt idx="60">
                  <c:v>111</c:v>
                </c:pt>
                <c:pt idx="61">
                  <c:v>211</c:v>
                </c:pt>
                <c:pt idx="62">
                  <c:v>311</c:v>
                </c:pt>
                <c:pt idx="63">
                  <c:v>411</c:v>
                </c:pt>
                <c:pt idx="64">
                  <c:v>511</c:v>
                </c:pt>
                <c:pt idx="65">
                  <c:v>611</c:v>
                </c:pt>
                <c:pt idx="66">
                  <c:v>711</c:v>
                </c:pt>
                <c:pt idx="67">
                  <c:v>811</c:v>
                </c:pt>
                <c:pt idx="68">
                  <c:v>911</c:v>
                </c:pt>
                <c:pt idx="69">
                  <c:v>1011</c:v>
                </c:pt>
                <c:pt idx="70">
                  <c:v>1111</c:v>
                </c:pt>
                <c:pt idx="71">
                  <c:v>1211</c:v>
                </c:pt>
                <c:pt idx="72">
                  <c:v>112</c:v>
                </c:pt>
                <c:pt idx="73">
                  <c:v>212</c:v>
                </c:pt>
                <c:pt idx="74">
                  <c:v>312</c:v>
                </c:pt>
                <c:pt idx="75">
                  <c:v>412</c:v>
                </c:pt>
                <c:pt idx="76">
                  <c:v>512</c:v>
                </c:pt>
                <c:pt idx="77">
                  <c:v>612</c:v>
                </c:pt>
                <c:pt idx="78">
                  <c:v>712</c:v>
                </c:pt>
                <c:pt idx="79">
                  <c:v>812</c:v>
                </c:pt>
                <c:pt idx="80">
                  <c:v>912</c:v>
                </c:pt>
                <c:pt idx="81">
                  <c:v>1012</c:v>
                </c:pt>
                <c:pt idx="82">
                  <c:v>1112</c:v>
                </c:pt>
                <c:pt idx="83">
                  <c:v>1212</c:v>
                </c:pt>
                <c:pt idx="84">
                  <c:v>113</c:v>
                </c:pt>
                <c:pt idx="85">
                  <c:v>213</c:v>
                </c:pt>
                <c:pt idx="86">
                  <c:v>313</c:v>
                </c:pt>
                <c:pt idx="87">
                  <c:v>413</c:v>
                </c:pt>
                <c:pt idx="88">
                  <c:v>513</c:v>
                </c:pt>
                <c:pt idx="89">
                  <c:v>613</c:v>
                </c:pt>
                <c:pt idx="90">
                  <c:v>713</c:v>
                </c:pt>
                <c:pt idx="91">
                  <c:v>813</c:v>
                </c:pt>
                <c:pt idx="92">
                  <c:v>913</c:v>
                </c:pt>
                <c:pt idx="93">
                  <c:v>1013</c:v>
                </c:pt>
                <c:pt idx="94">
                  <c:v>1113</c:v>
                </c:pt>
                <c:pt idx="95">
                  <c:v>1213</c:v>
                </c:pt>
                <c:pt idx="96">
                  <c:v>114</c:v>
                </c:pt>
                <c:pt idx="97">
                  <c:v>214</c:v>
                </c:pt>
                <c:pt idx="98">
                  <c:v>314</c:v>
                </c:pt>
                <c:pt idx="99">
                  <c:v>414</c:v>
                </c:pt>
                <c:pt idx="100">
                  <c:v>514</c:v>
                </c:pt>
                <c:pt idx="101">
                  <c:v>614</c:v>
                </c:pt>
                <c:pt idx="102">
                  <c:v>714</c:v>
                </c:pt>
                <c:pt idx="103">
                  <c:v>814</c:v>
                </c:pt>
                <c:pt idx="104">
                  <c:v>914</c:v>
                </c:pt>
                <c:pt idx="105">
                  <c:v>1014</c:v>
                </c:pt>
                <c:pt idx="106">
                  <c:v>1114</c:v>
                </c:pt>
                <c:pt idx="107">
                  <c:v>1214</c:v>
                </c:pt>
                <c:pt idx="108">
                  <c:v>115</c:v>
                </c:pt>
                <c:pt idx="109">
                  <c:v>215</c:v>
                </c:pt>
                <c:pt idx="110">
                  <c:v>315</c:v>
                </c:pt>
                <c:pt idx="111">
                  <c:v>415</c:v>
                </c:pt>
                <c:pt idx="112">
                  <c:v>515</c:v>
                </c:pt>
                <c:pt idx="113">
                  <c:v>615</c:v>
                </c:pt>
                <c:pt idx="114">
                  <c:v>715</c:v>
                </c:pt>
                <c:pt idx="115">
                  <c:v>815</c:v>
                </c:pt>
                <c:pt idx="116">
                  <c:v>915</c:v>
                </c:pt>
                <c:pt idx="117">
                  <c:v>1015</c:v>
                </c:pt>
                <c:pt idx="118">
                  <c:v>1115</c:v>
                </c:pt>
                <c:pt idx="119">
                  <c:v>1215</c:v>
                </c:pt>
                <c:pt idx="120">
                  <c:v>116</c:v>
                </c:pt>
                <c:pt idx="121">
                  <c:v>216</c:v>
                </c:pt>
                <c:pt idx="122">
                  <c:v>316</c:v>
                </c:pt>
                <c:pt idx="123">
                  <c:v>416</c:v>
                </c:pt>
                <c:pt idx="124">
                  <c:v>516</c:v>
                </c:pt>
                <c:pt idx="125">
                  <c:v>616</c:v>
                </c:pt>
                <c:pt idx="126">
                  <c:v>716</c:v>
                </c:pt>
                <c:pt idx="127">
                  <c:v>816</c:v>
                </c:pt>
                <c:pt idx="128">
                  <c:v>916</c:v>
                </c:pt>
                <c:pt idx="129">
                  <c:v>1016</c:v>
                </c:pt>
                <c:pt idx="130">
                  <c:v>1116</c:v>
                </c:pt>
                <c:pt idx="131">
                  <c:v>1216</c:v>
                </c:pt>
                <c:pt idx="132">
                  <c:v>117</c:v>
                </c:pt>
                <c:pt idx="133">
                  <c:v>217</c:v>
                </c:pt>
                <c:pt idx="134">
                  <c:v>317</c:v>
                </c:pt>
                <c:pt idx="135">
                  <c:v>417</c:v>
                </c:pt>
                <c:pt idx="136">
                  <c:v>517</c:v>
                </c:pt>
                <c:pt idx="137">
                  <c:v>617</c:v>
                </c:pt>
                <c:pt idx="138">
                  <c:v>717</c:v>
                </c:pt>
                <c:pt idx="139">
                  <c:v>817</c:v>
                </c:pt>
                <c:pt idx="140">
                  <c:v>917</c:v>
                </c:pt>
              </c:numCache>
            </c:numRef>
          </c:cat>
          <c:val>
            <c:numRef>
              <c:f>List1!$E$2:$E$142</c:f>
              <c:numCache>
                <c:formatCode>General</c:formatCode>
                <c:ptCount val="141"/>
                <c:pt idx="0">
                  <c:v>51.82</c:v>
                </c:pt>
                <c:pt idx="1">
                  <c:v>52.67</c:v>
                </c:pt>
                <c:pt idx="2">
                  <c:v>50.99</c:v>
                </c:pt>
                <c:pt idx="3">
                  <c:v>51.74</c:v>
                </c:pt>
                <c:pt idx="4">
                  <c:v>49.93</c:v>
                </c:pt>
                <c:pt idx="5">
                  <c:v>50.98</c:v>
                </c:pt>
                <c:pt idx="6">
                  <c:v>50.82</c:v>
                </c:pt>
                <c:pt idx="7">
                  <c:v>50.4</c:v>
                </c:pt>
                <c:pt idx="8">
                  <c:v>50.730000000000011</c:v>
                </c:pt>
                <c:pt idx="9">
                  <c:v>51.15</c:v>
                </c:pt>
                <c:pt idx="10">
                  <c:v>51.74</c:v>
                </c:pt>
                <c:pt idx="11">
                  <c:v>51.730000000000011</c:v>
                </c:pt>
                <c:pt idx="12">
                  <c:v>51.87</c:v>
                </c:pt>
                <c:pt idx="13">
                  <c:v>52.5</c:v>
                </c:pt>
                <c:pt idx="14">
                  <c:v>50.05</c:v>
                </c:pt>
                <c:pt idx="15">
                  <c:v>51.59</c:v>
                </c:pt>
                <c:pt idx="16">
                  <c:v>50.34</c:v>
                </c:pt>
                <c:pt idx="17">
                  <c:v>50.31</c:v>
                </c:pt>
                <c:pt idx="18">
                  <c:v>49.49</c:v>
                </c:pt>
                <c:pt idx="19">
                  <c:v>49.94</c:v>
                </c:pt>
                <c:pt idx="20">
                  <c:v>51.15</c:v>
                </c:pt>
                <c:pt idx="21">
                  <c:v>50.75</c:v>
                </c:pt>
                <c:pt idx="22">
                  <c:v>50.86</c:v>
                </c:pt>
                <c:pt idx="23">
                  <c:v>51.5</c:v>
                </c:pt>
                <c:pt idx="24">
                  <c:v>50.44</c:v>
                </c:pt>
                <c:pt idx="25">
                  <c:v>50.4</c:v>
                </c:pt>
                <c:pt idx="26">
                  <c:v>50.160000000000011</c:v>
                </c:pt>
                <c:pt idx="27">
                  <c:v>49.7</c:v>
                </c:pt>
                <c:pt idx="28">
                  <c:v>50.52</c:v>
                </c:pt>
                <c:pt idx="29">
                  <c:v>51.24</c:v>
                </c:pt>
                <c:pt idx="30">
                  <c:v>52.1</c:v>
                </c:pt>
                <c:pt idx="31">
                  <c:v>51.36</c:v>
                </c:pt>
                <c:pt idx="32">
                  <c:v>52.720000000000013</c:v>
                </c:pt>
                <c:pt idx="33">
                  <c:v>54.75</c:v>
                </c:pt>
                <c:pt idx="34">
                  <c:v>54.54</c:v>
                </c:pt>
                <c:pt idx="35">
                  <c:v>53.93</c:v>
                </c:pt>
                <c:pt idx="36">
                  <c:v>54.93</c:v>
                </c:pt>
                <c:pt idx="37">
                  <c:v>53.160000000000011</c:v>
                </c:pt>
                <c:pt idx="38">
                  <c:v>53.32</c:v>
                </c:pt>
                <c:pt idx="39">
                  <c:v>53.03</c:v>
                </c:pt>
                <c:pt idx="40">
                  <c:v>53.730000000000011</c:v>
                </c:pt>
                <c:pt idx="41">
                  <c:v>53.77</c:v>
                </c:pt>
                <c:pt idx="42">
                  <c:v>53.93</c:v>
                </c:pt>
                <c:pt idx="43">
                  <c:v>53.46</c:v>
                </c:pt>
                <c:pt idx="44">
                  <c:v>54.67</c:v>
                </c:pt>
                <c:pt idx="45">
                  <c:v>54.83</c:v>
                </c:pt>
                <c:pt idx="46">
                  <c:v>54.97</c:v>
                </c:pt>
                <c:pt idx="47">
                  <c:v>54.97</c:v>
                </c:pt>
                <c:pt idx="48">
                  <c:v>53.58</c:v>
                </c:pt>
                <c:pt idx="49">
                  <c:v>55.27</c:v>
                </c:pt>
                <c:pt idx="50">
                  <c:v>54.86</c:v>
                </c:pt>
                <c:pt idx="51">
                  <c:v>51.91</c:v>
                </c:pt>
                <c:pt idx="52">
                  <c:v>52.02</c:v>
                </c:pt>
                <c:pt idx="53">
                  <c:v>52.2</c:v>
                </c:pt>
                <c:pt idx="54">
                  <c:v>52.14</c:v>
                </c:pt>
                <c:pt idx="55">
                  <c:v>49.260000000000012</c:v>
                </c:pt>
                <c:pt idx="56">
                  <c:v>52.290000000000013</c:v>
                </c:pt>
                <c:pt idx="57">
                  <c:v>52.88</c:v>
                </c:pt>
                <c:pt idx="58">
                  <c:v>52.52</c:v>
                </c:pt>
                <c:pt idx="59">
                  <c:v>53.34</c:v>
                </c:pt>
                <c:pt idx="60">
                  <c:v>54.1</c:v>
                </c:pt>
                <c:pt idx="61">
                  <c:v>53.24</c:v>
                </c:pt>
                <c:pt idx="62">
                  <c:v>53.67</c:v>
                </c:pt>
                <c:pt idx="63">
                  <c:v>55.83</c:v>
                </c:pt>
                <c:pt idx="64">
                  <c:v>52.28</c:v>
                </c:pt>
                <c:pt idx="65">
                  <c:v>54.42</c:v>
                </c:pt>
                <c:pt idx="66">
                  <c:v>54.51</c:v>
                </c:pt>
                <c:pt idx="67">
                  <c:v>53.760000000000012</c:v>
                </c:pt>
                <c:pt idx="68">
                  <c:v>56.34</c:v>
                </c:pt>
                <c:pt idx="69">
                  <c:v>57.15</c:v>
                </c:pt>
                <c:pt idx="70">
                  <c:v>56.08</c:v>
                </c:pt>
                <c:pt idx="71">
                  <c:v>56.4</c:v>
                </c:pt>
                <c:pt idx="72">
                  <c:v>56.01</c:v>
                </c:pt>
                <c:pt idx="73" formatCode="0.00">
                  <c:v>56.77</c:v>
                </c:pt>
                <c:pt idx="74" formatCode="0.00">
                  <c:v>56.82</c:v>
                </c:pt>
                <c:pt idx="75" formatCode="0.00">
                  <c:v>54.47</c:v>
                </c:pt>
                <c:pt idx="76" formatCode="0.00">
                  <c:v>56.160000000000011</c:v>
                </c:pt>
                <c:pt idx="77" formatCode="0.00">
                  <c:v>57.56</c:v>
                </c:pt>
                <c:pt idx="78" formatCode="0.00">
                  <c:v>57.05</c:v>
                </c:pt>
                <c:pt idx="79" formatCode="0.00">
                  <c:v>56.87</c:v>
                </c:pt>
                <c:pt idx="80" formatCode="0.00">
                  <c:v>59.49</c:v>
                </c:pt>
                <c:pt idx="81" formatCode="0.00">
                  <c:v>62.620000000000012</c:v>
                </c:pt>
                <c:pt idx="82" formatCode="0.00">
                  <c:v>59.690000000000012</c:v>
                </c:pt>
                <c:pt idx="83" formatCode="0.00">
                  <c:v>60.65</c:v>
                </c:pt>
                <c:pt idx="84">
                  <c:v>61.96</c:v>
                </c:pt>
                <c:pt idx="85">
                  <c:v>61.46</c:v>
                </c:pt>
                <c:pt idx="86">
                  <c:v>62.27</c:v>
                </c:pt>
                <c:pt idx="87">
                  <c:v>60.85</c:v>
                </c:pt>
                <c:pt idx="88">
                  <c:v>60.34</c:v>
                </c:pt>
                <c:pt idx="89">
                  <c:v>59.04</c:v>
                </c:pt>
                <c:pt idx="90">
                  <c:v>60.53</c:v>
                </c:pt>
                <c:pt idx="91">
                  <c:v>61.43</c:v>
                </c:pt>
                <c:pt idx="92">
                  <c:v>62.120000000000012</c:v>
                </c:pt>
                <c:pt idx="93">
                  <c:v>62.9</c:v>
                </c:pt>
                <c:pt idx="94">
                  <c:v>63.95</c:v>
                </c:pt>
                <c:pt idx="95">
                  <c:v>63.1</c:v>
                </c:pt>
                <c:pt idx="96">
                  <c:v>64.75</c:v>
                </c:pt>
                <c:pt idx="97">
                  <c:v>64.48</c:v>
                </c:pt>
                <c:pt idx="98">
                  <c:v>63.51</c:v>
                </c:pt>
                <c:pt idx="99">
                  <c:v>61.6</c:v>
                </c:pt>
                <c:pt idx="100">
                  <c:v>60.96</c:v>
                </c:pt>
                <c:pt idx="101">
                  <c:v>62.32</c:v>
                </c:pt>
                <c:pt idx="102">
                  <c:v>61.84</c:v>
                </c:pt>
                <c:pt idx="103">
                  <c:v>59.53</c:v>
                </c:pt>
                <c:pt idx="104">
                  <c:v>61.44</c:v>
                </c:pt>
                <c:pt idx="105">
                  <c:v>62.160000000000011</c:v>
                </c:pt>
                <c:pt idx="106">
                  <c:v>62.25</c:v>
                </c:pt>
                <c:pt idx="107">
                  <c:v>61.59</c:v>
                </c:pt>
                <c:pt idx="108">
                  <c:v>61.49</c:v>
                </c:pt>
                <c:pt idx="109">
                  <c:v>62.51</c:v>
                </c:pt>
                <c:pt idx="110">
                  <c:v>60.96</c:v>
                </c:pt>
                <c:pt idx="111">
                  <c:v>61.8</c:v>
                </c:pt>
                <c:pt idx="112">
                  <c:v>57.51</c:v>
                </c:pt>
                <c:pt idx="113">
                  <c:v>61.13</c:v>
                </c:pt>
                <c:pt idx="114">
                  <c:v>61.24</c:v>
                </c:pt>
                <c:pt idx="115">
                  <c:v>61.45</c:v>
                </c:pt>
                <c:pt idx="116">
                  <c:v>60.03</c:v>
                </c:pt>
                <c:pt idx="117">
                  <c:v>60.82</c:v>
                </c:pt>
                <c:pt idx="118">
                  <c:v>62.51</c:v>
                </c:pt>
                <c:pt idx="119">
                  <c:v>62.89</c:v>
                </c:pt>
                <c:pt idx="120">
                  <c:v>60.9</c:v>
                </c:pt>
                <c:pt idx="121">
                  <c:v>60.14</c:v>
                </c:pt>
                <c:pt idx="122">
                  <c:v>57.77</c:v>
                </c:pt>
                <c:pt idx="123">
                  <c:v>57.7</c:v>
                </c:pt>
                <c:pt idx="124">
                  <c:v>56.02</c:v>
                </c:pt>
                <c:pt idx="125">
                  <c:v>55.99</c:v>
                </c:pt>
                <c:pt idx="126">
                  <c:v>55.13</c:v>
                </c:pt>
                <c:pt idx="127">
                  <c:v>54.290000000000013</c:v>
                </c:pt>
                <c:pt idx="128">
                  <c:v>54.48</c:v>
                </c:pt>
                <c:pt idx="129">
                  <c:v>56.14</c:v>
                </c:pt>
                <c:pt idx="130">
                  <c:v>57.28</c:v>
                </c:pt>
                <c:pt idx="131">
                  <c:v>58.1</c:v>
                </c:pt>
                <c:pt idx="132">
                  <c:v>55.81</c:v>
                </c:pt>
                <c:pt idx="133">
                  <c:v>57.03</c:v>
                </c:pt>
                <c:pt idx="134">
                  <c:v>55.95</c:v>
                </c:pt>
                <c:pt idx="135">
                  <c:v>55.760000000000012</c:v>
                </c:pt>
                <c:pt idx="136">
                  <c:v>55.07</c:v>
                </c:pt>
                <c:pt idx="137">
                  <c:v>56.25</c:v>
                </c:pt>
                <c:pt idx="138">
                  <c:v>58.18</c:v>
                </c:pt>
                <c:pt idx="139">
                  <c:v>57.18</c:v>
                </c:pt>
                <c:pt idx="140">
                  <c:v>58.220000000000013</c:v>
                </c:pt>
              </c:numCache>
            </c:numRef>
          </c:val>
          <c:extLst xmlns:c16r2="http://schemas.microsoft.com/office/drawing/2015/06/chart">
            <c:ext xmlns:c16="http://schemas.microsoft.com/office/drawing/2014/chart" uri="{C3380CC4-5D6E-409C-BE32-E72D297353CC}">
              <c16:uniqueId val="{00000003-287C-47C0-9FAF-110EB2ADD721}"/>
            </c:ext>
          </c:extLst>
        </c:ser>
        <c:ser>
          <c:idx val="1"/>
          <c:order val="1"/>
          <c:tx>
            <c:strRef>
              <c:f>List1!$H$1</c:f>
              <c:strCache>
                <c:ptCount val="1"/>
                <c:pt idx="0">
                  <c:v>Vepřová kýta SC</c:v>
                </c:pt>
              </c:strCache>
            </c:strRef>
          </c:tx>
          <c:spPr>
            <a:ln>
              <a:solidFill>
                <a:srgbClr val="C00000"/>
              </a:solidFill>
            </a:ln>
          </c:spPr>
          <c:marker>
            <c:symbol val="none"/>
          </c:marker>
          <c:trendline>
            <c:spPr>
              <a:ln>
                <a:solidFill>
                  <a:schemeClr val="accent2">
                    <a:lumMod val="75000"/>
                  </a:schemeClr>
                </a:solidFill>
                <a:prstDash val="sysDash"/>
              </a:ln>
            </c:spPr>
            <c:trendlineType val="linear"/>
            <c:dispRSqr val="1"/>
            <c:trendlineLbl>
              <c:layout>
                <c:manualLayout>
                  <c:x val="-1.3026980547895119E-2"/>
                  <c:y val="-4.8279021922690263E-2"/>
                </c:manualLayout>
              </c:layout>
              <c:numFmt formatCode="General" sourceLinked="0"/>
            </c:trendlineLbl>
          </c:trendline>
          <c:cat>
            <c:numRef>
              <c:f>List1!$A$2:$A$142</c:f>
              <c:numCache>
                <c:formatCode>General</c:formatCode>
                <c:ptCount val="141"/>
                <c:pt idx="0">
                  <c:v>106</c:v>
                </c:pt>
                <c:pt idx="1">
                  <c:v>206</c:v>
                </c:pt>
                <c:pt idx="2">
                  <c:v>306</c:v>
                </c:pt>
                <c:pt idx="3">
                  <c:v>406</c:v>
                </c:pt>
                <c:pt idx="4">
                  <c:v>506</c:v>
                </c:pt>
                <c:pt idx="5">
                  <c:v>606</c:v>
                </c:pt>
                <c:pt idx="6">
                  <c:v>706</c:v>
                </c:pt>
                <c:pt idx="7">
                  <c:v>806</c:v>
                </c:pt>
                <c:pt idx="8">
                  <c:v>906</c:v>
                </c:pt>
                <c:pt idx="9">
                  <c:v>1006</c:v>
                </c:pt>
                <c:pt idx="10">
                  <c:v>1106</c:v>
                </c:pt>
                <c:pt idx="11">
                  <c:v>1206</c:v>
                </c:pt>
                <c:pt idx="12">
                  <c:v>107</c:v>
                </c:pt>
                <c:pt idx="13">
                  <c:v>207</c:v>
                </c:pt>
                <c:pt idx="14">
                  <c:v>307</c:v>
                </c:pt>
                <c:pt idx="15">
                  <c:v>407</c:v>
                </c:pt>
                <c:pt idx="16">
                  <c:v>507</c:v>
                </c:pt>
                <c:pt idx="17">
                  <c:v>607</c:v>
                </c:pt>
                <c:pt idx="18">
                  <c:v>707</c:v>
                </c:pt>
                <c:pt idx="19">
                  <c:v>807</c:v>
                </c:pt>
                <c:pt idx="20">
                  <c:v>907</c:v>
                </c:pt>
                <c:pt idx="21">
                  <c:v>1007</c:v>
                </c:pt>
                <c:pt idx="22">
                  <c:v>1107</c:v>
                </c:pt>
                <c:pt idx="23">
                  <c:v>1207</c:v>
                </c:pt>
                <c:pt idx="24">
                  <c:v>108</c:v>
                </c:pt>
                <c:pt idx="25">
                  <c:v>208</c:v>
                </c:pt>
                <c:pt idx="26">
                  <c:v>308</c:v>
                </c:pt>
                <c:pt idx="27">
                  <c:v>408</c:v>
                </c:pt>
                <c:pt idx="28">
                  <c:v>508</c:v>
                </c:pt>
                <c:pt idx="29">
                  <c:v>608</c:v>
                </c:pt>
                <c:pt idx="30">
                  <c:v>708</c:v>
                </c:pt>
                <c:pt idx="31">
                  <c:v>808</c:v>
                </c:pt>
                <c:pt idx="32">
                  <c:v>908</c:v>
                </c:pt>
                <c:pt idx="33">
                  <c:v>1008</c:v>
                </c:pt>
                <c:pt idx="34">
                  <c:v>1108</c:v>
                </c:pt>
                <c:pt idx="35">
                  <c:v>1208</c:v>
                </c:pt>
                <c:pt idx="36">
                  <c:v>109</c:v>
                </c:pt>
                <c:pt idx="37">
                  <c:v>209</c:v>
                </c:pt>
                <c:pt idx="38">
                  <c:v>309</c:v>
                </c:pt>
                <c:pt idx="39">
                  <c:v>409</c:v>
                </c:pt>
                <c:pt idx="40">
                  <c:v>509</c:v>
                </c:pt>
                <c:pt idx="41">
                  <c:v>609</c:v>
                </c:pt>
                <c:pt idx="42">
                  <c:v>709</c:v>
                </c:pt>
                <c:pt idx="43">
                  <c:v>809</c:v>
                </c:pt>
                <c:pt idx="44">
                  <c:v>909</c:v>
                </c:pt>
                <c:pt idx="45">
                  <c:v>1009</c:v>
                </c:pt>
                <c:pt idx="46">
                  <c:v>1109</c:v>
                </c:pt>
                <c:pt idx="47">
                  <c:v>1209</c:v>
                </c:pt>
                <c:pt idx="48">
                  <c:v>110</c:v>
                </c:pt>
                <c:pt idx="49">
                  <c:v>210</c:v>
                </c:pt>
                <c:pt idx="50">
                  <c:v>310</c:v>
                </c:pt>
                <c:pt idx="51">
                  <c:v>410</c:v>
                </c:pt>
                <c:pt idx="52">
                  <c:v>510</c:v>
                </c:pt>
                <c:pt idx="53">
                  <c:v>610</c:v>
                </c:pt>
                <c:pt idx="54">
                  <c:v>710</c:v>
                </c:pt>
                <c:pt idx="55">
                  <c:v>810</c:v>
                </c:pt>
                <c:pt idx="56">
                  <c:v>910</c:v>
                </c:pt>
                <c:pt idx="57">
                  <c:v>1010</c:v>
                </c:pt>
                <c:pt idx="58">
                  <c:v>1110</c:v>
                </c:pt>
                <c:pt idx="59">
                  <c:v>1210</c:v>
                </c:pt>
                <c:pt idx="60">
                  <c:v>111</c:v>
                </c:pt>
                <c:pt idx="61">
                  <c:v>211</c:v>
                </c:pt>
                <c:pt idx="62">
                  <c:v>311</c:v>
                </c:pt>
                <c:pt idx="63">
                  <c:v>411</c:v>
                </c:pt>
                <c:pt idx="64">
                  <c:v>511</c:v>
                </c:pt>
                <c:pt idx="65">
                  <c:v>611</c:v>
                </c:pt>
                <c:pt idx="66">
                  <c:v>711</c:v>
                </c:pt>
                <c:pt idx="67">
                  <c:v>811</c:v>
                </c:pt>
                <c:pt idx="68">
                  <c:v>911</c:v>
                </c:pt>
                <c:pt idx="69">
                  <c:v>1011</c:v>
                </c:pt>
                <c:pt idx="70">
                  <c:v>1111</c:v>
                </c:pt>
                <c:pt idx="71">
                  <c:v>1211</c:v>
                </c:pt>
                <c:pt idx="72">
                  <c:v>112</c:v>
                </c:pt>
                <c:pt idx="73">
                  <c:v>212</c:v>
                </c:pt>
                <c:pt idx="74">
                  <c:v>312</c:v>
                </c:pt>
                <c:pt idx="75">
                  <c:v>412</c:v>
                </c:pt>
                <c:pt idx="76">
                  <c:v>512</c:v>
                </c:pt>
                <c:pt idx="77">
                  <c:v>612</c:v>
                </c:pt>
                <c:pt idx="78">
                  <c:v>712</c:v>
                </c:pt>
                <c:pt idx="79">
                  <c:v>812</c:v>
                </c:pt>
                <c:pt idx="80">
                  <c:v>912</c:v>
                </c:pt>
                <c:pt idx="81">
                  <c:v>1012</c:v>
                </c:pt>
                <c:pt idx="82">
                  <c:v>1112</c:v>
                </c:pt>
                <c:pt idx="83">
                  <c:v>1212</c:v>
                </c:pt>
                <c:pt idx="84">
                  <c:v>113</c:v>
                </c:pt>
                <c:pt idx="85">
                  <c:v>213</c:v>
                </c:pt>
                <c:pt idx="86">
                  <c:v>313</c:v>
                </c:pt>
                <c:pt idx="87">
                  <c:v>413</c:v>
                </c:pt>
                <c:pt idx="88">
                  <c:v>513</c:v>
                </c:pt>
                <c:pt idx="89">
                  <c:v>613</c:v>
                </c:pt>
                <c:pt idx="90">
                  <c:v>713</c:v>
                </c:pt>
                <c:pt idx="91">
                  <c:v>813</c:v>
                </c:pt>
                <c:pt idx="92">
                  <c:v>913</c:v>
                </c:pt>
                <c:pt idx="93">
                  <c:v>1013</c:v>
                </c:pt>
                <c:pt idx="94">
                  <c:v>1113</c:v>
                </c:pt>
                <c:pt idx="95">
                  <c:v>1213</c:v>
                </c:pt>
                <c:pt idx="96">
                  <c:v>114</c:v>
                </c:pt>
                <c:pt idx="97">
                  <c:v>214</c:v>
                </c:pt>
                <c:pt idx="98">
                  <c:v>314</c:v>
                </c:pt>
                <c:pt idx="99">
                  <c:v>414</c:v>
                </c:pt>
                <c:pt idx="100">
                  <c:v>514</c:v>
                </c:pt>
                <c:pt idx="101">
                  <c:v>614</c:v>
                </c:pt>
                <c:pt idx="102">
                  <c:v>714</c:v>
                </c:pt>
                <c:pt idx="103">
                  <c:v>814</c:v>
                </c:pt>
                <c:pt idx="104">
                  <c:v>914</c:v>
                </c:pt>
                <c:pt idx="105">
                  <c:v>1014</c:v>
                </c:pt>
                <c:pt idx="106">
                  <c:v>1114</c:v>
                </c:pt>
                <c:pt idx="107">
                  <c:v>1214</c:v>
                </c:pt>
                <c:pt idx="108">
                  <c:v>115</c:v>
                </c:pt>
                <c:pt idx="109">
                  <c:v>215</c:v>
                </c:pt>
                <c:pt idx="110">
                  <c:v>315</c:v>
                </c:pt>
                <c:pt idx="111">
                  <c:v>415</c:v>
                </c:pt>
                <c:pt idx="112">
                  <c:v>515</c:v>
                </c:pt>
                <c:pt idx="113">
                  <c:v>615</c:v>
                </c:pt>
                <c:pt idx="114">
                  <c:v>715</c:v>
                </c:pt>
                <c:pt idx="115">
                  <c:v>815</c:v>
                </c:pt>
                <c:pt idx="116">
                  <c:v>915</c:v>
                </c:pt>
                <c:pt idx="117">
                  <c:v>1015</c:v>
                </c:pt>
                <c:pt idx="118">
                  <c:v>1115</c:v>
                </c:pt>
                <c:pt idx="119">
                  <c:v>1215</c:v>
                </c:pt>
                <c:pt idx="120">
                  <c:v>116</c:v>
                </c:pt>
                <c:pt idx="121">
                  <c:v>216</c:v>
                </c:pt>
                <c:pt idx="122">
                  <c:v>316</c:v>
                </c:pt>
                <c:pt idx="123">
                  <c:v>416</c:v>
                </c:pt>
                <c:pt idx="124">
                  <c:v>516</c:v>
                </c:pt>
                <c:pt idx="125">
                  <c:v>616</c:v>
                </c:pt>
                <c:pt idx="126">
                  <c:v>716</c:v>
                </c:pt>
                <c:pt idx="127">
                  <c:v>816</c:v>
                </c:pt>
                <c:pt idx="128">
                  <c:v>916</c:v>
                </c:pt>
                <c:pt idx="129">
                  <c:v>1016</c:v>
                </c:pt>
                <c:pt idx="130">
                  <c:v>1116</c:v>
                </c:pt>
                <c:pt idx="131">
                  <c:v>1216</c:v>
                </c:pt>
                <c:pt idx="132">
                  <c:v>117</c:v>
                </c:pt>
                <c:pt idx="133">
                  <c:v>217</c:v>
                </c:pt>
                <c:pt idx="134">
                  <c:v>317</c:v>
                </c:pt>
                <c:pt idx="135">
                  <c:v>417</c:v>
                </c:pt>
                <c:pt idx="136">
                  <c:v>517</c:v>
                </c:pt>
                <c:pt idx="137">
                  <c:v>617</c:v>
                </c:pt>
                <c:pt idx="138">
                  <c:v>717</c:v>
                </c:pt>
                <c:pt idx="139">
                  <c:v>817</c:v>
                </c:pt>
                <c:pt idx="140">
                  <c:v>917</c:v>
                </c:pt>
              </c:numCache>
            </c:numRef>
          </c:cat>
          <c:val>
            <c:numRef>
              <c:f>List1!$H$2:$H$142</c:f>
              <c:numCache>
                <c:formatCode>General</c:formatCode>
                <c:ptCount val="141"/>
                <c:pt idx="0">
                  <c:v>109.66</c:v>
                </c:pt>
                <c:pt idx="1">
                  <c:v>109.54</c:v>
                </c:pt>
                <c:pt idx="2">
                  <c:v>107.59</c:v>
                </c:pt>
                <c:pt idx="3">
                  <c:v>105.99000000000002</c:v>
                </c:pt>
                <c:pt idx="4">
                  <c:v>110.54</c:v>
                </c:pt>
                <c:pt idx="5">
                  <c:v>108.36999999999999</c:v>
                </c:pt>
                <c:pt idx="6">
                  <c:v>111.33</c:v>
                </c:pt>
                <c:pt idx="7">
                  <c:v>109.92</c:v>
                </c:pt>
                <c:pt idx="8">
                  <c:v>113.58</c:v>
                </c:pt>
                <c:pt idx="9">
                  <c:v>113.86</c:v>
                </c:pt>
                <c:pt idx="10">
                  <c:v>111.02</c:v>
                </c:pt>
                <c:pt idx="11">
                  <c:v>111.83</c:v>
                </c:pt>
                <c:pt idx="12">
                  <c:v>112.24000000000002</c:v>
                </c:pt>
                <c:pt idx="13">
                  <c:v>109.09</c:v>
                </c:pt>
                <c:pt idx="14">
                  <c:v>107.45</c:v>
                </c:pt>
                <c:pt idx="15">
                  <c:v>105.66</c:v>
                </c:pt>
                <c:pt idx="16">
                  <c:v>106.07</c:v>
                </c:pt>
                <c:pt idx="17">
                  <c:v>106.23</c:v>
                </c:pt>
                <c:pt idx="18">
                  <c:v>105.93</c:v>
                </c:pt>
                <c:pt idx="19">
                  <c:v>108.76</c:v>
                </c:pt>
                <c:pt idx="20">
                  <c:v>107.66</c:v>
                </c:pt>
                <c:pt idx="21">
                  <c:v>107.75</c:v>
                </c:pt>
                <c:pt idx="22">
                  <c:v>106.64999999999999</c:v>
                </c:pt>
                <c:pt idx="23">
                  <c:v>106.27</c:v>
                </c:pt>
                <c:pt idx="24">
                  <c:v>107.57</c:v>
                </c:pt>
                <c:pt idx="25">
                  <c:v>107</c:v>
                </c:pt>
                <c:pt idx="26">
                  <c:v>106.97</c:v>
                </c:pt>
                <c:pt idx="27">
                  <c:v>106.74000000000002</c:v>
                </c:pt>
                <c:pt idx="28">
                  <c:v>106.81</c:v>
                </c:pt>
                <c:pt idx="29">
                  <c:v>111.11</c:v>
                </c:pt>
                <c:pt idx="30">
                  <c:v>112.74000000000002</c:v>
                </c:pt>
                <c:pt idx="31">
                  <c:v>110.85</c:v>
                </c:pt>
                <c:pt idx="32">
                  <c:v>112.58</c:v>
                </c:pt>
                <c:pt idx="33">
                  <c:v>111.76</c:v>
                </c:pt>
                <c:pt idx="34">
                  <c:v>111.21000000000002</c:v>
                </c:pt>
                <c:pt idx="35">
                  <c:v>110.52</c:v>
                </c:pt>
                <c:pt idx="36">
                  <c:v>109.88</c:v>
                </c:pt>
                <c:pt idx="37">
                  <c:v>110.61999999999999</c:v>
                </c:pt>
                <c:pt idx="38">
                  <c:v>109.34</c:v>
                </c:pt>
                <c:pt idx="39">
                  <c:v>108.82</c:v>
                </c:pt>
                <c:pt idx="40">
                  <c:v>110.57</c:v>
                </c:pt>
                <c:pt idx="41">
                  <c:v>109.72</c:v>
                </c:pt>
                <c:pt idx="42">
                  <c:v>110.73</c:v>
                </c:pt>
                <c:pt idx="43">
                  <c:v>111.01</c:v>
                </c:pt>
                <c:pt idx="44">
                  <c:v>110.36</c:v>
                </c:pt>
                <c:pt idx="45">
                  <c:v>110.02</c:v>
                </c:pt>
                <c:pt idx="46">
                  <c:v>108.4</c:v>
                </c:pt>
                <c:pt idx="47">
                  <c:v>106.63</c:v>
                </c:pt>
                <c:pt idx="48">
                  <c:v>105.02</c:v>
                </c:pt>
                <c:pt idx="49">
                  <c:v>104.07</c:v>
                </c:pt>
                <c:pt idx="50">
                  <c:v>103.28</c:v>
                </c:pt>
                <c:pt idx="51">
                  <c:v>100.7</c:v>
                </c:pt>
                <c:pt idx="52">
                  <c:v>101.8</c:v>
                </c:pt>
                <c:pt idx="53">
                  <c:v>101.67999999999998</c:v>
                </c:pt>
                <c:pt idx="54">
                  <c:v>101.97</c:v>
                </c:pt>
                <c:pt idx="55">
                  <c:v>102.4</c:v>
                </c:pt>
                <c:pt idx="56">
                  <c:v>104.48</c:v>
                </c:pt>
                <c:pt idx="57">
                  <c:v>102.84</c:v>
                </c:pt>
                <c:pt idx="58">
                  <c:v>104.04</c:v>
                </c:pt>
                <c:pt idx="59">
                  <c:v>102.36999999999999</c:v>
                </c:pt>
                <c:pt idx="60">
                  <c:v>102.73</c:v>
                </c:pt>
                <c:pt idx="61">
                  <c:v>102.69</c:v>
                </c:pt>
                <c:pt idx="62">
                  <c:v>101.79</c:v>
                </c:pt>
                <c:pt idx="63">
                  <c:v>102.66</c:v>
                </c:pt>
                <c:pt idx="64">
                  <c:v>102.1</c:v>
                </c:pt>
                <c:pt idx="65">
                  <c:v>104.3</c:v>
                </c:pt>
                <c:pt idx="66">
                  <c:v>103.39</c:v>
                </c:pt>
                <c:pt idx="67">
                  <c:v>104.08</c:v>
                </c:pt>
                <c:pt idx="68">
                  <c:v>103.14</c:v>
                </c:pt>
                <c:pt idx="69">
                  <c:v>101.01</c:v>
                </c:pt>
                <c:pt idx="70">
                  <c:v>103.2</c:v>
                </c:pt>
                <c:pt idx="71">
                  <c:v>104.95</c:v>
                </c:pt>
                <c:pt idx="72">
                  <c:v>110.64999999999999</c:v>
                </c:pt>
                <c:pt idx="73">
                  <c:v>110.07</c:v>
                </c:pt>
                <c:pt idx="74">
                  <c:v>108.49000000000002</c:v>
                </c:pt>
                <c:pt idx="75">
                  <c:v>109.06</c:v>
                </c:pt>
                <c:pt idx="76">
                  <c:v>109.23</c:v>
                </c:pt>
                <c:pt idx="77">
                  <c:v>110.69</c:v>
                </c:pt>
                <c:pt idx="78">
                  <c:v>112.47</c:v>
                </c:pt>
                <c:pt idx="79">
                  <c:v>112.13</c:v>
                </c:pt>
                <c:pt idx="80">
                  <c:v>115.09</c:v>
                </c:pt>
                <c:pt idx="81">
                  <c:v>119.44000000000003</c:v>
                </c:pt>
                <c:pt idx="82">
                  <c:v>119.16999999999999</c:v>
                </c:pt>
                <c:pt idx="83">
                  <c:v>118.05</c:v>
                </c:pt>
                <c:pt idx="84">
                  <c:v>119.5</c:v>
                </c:pt>
                <c:pt idx="85">
                  <c:v>118.55</c:v>
                </c:pt>
                <c:pt idx="86">
                  <c:v>117.89</c:v>
                </c:pt>
                <c:pt idx="87">
                  <c:v>117.66999999999999</c:v>
                </c:pt>
                <c:pt idx="88">
                  <c:v>116.09</c:v>
                </c:pt>
                <c:pt idx="89">
                  <c:v>117.44000000000003</c:v>
                </c:pt>
                <c:pt idx="90">
                  <c:v>118.5</c:v>
                </c:pt>
                <c:pt idx="91">
                  <c:v>118</c:v>
                </c:pt>
                <c:pt idx="92">
                  <c:v>123.61</c:v>
                </c:pt>
                <c:pt idx="93">
                  <c:v>123.98</c:v>
                </c:pt>
                <c:pt idx="94">
                  <c:v>122.03</c:v>
                </c:pt>
                <c:pt idx="95">
                  <c:v>122.53</c:v>
                </c:pt>
                <c:pt idx="96">
                  <c:v>125.41000000000003</c:v>
                </c:pt>
                <c:pt idx="97">
                  <c:v>125.09</c:v>
                </c:pt>
                <c:pt idx="98">
                  <c:v>124.22</c:v>
                </c:pt>
                <c:pt idx="99">
                  <c:v>121.9</c:v>
                </c:pt>
                <c:pt idx="100">
                  <c:v>120.32</c:v>
                </c:pt>
                <c:pt idx="101">
                  <c:v>119.11999999999999</c:v>
                </c:pt>
                <c:pt idx="102">
                  <c:v>124.63</c:v>
                </c:pt>
                <c:pt idx="103">
                  <c:v>121.47</c:v>
                </c:pt>
                <c:pt idx="104">
                  <c:v>124.58</c:v>
                </c:pt>
                <c:pt idx="105">
                  <c:v>123.57</c:v>
                </c:pt>
                <c:pt idx="106">
                  <c:v>121.02</c:v>
                </c:pt>
                <c:pt idx="107">
                  <c:v>120.28</c:v>
                </c:pt>
                <c:pt idx="108">
                  <c:v>121.06</c:v>
                </c:pt>
                <c:pt idx="109">
                  <c:v>117.86</c:v>
                </c:pt>
                <c:pt idx="110">
                  <c:v>117</c:v>
                </c:pt>
                <c:pt idx="111">
                  <c:v>114.84</c:v>
                </c:pt>
                <c:pt idx="112">
                  <c:v>116.24000000000002</c:v>
                </c:pt>
                <c:pt idx="113">
                  <c:v>116.66</c:v>
                </c:pt>
                <c:pt idx="114">
                  <c:v>116.81</c:v>
                </c:pt>
                <c:pt idx="115">
                  <c:v>113.53</c:v>
                </c:pt>
                <c:pt idx="116">
                  <c:v>112.27</c:v>
                </c:pt>
                <c:pt idx="117">
                  <c:v>114.46000000000002</c:v>
                </c:pt>
                <c:pt idx="118">
                  <c:v>116.56</c:v>
                </c:pt>
                <c:pt idx="119">
                  <c:v>113.2</c:v>
                </c:pt>
                <c:pt idx="120">
                  <c:v>115.48</c:v>
                </c:pt>
                <c:pt idx="121">
                  <c:v>109.57</c:v>
                </c:pt>
                <c:pt idx="122">
                  <c:v>111.9</c:v>
                </c:pt>
                <c:pt idx="123">
                  <c:v>110.84</c:v>
                </c:pt>
                <c:pt idx="124">
                  <c:v>110.1</c:v>
                </c:pt>
                <c:pt idx="125">
                  <c:v>106.5</c:v>
                </c:pt>
                <c:pt idx="126">
                  <c:v>111.22</c:v>
                </c:pt>
                <c:pt idx="127">
                  <c:v>116.38</c:v>
                </c:pt>
                <c:pt idx="128">
                  <c:v>113.34</c:v>
                </c:pt>
                <c:pt idx="129">
                  <c:v>121.86999999999999</c:v>
                </c:pt>
                <c:pt idx="130">
                  <c:v>120.71000000000002</c:v>
                </c:pt>
                <c:pt idx="131">
                  <c:v>113.14</c:v>
                </c:pt>
                <c:pt idx="132">
                  <c:v>119.82</c:v>
                </c:pt>
                <c:pt idx="133">
                  <c:v>118.17999999999998</c:v>
                </c:pt>
                <c:pt idx="134">
                  <c:v>116.46000000000002</c:v>
                </c:pt>
                <c:pt idx="135">
                  <c:v>118.25</c:v>
                </c:pt>
                <c:pt idx="136">
                  <c:v>125.75</c:v>
                </c:pt>
                <c:pt idx="137">
                  <c:v>120.84</c:v>
                </c:pt>
                <c:pt idx="138">
                  <c:v>128.02000000000001</c:v>
                </c:pt>
                <c:pt idx="139">
                  <c:v>128.28</c:v>
                </c:pt>
                <c:pt idx="140">
                  <c:v>126.86999999999999</c:v>
                </c:pt>
              </c:numCache>
            </c:numRef>
          </c:val>
          <c:extLst xmlns:c16r2="http://schemas.microsoft.com/office/drawing/2015/06/chart">
            <c:ext xmlns:c16="http://schemas.microsoft.com/office/drawing/2014/chart" uri="{C3380CC4-5D6E-409C-BE32-E72D297353CC}">
              <c16:uniqueId val="{00000005-287C-47C0-9FAF-110EB2ADD721}"/>
            </c:ext>
          </c:extLst>
        </c:ser>
        <c:marker val="1"/>
        <c:axId val="243478528"/>
        <c:axId val="243472640"/>
      </c:lineChart>
      <c:catAx>
        <c:axId val="226946048"/>
        <c:scaling>
          <c:orientation val="minMax"/>
        </c:scaling>
        <c:axPos val="b"/>
        <c:numFmt formatCode="General" sourceLinked="1"/>
        <c:tickLblPos val="nextTo"/>
        <c:crossAx val="243471104"/>
        <c:crosses val="autoZero"/>
        <c:auto val="1"/>
        <c:lblAlgn val="ctr"/>
        <c:lblOffset val="100"/>
      </c:catAx>
      <c:valAx>
        <c:axId val="243471104"/>
        <c:scaling>
          <c:orientation val="minMax"/>
          <c:min val="10000"/>
        </c:scaling>
        <c:axPos val="l"/>
        <c:majorGridlines/>
        <c:numFmt formatCode="General" sourceLinked="1"/>
        <c:tickLblPos val="nextTo"/>
        <c:crossAx val="226946048"/>
        <c:crosses val="autoZero"/>
        <c:crossBetween val="between"/>
      </c:valAx>
      <c:valAx>
        <c:axId val="243472640"/>
        <c:scaling>
          <c:orientation val="minMax"/>
        </c:scaling>
        <c:axPos val="r"/>
        <c:numFmt formatCode="General" sourceLinked="1"/>
        <c:tickLblPos val="nextTo"/>
        <c:crossAx val="243478528"/>
        <c:crosses val="max"/>
        <c:crossBetween val="between"/>
      </c:valAx>
      <c:catAx>
        <c:axId val="243478528"/>
        <c:scaling>
          <c:orientation val="minMax"/>
        </c:scaling>
        <c:delete val="1"/>
        <c:axPos val="b"/>
        <c:numFmt formatCode="General" sourceLinked="1"/>
        <c:tickLblPos val="none"/>
        <c:crossAx val="243472640"/>
        <c:crosses val="autoZero"/>
        <c:auto val="1"/>
        <c:lblAlgn val="ctr"/>
        <c:lblOffset val="100"/>
      </c:catAx>
    </c:plotArea>
    <c:legend>
      <c:legendPos val="b"/>
      <c:layout>
        <c:manualLayout>
          <c:xMode val="edge"/>
          <c:yMode val="edge"/>
          <c:x val="9.218059547103212E-2"/>
          <c:y val="0.80726025618208863"/>
          <c:w val="0.86593386113490478"/>
          <c:h val="0.14806768482286281"/>
        </c:manualLayout>
      </c:layout>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cs-CZ"/>
  <c:chart>
    <c:autoTitleDeleted val="1"/>
    <c:plotArea>
      <c:layout>
        <c:manualLayout>
          <c:layoutTarget val="inner"/>
          <c:xMode val="edge"/>
          <c:yMode val="edge"/>
          <c:x val="8.5659199840055475E-2"/>
          <c:y val="5.2047927709776023E-2"/>
          <c:w val="0.85537718647336214"/>
          <c:h val="0.64948364237323464"/>
        </c:manualLayout>
      </c:layout>
      <c:lineChart>
        <c:grouping val="standard"/>
        <c:ser>
          <c:idx val="2"/>
          <c:order val="2"/>
          <c:tx>
            <c:strRef>
              <c:f>List1!$R$1</c:f>
              <c:strCache>
                <c:ptCount val="1"/>
                <c:pt idx="0">
                  <c:v>Kuřata jatečná</c:v>
                </c:pt>
              </c:strCache>
            </c:strRef>
          </c:tx>
          <c:spPr>
            <a:ln>
              <a:solidFill>
                <a:schemeClr val="tx1"/>
              </a:solidFill>
            </a:ln>
          </c:spPr>
          <c:marker>
            <c:symbol val="none"/>
          </c:marker>
          <c:trendline>
            <c:trendlineType val="linear"/>
            <c:dispRSqr val="1"/>
            <c:trendlineLbl>
              <c:layout>
                <c:manualLayout>
                  <c:x val="-2.754887463735688E-2"/>
                  <c:y val="6.2177565815701295E-2"/>
                </c:manualLayout>
              </c:layout>
              <c:numFmt formatCode="General" sourceLinked="0"/>
            </c:trendlineLbl>
          </c:trendline>
          <c:cat>
            <c:numRef>
              <c:f>List1!$A$2:$A$142</c:f>
              <c:numCache>
                <c:formatCode>General</c:formatCode>
                <c:ptCount val="141"/>
                <c:pt idx="0">
                  <c:v>106</c:v>
                </c:pt>
                <c:pt idx="1">
                  <c:v>206</c:v>
                </c:pt>
                <c:pt idx="2">
                  <c:v>306</c:v>
                </c:pt>
                <c:pt idx="3">
                  <c:v>406</c:v>
                </c:pt>
                <c:pt idx="4">
                  <c:v>506</c:v>
                </c:pt>
                <c:pt idx="5">
                  <c:v>606</c:v>
                </c:pt>
                <c:pt idx="6">
                  <c:v>706</c:v>
                </c:pt>
                <c:pt idx="7">
                  <c:v>806</c:v>
                </c:pt>
                <c:pt idx="8">
                  <c:v>906</c:v>
                </c:pt>
                <c:pt idx="9">
                  <c:v>1006</c:v>
                </c:pt>
                <c:pt idx="10">
                  <c:v>1106</c:v>
                </c:pt>
                <c:pt idx="11">
                  <c:v>1206</c:v>
                </c:pt>
                <c:pt idx="12">
                  <c:v>107</c:v>
                </c:pt>
                <c:pt idx="13">
                  <c:v>207</c:v>
                </c:pt>
                <c:pt idx="14">
                  <c:v>307</c:v>
                </c:pt>
                <c:pt idx="15">
                  <c:v>407</c:v>
                </c:pt>
                <c:pt idx="16">
                  <c:v>507</c:v>
                </c:pt>
                <c:pt idx="17">
                  <c:v>607</c:v>
                </c:pt>
                <c:pt idx="18">
                  <c:v>707</c:v>
                </c:pt>
                <c:pt idx="19">
                  <c:v>807</c:v>
                </c:pt>
                <c:pt idx="20">
                  <c:v>907</c:v>
                </c:pt>
                <c:pt idx="21">
                  <c:v>1007</c:v>
                </c:pt>
                <c:pt idx="22">
                  <c:v>1107</c:v>
                </c:pt>
                <c:pt idx="23">
                  <c:v>1207</c:v>
                </c:pt>
                <c:pt idx="24">
                  <c:v>108</c:v>
                </c:pt>
                <c:pt idx="25">
                  <c:v>208</c:v>
                </c:pt>
                <c:pt idx="26">
                  <c:v>308</c:v>
                </c:pt>
                <c:pt idx="27">
                  <c:v>408</c:v>
                </c:pt>
                <c:pt idx="28">
                  <c:v>508</c:v>
                </c:pt>
                <c:pt idx="29">
                  <c:v>608</c:v>
                </c:pt>
                <c:pt idx="30">
                  <c:v>708</c:v>
                </c:pt>
                <c:pt idx="31">
                  <c:v>808</c:v>
                </c:pt>
                <c:pt idx="32">
                  <c:v>908</c:v>
                </c:pt>
                <c:pt idx="33">
                  <c:v>1008</c:v>
                </c:pt>
                <c:pt idx="34">
                  <c:v>1108</c:v>
                </c:pt>
                <c:pt idx="35">
                  <c:v>1208</c:v>
                </c:pt>
                <c:pt idx="36">
                  <c:v>109</c:v>
                </c:pt>
                <c:pt idx="37">
                  <c:v>209</c:v>
                </c:pt>
                <c:pt idx="38">
                  <c:v>309</c:v>
                </c:pt>
                <c:pt idx="39">
                  <c:v>409</c:v>
                </c:pt>
                <c:pt idx="40">
                  <c:v>509</c:v>
                </c:pt>
                <c:pt idx="41">
                  <c:v>609</c:v>
                </c:pt>
                <c:pt idx="42">
                  <c:v>709</c:v>
                </c:pt>
                <c:pt idx="43">
                  <c:v>809</c:v>
                </c:pt>
                <c:pt idx="44">
                  <c:v>909</c:v>
                </c:pt>
                <c:pt idx="45">
                  <c:v>1009</c:v>
                </c:pt>
                <c:pt idx="46">
                  <c:v>1109</c:v>
                </c:pt>
                <c:pt idx="47">
                  <c:v>1209</c:v>
                </c:pt>
                <c:pt idx="48">
                  <c:v>110</c:v>
                </c:pt>
                <c:pt idx="49">
                  <c:v>210</c:v>
                </c:pt>
                <c:pt idx="50">
                  <c:v>310</c:v>
                </c:pt>
                <c:pt idx="51">
                  <c:v>410</c:v>
                </c:pt>
                <c:pt idx="52">
                  <c:v>510</c:v>
                </c:pt>
                <c:pt idx="53">
                  <c:v>610</c:v>
                </c:pt>
                <c:pt idx="54">
                  <c:v>710</c:v>
                </c:pt>
                <c:pt idx="55">
                  <c:v>810</c:v>
                </c:pt>
                <c:pt idx="56">
                  <c:v>910</c:v>
                </c:pt>
                <c:pt idx="57">
                  <c:v>1010</c:v>
                </c:pt>
                <c:pt idx="58">
                  <c:v>1110</c:v>
                </c:pt>
                <c:pt idx="59">
                  <c:v>1210</c:v>
                </c:pt>
                <c:pt idx="60">
                  <c:v>111</c:v>
                </c:pt>
                <c:pt idx="61">
                  <c:v>211</c:v>
                </c:pt>
                <c:pt idx="62">
                  <c:v>311</c:v>
                </c:pt>
                <c:pt idx="63">
                  <c:v>411</c:v>
                </c:pt>
                <c:pt idx="64">
                  <c:v>511</c:v>
                </c:pt>
                <c:pt idx="65">
                  <c:v>611</c:v>
                </c:pt>
                <c:pt idx="66">
                  <c:v>711</c:v>
                </c:pt>
                <c:pt idx="67">
                  <c:v>811</c:v>
                </c:pt>
                <c:pt idx="68">
                  <c:v>911</c:v>
                </c:pt>
                <c:pt idx="69">
                  <c:v>1011</c:v>
                </c:pt>
                <c:pt idx="70">
                  <c:v>1111</c:v>
                </c:pt>
                <c:pt idx="71">
                  <c:v>1211</c:v>
                </c:pt>
                <c:pt idx="72">
                  <c:v>112</c:v>
                </c:pt>
                <c:pt idx="73">
                  <c:v>212</c:v>
                </c:pt>
                <c:pt idx="74">
                  <c:v>312</c:v>
                </c:pt>
                <c:pt idx="75">
                  <c:v>412</c:v>
                </c:pt>
                <c:pt idx="76">
                  <c:v>512</c:v>
                </c:pt>
                <c:pt idx="77">
                  <c:v>612</c:v>
                </c:pt>
                <c:pt idx="78">
                  <c:v>712</c:v>
                </c:pt>
                <c:pt idx="79">
                  <c:v>812</c:v>
                </c:pt>
                <c:pt idx="80">
                  <c:v>912</c:v>
                </c:pt>
                <c:pt idx="81">
                  <c:v>1012</c:v>
                </c:pt>
                <c:pt idx="82">
                  <c:v>1112</c:v>
                </c:pt>
                <c:pt idx="83">
                  <c:v>1212</c:v>
                </c:pt>
                <c:pt idx="84">
                  <c:v>113</c:v>
                </c:pt>
                <c:pt idx="85">
                  <c:v>213</c:v>
                </c:pt>
                <c:pt idx="86">
                  <c:v>313</c:v>
                </c:pt>
                <c:pt idx="87">
                  <c:v>413</c:v>
                </c:pt>
                <c:pt idx="88">
                  <c:v>513</c:v>
                </c:pt>
                <c:pt idx="89">
                  <c:v>613</c:v>
                </c:pt>
                <c:pt idx="90">
                  <c:v>713</c:v>
                </c:pt>
                <c:pt idx="91">
                  <c:v>813</c:v>
                </c:pt>
                <c:pt idx="92">
                  <c:v>913</c:v>
                </c:pt>
                <c:pt idx="93">
                  <c:v>1013</c:v>
                </c:pt>
                <c:pt idx="94">
                  <c:v>1113</c:v>
                </c:pt>
                <c:pt idx="95">
                  <c:v>1213</c:v>
                </c:pt>
                <c:pt idx="96">
                  <c:v>114</c:v>
                </c:pt>
                <c:pt idx="97">
                  <c:v>214</c:v>
                </c:pt>
                <c:pt idx="98">
                  <c:v>314</c:v>
                </c:pt>
                <c:pt idx="99">
                  <c:v>414</c:v>
                </c:pt>
                <c:pt idx="100">
                  <c:v>514</c:v>
                </c:pt>
                <c:pt idx="101">
                  <c:v>614</c:v>
                </c:pt>
                <c:pt idx="102">
                  <c:v>714</c:v>
                </c:pt>
                <c:pt idx="103">
                  <c:v>814</c:v>
                </c:pt>
                <c:pt idx="104">
                  <c:v>914</c:v>
                </c:pt>
                <c:pt idx="105">
                  <c:v>1014</c:v>
                </c:pt>
                <c:pt idx="106">
                  <c:v>1114</c:v>
                </c:pt>
                <c:pt idx="107">
                  <c:v>1214</c:v>
                </c:pt>
                <c:pt idx="108">
                  <c:v>115</c:v>
                </c:pt>
                <c:pt idx="109">
                  <c:v>215</c:v>
                </c:pt>
                <c:pt idx="110">
                  <c:v>315</c:v>
                </c:pt>
                <c:pt idx="111">
                  <c:v>415</c:v>
                </c:pt>
                <c:pt idx="112">
                  <c:v>515</c:v>
                </c:pt>
                <c:pt idx="113">
                  <c:v>615</c:v>
                </c:pt>
                <c:pt idx="114">
                  <c:v>715</c:v>
                </c:pt>
                <c:pt idx="115">
                  <c:v>815</c:v>
                </c:pt>
                <c:pt idx="116">
                  <c:v>915</c:v>
                </c:pt>
                <c:pt idx="117">
                  <c:v>1015</c:v>
                </c:pt>
                <c:pt idx="118">
                  <c:v>1115</c:v>
                </c:pt>
                <c:pt idx="119">
                  <c:v>1215</c:v>
                </c:pt>
                <c:pt idx="120">
                  <c:v>116</c:v>
                </c:pt>
                <c:pt idx="121">
                  <c:v>216</c:v>
                </c:pt>
                <c:pt idx="122">
                  <c:v>316</c:v>
                </c:pt>
                <c:pt idx="123">
                  <c:v>416</c:v>
                </c:pt>
                <c:pt idx="124">
                  <c:v>516</c:v>
                </c:pt>
                <c:pt idx="125">
                  <c:v>616</c:v>
                </c:pt>
                <c:pt idx="126">
                  <c:v>716</c:v>
                </c:pt>
                <c:pt idx="127">
                  <c:v>816</c:v>
                </c:pt>
                <c:pt idx="128">
                  <c:v>916</c:v>
                </c:pt>
                <c:pt idx="129">
                  <c:v>1016</c:v>
                </c:pt>
                <c:pt idx="130">
                  <c:v>1116</c:v>
                </c:pt>
                <c:pt idx="131">
                  <c:v>1216</c:v>
                </c:pt>
                <c:pt idx="132">
                  <c:v>117</c:v>
                </c:pt>
                <c:pt idx="133">
                  <c:v>217</c:v>
                </c:pt>
                <c:pt idx="134">
                  <c:v>317</c:v>
                </c:pt>
                <c:pt idx="135">
                  <c:v>417</c:v>
                </c:pt>
                <c:pt idx="136">
                  <c:v>517</c:v>
                </c:pt>
                <c:pt idx="137">
                  <c:v>617</c:v>
                </c:pt>
                <c:pt idx="138">
                  <c:v>717</c:v>
                </c:pt>
                <c:pt idx="139">
                  <c:v>817</c:v>
                </c:pt>
                <c:pt idx="140">
                  <c:v>917</c:v>
                </c:pt>
              </c:numCache>
            </c:numRef>
          </c:cat>
          <c:val>
            <c:numRef>
              <c:f>List1!$R$2:$R$142</c:f>
              <c:numCache>
                <c:formatCode>General</c:formatCode>
                <c:ptCount val="141"/>
                <c:pt idx="0">
                  <c:v>20585</c:v>
                </c:pt>
                <c:pt idx="1">
                  <c:v>19863</c:v>
                </c:pt>
                <c:pt idx="2">
                  <c:v>19244</c:v>
                </c:pt>
                <c:pt idx="3">
                  <c:v>19161</c:v>
                </c:pt>
                <c:pt idx="4">
                  <c:v>18627</c:v>
                </c:pt>
                <c:pt idx="5">
                  <c:v>19025</c:v>
                </c:pt>
                <c:pt idx="6">
                  <c:v>18873</c:v>
                </c:pt>
                <c:pt idx="7">
                  <c:v>19078</c:v>
                </c:pt>
                <c:pt idx="8">
                  <c:v>18906</c:v>
                </c:pt>
                <c:pt idx="9">
                  <c:v>18935</c:v>
                </c:pt>
                <c:pt idx="10">
                  <c:v>19369</c:v>
                </c:pt>
                <c:pt idx="11">
                  <c:v>18912</c:v>
                </c:pt>
                <c:pt idx="12">
                  <c:v>19317</c:v>
                </c:pt>
                <c:pt idx="13">
                  <c:v>19214</c:v>
                </c:pt>
                <c:pt idx="14">
                  <c:v>19594</c:v>
                </c:pt>
                <c:pt idx="15">
                  <c:v>19470</c:v>
                </c:pt>
                <c:pt idx="16">
                  <c:v>20147</c:v>
                </c:pt>
                <c:pt idx="17">
                  <c:v>20345</c:v>
                </c:pt>
                <c:pt idx="18">
                  <c:v>20321</c:v>
                </c:pt>
                <c:pt idx="19">
                  <c:v>21275</c:v>
                </c:pt>
                <c:pt idx="20">
                  <c:v>22083</c:v>
                </c:pt>
                <c:pt idx="21">
                  <c:v>23016</c:v>
                </c:pt>
                <c:pt idx="22">
                  <c:v>23345</c:v>
                </c:pt>
                <c:pt idx="23">
                  <c:v>23568</c:v>
                </c:pt>
                <c:pt idx="24">
                  <c:v>23600</c:v>
                </c:pt>
                <c:pt idx="25">
                  <c:v>23275</c:v>
                </c:pt>
                <c:pt idx="26">
                  <c:v>23778</c:v>
                </c:pt>
                <c:pt idx="27">
                  <c:v>23645</c:v>
                </c:pt>
                <c:pt idx="28">
                  <c:v>23532</c:v>
                </c:pt>
                <c:pt idx="29">
                  <c:v>23450</c:v>
                </c:pt>
                <c:pt idx="30">
                  <c:v>23404</c:v>
                </c:pt>
                <c:pt idx="31">
                  <c:v>22911</c:v>
                </c:pt>
                <c:pt idx="32">
                  <c:v>22290</c:v>
                </c:pt>
                <c:pt idx="33">
                  <c:v>21607</c:v>
                </c:pt>
                <c:pt idx="34">
                  <c:v>21335</c:v>
                </c:pt>
                <c:pt idx="35">
                  <c:v>20996</c:v>
                </c:pt>
                <c:pt idx="36">
                  <c:v>20600</c:v>
                </c:pt>
                <c:pt idx="37">
                  <c:v>20578</c:v>
                </c:pt>
                <c:pt idx="38">
                  <c:v>20821</c:v>
                </c:pt>
                <c:pt idx="39">
                  <c:v>20969</c:v>
                </c:pt>
                <c:pt idx="40">
                  <c:v>20676</c:v>
                </c:pt>
                <c:pt idx="41">
                  <c:v>20811</c:v>
                </c:pt>
                <c:pt idx="42">
                  <c:v>20649</c:v>
                </c:pt>
                <c:pt idx="43">
                  <c:v>20674</c:v>
                </c:pt>
                <c:pt idx="44">
                  <c:v>20726</c:v>
                </c:pt>
                <c:pt idx="45">
                  <c:v>20586</c:v>
                </c:pt>
                <c:pt idx="46">
                  <c:v>20436</c:v>
                </c:pt>
                <c:pt idx="47">
                  <c:v>20383</c:v>
                </c:pt>
                <c:pt idx="48">
                  <c:v>20084</c:v>
                </c:pt>
                <c:pt idx="49">
                  <c:v>20070</c:v>
                </c:pt>
                <c:pt idx="50">
                  <c:v>20198</c:v>
                </c:pt>
                <c:pt idx="51">
                  <c:v>20032</c:v>
                </c:pt>
                <c:pt idx="52">
                  <c:v>20182</c:v>
                </c:pt>
                <c:pt idx="53">
                  <c:v>20148</c:v>
                </c:pt>
                <c:pt idx="54">
                  <c:v>20293</c:v>
                </c:pt>
                <c:pt idx="55">
                  <c:v>20516</c:v>
                </c:pt>
                <c:pt idx="56">
                  <c:v>20549</c:v>
                </c:pt>
                <c:pt idx="57">
                  <c:v>20742</c:v>
                </c:pt>
                <c:pt idx="58">
                  <c:v>20873</c:v>
                </c:pt>
                <c:pt idx="59">
                  <c:v>20810</c:v>
                </c:pt>
                <c:pt idx="60">
                  <c:v>20715</c:v>
                </c:pt>
                <c:pt idx="61">
                  <c:v>21397</c:v>
                </c:pt>
                <c:pt idx="62">
                  <c:v>21684</c:v>
                </c:pt>
                <c:pt idx="63">
                  <c:v>21923</c:v>
                </c:pt>
                <c:pt idx="64">
                  <c:v>22236</c:v>
                </c:pt>
                <c:pt idx="65">
                  <c:v>22400</c:v>
                </c:pt>
                <c:pt idx="66">
                  <c:v>22559</c:v>
                </c:pt>
                <c:pt idx="67">
                  <c:v>22369</c:v>
                </c:pt>
                <c:pt idx="68">
                  <c:v>22559</c:v>
                </c:pt>
                <c:pt idx="69">
                  <c:v>22358</c:v>
                </c:pt>
                <c:pt idx="70">
                  <c:v>22620</c:v>
                </c:pt>
                <c:pt idx="71">
                  <c:v>22509</c:v>
                </c:pt>
                <c:pt idx="72">
                  <c:v>22783</c:v>
                </c:pt>
                <c:pt idx="73">
                  <c:v>22396</c:v>
                </c:pt>
                <c:pt idx="74">
                  <c:v>22586</c:v>
                </c:pt>
                <c:pt idx="75">
                  <c:v>22437</c:v>
                </c:pt>
                <c:pt idx="76">
                  <c:v>22727</c:v>
                </c:pt>
                <c:pt idx="77">
                  <c:v>22354</c:v>
                </c:pt>
                <c:pt idx="78">
                  <c:v>22718</c:v>
                </c:pt>
                <c:pt idx="79">
                  <c:v>22633</c:v>
                </c:pt>
                <c:pt idx="80">
                  <c:v>23396</c:v>
                </c:pt>
                <c:pt idx="81">
                  <c:v>23705</c:v>
                </c:pt>
                <c:pt idx="82">
                  <c:v>24615</c:v>
                </c:pt>
                <c:pt idx="83">
                  <c:v>24656</c:v>
                </c:pt>
                <c:pt idx="84">
                  <c:v>24984</c:v>
                </c:pt>
                <c:pt idx="85">
                  <c:v>25722</c:v>
                </c:pt>
                <c:pt idx="86">
                  <c:v>25141</c:v>
                </c:pt>
                <c:pt idx="87">
                  <c:v>25314</c:v>
                </c:pt>
                <c:pt idx="88">
                  <c:v>24784</c:v>
                </c:pt>
                <c:pt idx="89">
                  <c:v>25108</c:v>
                </c:pt>
                <c:pt idx="90">
                  <c:v>24517</c:v>
                </c:pt>
                <c:pt idx="91">
                  <c:v>24670</c:v>
                </c:pt>
                <c:pt idx="92">
                  <c:v>24807</c:v>
                </c:pt>
                <c:pt idx="93">
                  <c:v>23905</c:v>
                </c:pt>
                <c:pt idx="94">
                  <c:v>24528</c:v>
                </c:pt>
                <c:pt idx="95">
                  <c:v>23418</c:v>
                </c:pt>
                <c:pt idx="96">
                  <c:v>24742</c:v>
                </c:pt>
                <c:pt idx="97">
                  <c:v>22995</c:v>
                </c:pt>
                <c:pt idx="98">
                  <c:v>24592</c:v>
                </c:pt>
                <c:pt idx="99">
                  <c:v>23456</c:v>
                </c:pt>
                <c:pt idx="100">
                  <c:v>24136</c:v>
                </c:pt>
                <c:pt idx="101">
                  <c:v>23644</c:v>
                </c:pt>
                <c:pt idx="102">
                  <c:v>23714</c:v>
                </c:pt>
                <c:pt idx="103">
                  <c:v>23948</c:v>
                </c:pt>
                <c:pt idx="104">
                  <c:v>23669</c:v>
                </c:pt>
                <c:pt idx="105">
                  <c:v>23839</c:v>
                </c:pt>
                <c:pt idx="106">
                  <c:v>23625</c:v>
                </c:pt>
                <c:pt idx="107">
                  <c:v>23949</c:v>
                </c:pt>
                <c:pt idx="108" formatCode="#,##0">
                  <c:v>23989</c:v>
                </c:pt>
                <c:pt idx="109" formatCode="#,##0">
                  <c:v>24612</c:v>
                </c:pt>
                <c:pt idx="110" formatCode="#,##0">
                  <c:v>23337</c:v>
                </c:pt>
                <c:pt idx="111" formatCode="#,##0">
                  <c:v>24146</c:v>
                </c:pt>
                <c:pt idx="112" formatCode="#,##0">
                  <c:v>22889</c:v>
                </c:pt>
                <c:pt idx="113" formatCode="#,##0">
                  <c:v>24071</c:v>
                </c:pt>
                <c:pt idx="114" formatCode="#,##0">
                  <c:v>22943</c:v>
                </c:pt>
                <c:pt idx="115" formatCode="#,##0">
                  <c:v>23804</c:v>
                </c:pt>
                <c:pt idx="116" formatCode="#,##0">
                  <c:v>23079</c:v>
                </c:pt>
                <c:pt idx="117" formatCode="#,##0">
                  <c:v>24251</c:v>
                </c:pt>
                <c:pt idx="118" formatCode="#,##0">
                  <c:v>23441</c:v>
                </c:pt>
                <c:pt idx="119" formatCode="#,##0">
                  <c:v>24236</c:v>
                </c:pt>
                <c:pt idx="120" formatCode="#,##0">
                  <c:v>23372</c:v>
                </c:pt>
                <c:pt idx="121" formatCode="#,##0">
                  <c:v>23756</c:v>
                </c:pt>
                <c:pt idx="122" formatCode="#,##0">
                  <c:v>23423</c:v>
                </c:pt>
                <c:pt idx="123" formatCode="#,##0">
                  <c:v>24072</c:v>
                </c:pt>
                <c:pt idx="124" formatCode="#,##0">
                  <c:v>23193</c:v>
                </c:pt>
                <c:pt idx="125" formatCode="#,##0">
                  <c:v>24050</c:v>
                </c:pt>
                <c:pt idx="126" formatCode="#,##0">
                  <c:v>23750</c:v>
                </c:pt>
                <c:pt idx="127" formatCode="#,##0">
                  <c:v>23068</c:v>
                </c:pt>
                <c:pt idx="128" formatCode="#,##0">
                  <c:v>23672</c:v>
                </c:pt>
                <c:pt idx="129" formatCode="#,##0">
                  <c:v>23163</c:v>
                </c:pt>
                <c:pt idx="130" formatCode="###,###,##0">
                  <c:v>23442</c:v>
                </c:pt>
                <c:pt idx="131" formatCode="###,###,##0">
                  <c:v>22665</c:v>
                </c:pt>
                <c:pt idx="132" formatCode="#,##0">
                  <c:v>24269</c:v>
                </c:pt>
                <c:pt idx="133" formatCode="###,###,##0">
                  <c:v>23460</c:v>
                </c:pt>
                <c:pt idx="134" formatCode="###,###,##0">
                  <c:v>24164</c:v>
                </c:pt>
                <c:pt idx="135" formatCode="###,###,##0">
                  <c:v>22966</c:v>
                </c:pt>
                <c:pt idx="136" formatCode="###,###,##0">
                  <c:v>23578</c:v>
                </c:pt>
                <c:pt idx="137" formatCode="###,###,##0">
                  <c:v>22166</c:v>
                </c:pt>
                <c:pt idx="138" formatCode="#,##0">
                  <c:v>23578</c:v>
                </c:pt>
                <c:pt idx="139" formatCode="#,##0">
                  <c:v>22275</c:v>
                </c:pt>
                <c:pt idx="140" formatCode="#,##0">
                  <c:v>23535</c:v>
                </c:pt>
              </c:numCache>
            </c:numRef>
          </c:val>
          <c:extLst xmlns:c16r2="http://schemas.microsoft.com/office/drawing/2015/06/chart">
            <c:ext xmlns:c16="http://schemas.microsoft.com/office/drawing/2014/chart" uri="{C3380CC4-5D6E-409C-BE32-E72D297353CC}">
              <c16:uniqueId val="{00000001-B44E-4CCC-BE46-912316A82CD4}"/>
            </c:ext>
          </c:extLst>
        </c:ser>
        <c:marker val="1"/>
        <c:axId val="243695616"/>
        <c:axId val="243697152"/>
      </c:lineChart>
      <c:lineChart>
        <c:grouping val="standard"/>
        <c:ser>
          <c:idx val="0"/>
          <c:order val="0"/>
          <c:tx>
            <c:strRef>
              <c:f>List1!$S$1</c:f>
              <c:strCache>
                <c:ptCount val="1"/>
                <c:pt idx="0">
                  <c:v>Kuře kuchané CPV</c:v>
                </c:pt>
              </c:strCache>
            </c:strRef>
          </c:tx>
          <c:spPr>
            <a:ln w="19050" cap="rnd">
              <a:solidFill>
                <a:schemeClr val="accent1"/>
              </a:solidFill>
              <a:round/>
            </a:ln>
            <a:effectLst/>
          </c:spPr>
          <c:marker>
            <c:symbol val="none"/>
          </c:marker>
          <c:trendline>
            <c:spPr>
              <a:ln w="19050" cap="rnd">
                <a:solidFill>
                  <a:schemeClr val="accent1"/>
                </a:solidFill>
                <a:prstDash val="sysDot"/>
              </a:ln>
              <a:effectLst/>
            </c:spPr>
            <c:trendlineType val="linear"/>
            <c:dispRSqr val="1"/>
            <c:trendlineLbl>
              <c:layout>
                <c:manualLayout>
                  <c:x val="-6.2417434530755867E-3"/>
                  <c:y val="6.4316299260265511E-2"/>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trendlineLbl>
          </c:trendline>
          <c:cat>
            <c:numRef>
              <c:f>List1!$A$2:$A$142</c:f>
              <c:numCache>
                <c:formatCode>General</c:formatCode>
                <c:ptCount val="141"/>
                <c:pt idx="0">
                  <c:v>106</c:v>
                </c:pt>
                <c:pt idx="1">
                  <c:v>206</c:v>
                </c:pt>
                <c:pt idx="2">
                  <c:v>306</c:v>
                </c:pt>
                <c:pt idx="3">
                  <c:v>406</c:v>
                </c:pt>
                <c:pt idx="4">
                  <c:v>506</c:v>
                </c:pt>
                <c:pt idx="5">
                  <c:v>606</c:v>
                </c:pt>
                <c:pt idx="6">
                  <c:v>706</c:v>
                </c:pt>
                <c:pt idx="7">
                  <c:v>806</c:v>
                </c:pt>
                <c:pt idx="8">
                  <c:v>906</c:v>
                </c:pt>
                <c:pt idx="9">
                  <c:v>1006</c:v>
                </c:pt>
                <c:pt idx="10">
                  <c:v>1106</c:v>
                </c:pt>
                <c:pt idx="11">
                  <c:v>1206</c:v>
                </c:pt>
                <c:pt idx="12">
                  <c:v>107</c:v>
                </c:pt>
                <c:pt idx="13">
                  <c:v>207</c:v>
                </c:pt>
                <c:pt idx="14">
                  <c:v>307</c:v>
                </c:pt>
                <c:pt idx="15">
                  <c:v>407</c:v>
                </c:pt>
                <c:pt idx="16">
                  <c:v>507</c:v>
                </c:pt>
                <c:pt idx="17">
                  <c:v>607</c:v>
                </c:pt>
                <c:pt idx="18">
                  <c:v>707</c:v>
                </c:pt>
                <c:pt idx="19">
                  <c:v>807</c:v>
                </c:pt>
                <c:pt idx="20">
                  <c:v>907</c:v>
                </c:pt>
                <c:pt idx="21">
                  <c:v>1007</c:v>
                </c:pt>
                <c:pt idx="22">
                  <c:v>1107</c:v>
                </c:pt>
                <c:pt idx="23">
                  <c:v>1207</c:v>
                </c:pt>
                <c:pt idx="24">
                  <c:v>108</c:v>
                </c:pt>
                <c:pt idx="25">
                  <c:v>208</c:v>
                </c:pt>
                <c:pt idx="26">
                  <c:v>308</c:v>
                </c:pt>
                <c:pt idx="27">
                  <c:v>408</c:v>
                </c:pt>
                <c:pt idx="28">
                  <c:v>508</c:v>
                </c:pt>
                <c:pt idx="29">
                  <c:v>608</c:v>
                </c:pt>
                <c:pt idx="30">
                  <c:v>708</c:v>
                </c:pt>
                <c:pt idx="31">
                  <c:v>808</c:v>
                </c:pt>
                <c:pt idx="32">
                  <c:v>908</c:v>
                </c:pt>
                <c:pt idx="33">
                  <c:v>1008</c:v>
                </c:pt>
                <c:pt idx="34">
                  <c:v>1108</c:v>
                </c:pt>
                <c:pt idx="35">
                  <c:v>1208</c:v>
                </c:pt>
                <c:pt idx="36">
                  <c:v>109</c:v>
                </c:pt>
                <c:pt idx="37">
                  <c:v>209</c:v>
                </c:pt>
                <c:pt idx="38">
                  <c:v>309</c:v>
                </c:pt>
                <c:pt idx="39">
                  <c:v>409</c:v>
                </c:pt>
                <c:pt idx="40">
                  <c:v>509</c:v>
                </c:pt>
                <c:pt idx="41">
                  <c:v>609</c:v>
                </c:pt>
                <c:pt idx="42">
                  <c:v>709</c:v>
                </c:pt>
                <c:pt idx="43">
                  <c:v>809</c:v>
                </c:pt>
                <c:pt idx="44">
                  <c:v>909</c:v>
                </c:pt>
                <c:pt idx="45">
                  <c:v>1009</c:v>
                </c:pt>
                <c:pt idx="46">
                  <c:v>1109</c:v>
                </c:pt>
                <c:pt idx="47">
                  <c:v>1209</c:v>
                </c:pt>
                <c:pt idx="48">
                  <c:v>110</c:v>
                </c:pt>
                <c:pt idx="49">
                  <c:v>210</c:v>
                </c:pt>
                <c:pt idx="50">
                  <c:v>310</c:v>
                </c:pt>
                <c:pt idx="51">
                  <c:v>410</c:v>
                </c:pt>
                <c:pt idx="52">
                  <c:v>510</c:v>
                </c:pt>
                <c:pt idx="53">
                  <c:v>610</c:v>
                </c:pt>
                <c:pt idx="54">
                  <c:v>710</c:v>
                </c:pt>
                <c:pt idx="55">
                  <c:v>810</c:v>
                </c:pt>
                <c:pt idx="56">
                  <c:v>910</c:v>
                </c:pt>
                <c:pt idx="57">
                  <c:v>1010</c:v>
                </c:pt>
                <c:pt idx="58">
                  <c:v>1110</c:v>
                </c:pt>
                <c:pt idx="59">
                  <c:v>1210</c:v>
                </c:pt>
                <c:pt idx="60">
                  <c:v>111</c:v>
                </c:pt>
                <c:pt idx="61">
                  <c:v>211</c:v>
                </c:pt>
                <c:pt idx="62">
                  <c:v>311</c:v>
                </c:pt>
                <c:pt idx="63">
                  <c:v>411</c:v>
                </c:pt>
                <c:pt idx="64">
                  <c:v>511</c:v>
                </c:pt>
                <c:pt idx="65">
                  <c:v>611</c:v>
                </c:pt>
                <c:pt idx="66">
                  <c:v>711</c:v>
                </c:pt>
                <c:pt idx="67">
                  <c:v>811</c:v>
                </c:pt>
                <c:pt idx="68">
                  <c:v>911</c:v>
                </c:pt>
                <c:pt idx="69">
                  <c:v>1011</c:v>
                </c:pt>
                <c:pt idx="70">
                  <c:v>1111</c:v>
                </c:pt>
                <c:pt idx="71">
                  <c:v>1211</c:v>
                </c:pt>
                <c:pt idx="72">
                  <c:v>112</c:v>
                </c:pt>
                <c:pt idx="73">
                  <c:v>212</c:v>
                </c:pt>
                <c:pt idx="74">
                  <c:v>312</c:v>
                </c:pt>
                <c:pt idx="75">
                  <c:v>412</c:v>
                </c:pt>
                <c:pt idx="76">
                  <c:v>512</c:v>
                </c:pt>
                <c:pt idx="77">
                  <c:v>612</c:v>
                </c:pt>
                <c:pt idx="78">
                  <c:v>712</c:v>
                </c:pt>
                <c:pt idx="79">
                  <c:v>812</c:v>
                </c:pt>
                <c:pt idx="80">
                  <c:v>912</c:v>
                </c:pt>
                <c:pt idx="81">
                  <c:v>1012</c:v>
                </c:pt>
                <c:pt idx="82">
                  <c:v>1112</c:v>
                </c:pt>
                <c:pt idx="83">
                  <c:v>1212</c:v>
                </c:pt>
                <c:pt idx="84">
                  <c:v>113</c:v>
                </c:pt>
                <c:pt idx="85">
                  <c:v>213</c:v>
                </c:pt>
                <c:pt idx="86">
                  <c:v>313</c:v>
                </c:pt>
                <c:pt idx="87">
                  <c:v>413</c:v>
                </c:pt>
                <c:pt idx="88">
                  <c:v>513</c:v>
                </c:pt>
                <c:pt idx="89">
                  <c:v>613</c:v>
                </c:pt>
                <c:pt idx="90">
                  <c:v>713</c:v>
                </c:pt>
                <c:pt idx="91">
                  <c:v>813</c:v>
                </c:pt>
                <c:pt idx="92">
                  <c:v>913</c:v>
                </c:pt>
                <c:pt idx="93">
                  <c:v>1013</c:v>
                </c:pt>
                <c:pt idx="94">
                  <c:v>1113</c:v>
                </c:pt>
                <c:pt idx="95">
                  <c:v>1213</c:v>
                </c:pt>
                <c:pt idx="96">
                  <c:v>114</c:v>
                </c:pt>
                <c:pt idx="97">
                  <c:v>214</c:v>
                </c:pt>
                <c:pt idx="98">
                  <c:v>314</c:v>
                </c:pt>
                <c:pt idx="99">
                  <c:v>414</c:v>
                </c:pt>
                <c:pt idx="100">
                  <c:v>514</c:v>
                </c:pt>
                <c:pt idx="101">
                  <c:v>614</c:v>
                </c:pt>
                <c:pt idx="102">
                  <c:v>714</c:v>
                </c:pt>
                <c:pt idx="103">
                  <c:v>814</c:v>
                </c:pt>
                <c:pt idx="104">
                  <c:v>914</c:v>
                </c:pt>
                <c:pt idx="105">
                  <c:v>1014</c:v>
                </c:pt>
                <c:pt idx="106">
                  <c:v>1114</c:v>
                </c:pt>
                <c:pt idx="107">
                  <c:v>1214</c:v>
                </c:pt>
                <c:pt idx="108">
                  <c:v>115</c:v>
                </c:pt>
                <c:pt idx="109">
                  <c:v>215</c:v>
                </c:pt>
                <c:pt idx="110">
                  <c:v>315</c:v>
                </c:pt>
                <c:pt idx="111">
                  <c:v>415</c:v>
                </c:pt>
                <c:pt idx="112">
                  <c:v>515</c:v>
                </c:pt>
                <c:pt idx="113">
                  <c:v>615</c:v>
                </c:pt>
                <c:pt idx="114">
                  <c:v>715</c:v>
                </c:pt>
                <c:pt idx="115">
                  <c:v>815</c:v>
                </c:pt>
                <c:pt idx="116">
                  <c:v>915</c:v>
                </c:pt>
                <c:pt idx="117">
                  <c:v>1015</c:v>
                </c:pt>
                <c:pt idx="118">
                  <c:v>1115</c:v>
                </c:pt>
                <c:pt idx="119">
                  <c:v>1215</c:v>
                </c:pt>
                <c:pt idx="120">
                  <c:v>116</c:v>
                </c:pt>
                <c:pt idx="121">
                  <c:v>216</c:v>
                </c:pt>
                <c:pt idx="122">
                  <c:v>316</c:v>
                </c:pt>
                <c:pt idx="123">
                  <c:v>416</c:v>
                </c:pt>
                <c:pt idx="124">
                  <c:v>516</c:v>
                </c:pt>
                <c:pt idx="125">
                  <c:v>616</c:v>
                </c:pt>
                <c:pt idx="126">
                  <c:v>716</c:v>
                </c:pt>
                <c:pt idx="127">
                  <c:v>816</c:v>
                </c:pt>
                <c:pt idx="128">
                  <c:v>916</c:v>
                </c:pt>
                <c:pt idx="129">
                  <c:v>1016</c:v>
                </c:pt>
                <c:pt idx="130">
                  <c:v>1116</c:v>
                </c:pt>
                <c:pt idx="131">
                  <c:v>1216</c:v>
                </c:pt>
                <c:pt idx="132">
                  <c:v>117</c:v>
                </c:pt>
                <c:pt idx="133">
                  <c:v>217</c:v>
                </c:pt>
                <c:pt idx="134">
                  <c:v>317</c:v>
                </c:pt>
                <c:pt idx="135">
                  <c:v>417</c:v>
                </c:pt>
                <c:pt idx="136">
                  <c:v>517</c:v>
                </c:pt>
                <c:pt idx="137">
                  <c:v>617</c:v>
                </c:pt>
                <c:pt idx="138">
                  <c:v>717</c:v>
                </c:pt>
                <c:pt idx="139">
                  <c:v>817</c:v>
                </c:pt>
                <c:pt idx="140">
                  <c:v>917</c:v>
                </c:pt>
              </c:numCache>
            </c:numRef>
          </c:cat>
          <c:val>
            <c:numRef>
              <c:f>List1!$S$2:$S$142</c:f>
              <c:numCache>
                <c:formatCode>General</c:formatCode>
                <c:ptCount val="141"/>
                <c:pt idx="0">
                  <c:v>37.99</c:v>
                </c:pt>
                <c:pt idx="1">
                  <c:v>36.53</c:v>
                </c:pt>
                <c:pt idx="2">
                  <c:v>36.39</c:v>
                </c:pt>
                <c:pt idx="3">
                  <c:v>35.1</c:v>
                </c:pt>
                <c:pt idx="4">
                  <c:v>34.14</c:v>
                </c:pt>
                <c:pt idx="5">
                  <c:v>35.35</c:v>
                </c:pt>
                <c:pt idx="6">
                  <c:v>35.57</c:v>
                </c:pt>
                <c:pt idx="7">
                  <c:v>35.4</c:v>
                </c:pt>
                <c:pt idx="8">
                  <c:v>35.450000000000003</c:v>
                </c:pt>
                <c:pt idx="9">
                  <c:v>33.700000000000003</c:v>
                </c:pt>
                <c:pt idx="10">
                  <c:v>34.56</c:v>
                </c:pt>
                <c:pt idx="11">
                  <c:v>34.61</c:v>
                </c:pt>
                <c:pt idx="12">
                  <c:v>34.370000000000005</c:v>
                </c:pt>
                <c:pt idx="13">
                  <c:v>35.1</c:v>
                </c:pt>
                <c:pt idx="14">
                  <c:v>35.43</c:v>
                </c:pt>
                <c:pt idx="15">
                  <c:v>36.6</c:v>
                </c:pt>
                <c:pt idx="16">
                  <c:v>37.82</c:v>
                </c:pt>
                <c:pt idx="17">
                  <c:v>39.71</c:v>
                </c:pt>
                <c:pt idx="18">
                  <c:v>40.630000000000003</c:v>
                </c:pt>
                <c:pt idx="19">
                  <c:v>41.220000000000013</c:v>
                </c:pt>
                <c:pt idx="20">
                  <c:v>41.71</c:v>
                </c:pt>
                <c:pt idx="21">
                  <c:v>41.61</c:v>
                </c:pt>
                <c:pt idx="22">
                  <c:v>41.43</c:v>
                </c:pt>
                <c:pt idx="23">
                  <c:v>41.190000000000012</c:v>
                </c:pt>
                <c:pt idx="24">
                  <c:v>43.92</c:v>
                </c:pt>
                <c:pt idx="25">
                  <c:v>43.75</c:v>
                </c:pt>
                <c:pt idx="26">
                  <c:v>43.21</c:v>
                </c:pt>
                <c:pt idx="27">
                  <c:v>43.93</c:v>
                </c:pt>
                <c:pt idx="28">
                  <c:v>43.21</c:v>
                </c:pt>
                <c:pt idx="29">
                  <c:v>42.31</c:v>
                </c:pt>
                <c:pt idx="30">
                  <c:v>42.8</c:v>
                </c:pt>
                <c:pt idx="31">
                  <c:v>41.35</c:v>
                </c:pt>
                <c:pt idx="32">
                  <c:v>42.09</c:v>
                </c:pt>
                <c:pt idx="33">
                  <c:v>41.64</c:v>
                </c:pt>
                <c:pt idx="34">
                  <c:v>41.32</c:v>
                </c:pt>
                <c:pt idx="35">
                  <c:v>41.41</c:v>
                </c:pt>
                <c:pt idx="36">
                  <c:v>40.120000000000012</c:v>
                </c:pt>
                <c:pt idx="37">
                  <c:v>40.340000000000003</c:v>
                </c:pt>
                <c:pt idx="38">
                  <c:v>40.32</c:v>
                </c:pt>
                <c:pt idx="39">
                  <c:v>40.56</c:v>
                </c:pt>
                <c:pt idx="40">
                  <c:v>41.260000000000012</c:v>
                </c:pt>
                <c:pt idx="41">
                  <c:v>41.620000000000012</c:v>
                </c:pt>
                <c:pt idx="42">
                  <c:v>41.160000000000011</c:v>
                </c:pt>
                <c:pt idx="43">
                  <c:v>40.86</c:v>
                </c:pt>
                <c:pt idx="44">
                  <c:v>41.18</c:v>
                </c:pt>
                <c:pt idx="45">
                  <c:v>40.86</c:v>
                </c:pt>
                <c:pt idx="46">
                  <c:v>40.450000000000003</c:v>
                </c:pt>
                <c:pt idx="47">
                  <c:v>39.68</c:v>
                </c:pt>
                <c:pt idx="48">
                  <c:v>39.86</c:v>
                </c:pt>
                <c:pt idx="49">
                  <c:v>38.9</c:v>
                </c:pt>
                <c:pt idx="50">
                  <c:v>39.99</c:v>
                </c:pt>
                <c:pt idx="51">
                  <c:v>37.620000000000012</c:v>
                </c:pt>
                <c:pt idx="52">
                  <c:v>38.550000000000004</c:v>
                </c:pt>
                <c:pt idx="53">
                  <c:v>38.520000000000003</c:v>
                </c:pt>
                <c:pt idx="54">
                  <c:v>38.51</c:v>
                </c:pt>
                <c:pt idx="55">
                  <c:v>39.800000000000004</c:v>
                </c:pt>
                <c:pt idx="56">
                  <c:v>39.090000000000003</c:v>
                </c:pt>
                <c:pt idx="57">
                  <c:v>40.020000000000003</c:v>
                </c:pt>
                <c:pt idx="58">
                  <c:v>38.270000000000003</c:v>
                </c:pt>
                <c:pt idx="59">
                  <c:v>39.53</c:v>
                </c:pt>
                <c:pt idx="60">
                  <c:v>40.730000000000011</c:v>
                </c:pt>
                <c:pt idx="61">
                  <c:v>40.57</c:v>
                </c:pt>
                <c:pt idx="62">
                  <c:v>40.130000000000003</c:v>
                </c:pt>
                <c:pt idx="63">
                  <c:v>40</c:v>
                </c:pt>
                <c:pt idx="64">
                  <c:v>40.14</c:v>
                </c:pt>
                <c:pt idx="65">
                  <c:v>40.4</c:v>
                </c:pt>
                <c:pt idx="66">
                  <c:v>40.93</c:v>
                </c:pt>
                <c:pt idx="67">
                  <c:v>40.190000000000012</c:v>
                </c:pt>
                <c:pt idx="68">
                  <c:v>41.120000000000012</c:v>
                </c:pt>
                <c:pt idx="69">
                  <c:v>40.17</c:v>
                </c:pt>
                <c:pt idx="70">
                  <c:v>40.020000000000003</c:v>
                </c:pt>
                <c:pt idx="71">
                  <c:v>39.340000000000003</c:v>
                </c:pt>
                <c:pt idx="72">
                  <c:v>39.43</c:v>
                </c:pt>
                <c:pt idx="73" formatCode="0.00">
                  <c:v>39.97</c:v>
                </c:pt>
                <c:pt idx="74" formatCode="0.00">
                  <c:v>39.5</c:v>
                </c:pt>
                <c:pt idx="75" formatCode="0.00">
                  <c:v>39.270000000000003</c:v>
                </c:pt>
                <c:pt idx="76" formatCode="0.00">
                  <c:v>39.760000000000012</c:v>
                </c:pt>
                <c:pt idx="77" formatCode="0.00">
                  <c:v>39.880000000000003</c:v>
                </c:pt>
                <c:pt idx="78" formatCode="0.00">
                  <c:v>41.260000000000012</c:v>
                </c:pt>
                <c:pt idx="79" formatCode="0.00">
                  <c:v>41.18</c:v>
                </c:pt>
                <c:pt idx="80" formatCode="0.00">
                  <c:v>42.690000000000012</c:v>
                </c:pt>
                <c:pt idx="81" formatCode="0.00">
                  <c:v>44.760000000000012</c:v>
                </c:pt>
                <c:pt idx="82" formatCode="0.00">
                  <c:v>45.08</c:v>
                </c:pt>
                <c:pt idx="83" formatCode="0.00">
                  <c:v>43.46</c:v>
                </c:pt>
                <c:pt idx="84">
                  <c:v>44.01</c:v>
                </c:pt>
                <c:pt idx="85">
                  <c:v>43.21</c:v>
                </c:pt>
                <c:pt idx="86">
                  <c:v>44.39</c:v>
                </c:pt>
                <c:pt idx="87">
                  <c:v>43.08</c:v>
                </c:pt>
                <c:pt idx="88">
                  <c:v>43.53</c:v>
                </c:pt>
                <c:pt idx="89">
                  <c:v>43.7</c:v>
                </c:pt>
                <c:pt idx="90">
                  <c:v>43.68</c:v>
                </c:pt>
                <c:pt idx="91">
                  <c:v>43.63</c:v>
                </c:pt>
                <c:pt idx="92">
                  <c:v>44.24</c:v>
                </c:pt>
                <c:pt idx="93">
                  <c:v>43.71</c:v>
                </c:pt>
                <c:pt idx="94">
                  <c:v>43.38</c:v>
                </c:pt>
                <c:pt idx="95">
                  <c:v>42.160000000000011</c:v>
                </c:pt>
                <c:pt idx="96">
                  <c:v>43.41</c:v>
                </c:pt>
                <c:pt idx="97">
                  <c:v>42.71</c:v>
                </c:pt>
                <c:pt idx="98">
                  <c:v>42.99</c:v>
                </c:pt>
                <c:pt idx="99">
                  <c:v>42.94</c:v>
                </c:pt>
                <c:pt idx="100">
                  <c:v>43.77</c:v>
                </c:pt>
                <c:pt idx="101">
                  <c:v>44.230000000000011</c:v>
                </c:pt>
                <c:pt idx="102">
                  <c:v>44.31</c:v>
                </c:pt>
                <c:pt idx="103">
                  <c:v>43.51</c:v>
                </c:pt>
                <c:pt idx="104">
                  <c:v>43.99</c:v>
                </c:pt>
                <c:pt idx="105">
                  <c:v>45.230000000000011</c:v>
                </c:pt>
                <c:pt idx="106">
                  <c:v>44.290000000000013</c:v>
                </c:pt>
                <c:pt idx="107">
                  <c:v>44.51</c:v>
                </c:pt>
                <c:pt idx="108">
                  <c:v>46.230000000000011</c:v>
                </c:pt>
                <c:pt idx="109">
                  <c:v>45.24</c:v>
                </c:pt>
                <c:pt idx="110">
                  <c:v>43.86</c:v>
                </c:pt>
                <c:pt idx="111">
                  <c:v>44.690000000000012</c:v>
                </c:pt>
                <c:pt idx="112">
                  <c:v>45.48</c:v>
                </c:pt>
                <c:pt idx="113">
                  <c:v>44.660000000000011</c:v>
                </c:pt>
                <c:pt idx="114">
                  <c:v>45.74</c:v>
                </c:pt>
                <c:pt idx="115">
                  <c:v>44.27</c:v>
                </c:pt>
                <c:pt idx="116">
                  <c:v>45.97</c:v>
                </c:pt>
                <c:pt idx="117">
                  <c:v>45.41</c:v>
                </c:pt>
                <c:pt idx="118">
                  <c:v>45.86</c:v>
                </c:pt>
                <c:pt idx="119">
                  <c:v>44.4</c:v>
                </c:pt>
                <c:pt idx="120">
                  <c:v>46.32</c:v>
                </c:pt>
                <c:pt idx="121">
                  <c:v>45.04</c:v>
                </c:pt>
                <c:pt idx="122">
                  <c:v>43.09</c:v>
                </c:pt>
                <c:pt idx="123">
                  <c:v>45.61</c:v>
                </c:pt>
                <c:pt idx="124">
                  <c:v>44.09</c:v>
                </c:pt>
                <c:pt idx="125">
                  <c:v>44.02</c:v>
                </c:pt>
                <c:pt idx="126">
                  <c:v>44.5</c:v>
                </c:pt>
                <c:pt idx="127">
                  <c:v>45.08</c:v>
                </c:pt>
                <c:pt idx="128">
                  <c:v>42.96</c:v>
                </c:pt>
                <c:pt idx="129">
                  <c:v>44.14</c:v>
                </c:pt>
                <c:pt idx="130">
                  <c:v>43.2</c:v>
                </c:pt>
                <c:pt idx="131">
                  <c:v>45.190000000000012</c:v>
                </c:pt>
                <c:pt idx="132">
                  <c:v>43.93</c:v>
                </c:pt>
                <c:pt idx="133">
                  <c:v>43.620000000000012</c:v>
                </c:pt>
                <c:pt idx="134">
                  <c:v>43.24</c:v>
                </c:pt>
                <c:pt idx="135">
                  <c:v>42.49</c:v>
                </c:pt>
                <c:pt idx="136">
                  <c:v>42.34</c:v>
                </c:pt>
                <c:pt idx="137">
                  <c:v>41.42</c:v>
                </c:pt>
                <c:pt idx="138">
                  <c:v>42.86</c:v>
                </c:pt>
                <c:pt idx="139">
                  <c:v>43.230000000000011</c:v>
                </c:pt>
                <c:pt idx="140">
                  <c:v>52.54</c:v>
                </c:pt>
              </c:numCache>
            </c:numRef>
          </c:val>
          <c:extLst xmlns:c16r2="http://schemas.microsoft.com/office/drawing/2015/06/chart">
            <c:ext xmlns:c16="http://schemas.microsoft.com/office/drawing/2014/chart" uri="{C3380CC4-5D6E-409C-BE32-E72D297353CC}">
              <c16:uniqueId val="{00000003-B44E-4CCC-BE46-912316A82CD4}"/>
            </c:ext>
          </c:extLst>
        </c:ser>
        <c:ser>
          <c:idx val="1"/>
          <c:order val="1"/>
          <c:tx>
            <c:strRef>
              <c:f>List1!$T$1</c:f>
              <c:strCache>
                <c:ptCount val="1"/>
                <c:pt idx="0">
                  <c:v>Kuře kuchané SC</c:v>
                </c:pt>
              </c:strCache>
            </c:strRef>
          </c:tx>
          <c:spPr>
            <a:ln w="19050" cap="rnd">
              <a:solidFill>
                <a:srgbClr val="C00000"/>
              </a:solidFill>
              <a:round/>
            </a:ln>
            <a:effectLst/>
          </c:spPr>
          <c:marker>
            <c:symbol val="none"/>
          </c:marker>
          <c:trendline>
            <c:spPr>
              <a:ln w="19050" cap="rnd">
                <a:solidFill>
                  <a:srgbClr val="C00000"/>
                </a:solidFill>
                <a:prstDash val="sysDot"/>
              </a:ln>
              <a:effectLst/>
            </c:spPr>
            <c:trendlineType val="linear"/>
            <c:dispRSqr val="1"/>
            <c:trendlineLbl>
              <c:layout>
                <c:manualLayout>
                  <c:x val="-8.0326050792946715E-3"/>
                  <c:y val="-4.1775030110626103E-2"/>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trendlineLbl>
          </c:trendline>
          <c:cat>
            <c:numRef>
              <c:f>List1!$A$2:$A$142</c:f>
              <c:numCache>
                <c:formatCode>General</c:formatCode>
                <c:ptCount val="141"/>
                <c:pt idx="0">
                  <c:v>106</c:v>
                </c:pt>
                <c:pt idx="1">
                  <c:v>206</c:v>
                </c:pt>
                <c:pt idx="2">
                  <c:v>306</c:v>
                </c:pt>
                <c:pt idx="3">
                  <c:v>406</c:v>
                </c:pt>
                <c:pt idx="4">
                  <c:v>506</c:v>
                </c:pt>
                <c:pt idx="5">
                  <c:v>606</c:v>
                </c:pt>
                <c:pt idx="6">
                  <c:v>706</c:v>
                </c:pt>
                <c:pt idx="7">
                  <c:v>806</c:v>
                </c:pt>
                <c:pt idx="8">
                  <c:v>906</c:v>
                </c:pt>
                <c:pt idx="9">
                  <c:v>1006</c:v>
                </c:pt>
                <c:pt idx="10">
                  <c:v>1106</c:v>
                </c:pt>
                <c:pt idx="11">
                  <c:v>1206</c:v>
                </c:pt>
                <c:pt idx="12">
                  <c:v>107</c:v>
                </c:pt>
                <c:pt idx="13">
                  <c:v>207</c:v>
                </c:pt>
                <c:pt idx="14">
                  <c:v>307</c:v>
                </c:pt>
                <c:pt idx="15">
                  <c:v>407</c:v>
                </c:pt>
                <c:pt idx="16">
                  <c:v>507</c:v>
                </c:pt>
                <c:pt idx="17">
                  <c:v>607</c:v>
                </c:pt>
                <c:pt idx="18">
                  <c:v>707</c:v>
                </c:pt>
                <c:pt idx="19">
                  <c:v>807</c:v>
                </c:pt>
                <c:pt idx="20">
                  <c:v>907</c:v>
                </c:pt>
                <c:pt idx="21">
                  <c:v>1007</c:v>
                </c:pt>
                <c:pt idx="22">
                  <c:v>1107</c:v>
                </c:pt>
                <c:pt idx="23">
                  <c:v>1207</c:v>
                </c:pt>
                <c:pt idx="24">
                  <c:v>108</c:v>
                </c:pt>
                <c:pt idx="25">
                  <c:v>208</c:v>
                </c:pt>
                <c:pt idx="26">
                  <c:v>308</c:v>
                </c:pt>
                <c:pt idx="27">
                  <c:v>408</c:v>
                </c:pt>
                <c:pt idx="28">
                  <c:v>508</c:v>
                </c:pt>
                <c:pt idx="29">
                  <c:v>608</c:v>
                </c:pt>
                <c:pt idx="30">
                  <c:v>708</c:v>
                </c:pt>
                <c:pt idx="31">
                  <c:v>808</c:v>
                </c:pt>
                <c:pt idx="32">
                  <c:v>908</c:v>
                </c:pt>
                <c:pt idx="33">
                  <c:v>1008</c:v>
                </c:pt>
                <c:pt idx="34">
                  <c:v>1108</c:v>
                </c:pt>
                <c:pt idx="35">
                  <c:v>1208</c:v>
                </c:pt>
                <c:pt idx="36">
                  <c:v>109</c:v>
                </c:pt>
                <c:pt idx="37">
                  <c:v>209</c:v>
                </c:pt>
                <c:pt idx="38">
                  <c:v>309</c:v>
                </c:pt>
                <c:pt idx="39">
                  <c:v>409</c:v>
                </c:pt>
                <c:pt idx="40">
                  <c:v>509</c:v>
                </c:pt>
                <c:pt idx="41">
                  <c:v>609</c:v>
                </c:pt>
                <c:pt idx="42">
                  <c:v>709</c:v>
                </c:pt>
                <c:pt idx="43">
                  <c:v>809</c:v>
                </c:pt>
                <c:pt idx="44">
                  <c:v>909</c:v>
                </c:pt>
                <c:pt idx="45">
                  <c:v>1009</c:v>
                </c:pt>
                <c:pt idx="46">
                  <c:v>1109</c:v>
                </c:pt>
                <c:pt idx="47">
                  <c:v>1209</c:v>
                </c:pt>
                <c:pt idx="48">
                  <c:v>110</c:v>
                </c:pt>
                <c:pt idx="49">
                  <c:v>210</c:v>
                </c:pt>
                <c:pt idx="50">
                  <c:v>310</c:v>
                </c:pt>
                <c:pt idx="51">
                  <c:v>410</c:v>
                </c:pt>
                <c:pt idx="52">
                  <c:v>510</c:v>
                </c:pt>
                <c:pt idx="53">
                  <c:v>610</c:v>
                </c:pt>
                <c:pt idx="54">
                  <c:v>710</c:v>
                </c:pt>
                <c:pt idx="55">
                  <c:v>810</c:v>
                </c:pt>
                <c:pt idx="56">
                  <c:v>910</c:v>
                </c:pt>
                <c:pt idx="57">
                  <c:v>1010</c:v>
                </c:pt>
                <c:pt idx="58">
                  <c:v>1110</c:v>
                </c:pt>
                <c:pt idx="59">
                  <c:v>1210</c:v>
                </c:pt>
                <c:pt idx="60">
                  <c:v>111</c:v>
                </c:pt>
                <c:pt idx="61">
                  <c:v>211</c:v>
                </c:pt>
                <c:pt idx="62">
                  <c:v>311</c:v>
                </c:pt>
                <c:pt idx="63">
                  <c:v>411</c:v>
                </c:pt>
                <c:pt idx="64">
                  <c:v>511</c:v>
                </c:pt>
                <c:pt idx="65">
                  <c:v>611</c:v>
                </c:pt>
                <c:pt idx="66">
                  <c:v>711</c:v>
                </c:pt>
                <c:pt idx="67">
                  <c:v>811</c:v>
                </c:pt>
                <c:pt idx="68">
                  <c:v>911</c:v>
                </c:pt>
                <c:pt idx="69">
                  <c:v>1011</c:v>
                </c:pt>
                <c:pt idx="70">
                  <c:v>1111</c:v>
                </c:pt>
                <c:pt idx="71">
                  <c:v>1211</c:v>
                </c:pt>
                <c:pt idx="72">
                  <c:v>112</c:v>
                </c:pt>
                <c:pt idx="73">
                  <c:v>212</c:v>
                </c:pt>
                <c:pt idx="74">
                  <c:v>312</c:v>
                </c:pt>
                <c:pt idx="75">
                  <c:v>412</c:v>
                </c:pt>
                <c:pt idx="76">
                  <c:v>512</c:v>
                </c:pt>
                <c:pt idx="77">
                  <c:v>612</c:v>
                </c:pt>
                <c:pt idx="78">
                  <c:v>712</c:v>
                </c:pt>
                <c:pt idx="79">
                  <c:v>812</c:v>
                </c:pt>
                <c:pt idx="80">
                  <c:v>912</c:v>
                </c:pt>
                <c:pt idx="81">
                  <c:v>1012</c:v>
                </c:pt>
                <c:pt idx="82">
                  <c:v>1112</c:v>
                </c:pt>
                <c:pt idx="83">
                  <c:v>1212</c:v>
                </c:pt>
                <c:pt idx="84">
                  <c:v>113</c:v>
                </c:pt>
                <c:pt idx="85">
                  <c:v>213</c:v>
                </c:pt>
                <c:pt idx="86">
                  <c:v>313</c:v>
                </c:pt>
                <c:pt idx="87">
                  <c:v>413</c:v>
                </c:pt>
                <c:pt idx="88">
                  <c:v>513</c:v>
                </c:pt>
                <c:pt idx="89">
                  <c:v>613</c:v>
                </c:pt>
                <c:pt idx="90">
                  <c:v>713</c:v>
                </c:pt>
                <c:pt idx="91">
                  <c:v>813</c:v>
                </c:pt>
                <c:pt idx="92">
                  <c:v>913</c:v>
                </c:pt>
                <c:pt idx="93">
                  <c:v>1013</c:v>
                </c:pt>
                <c:pt idx="94">
                  <c:v>1113</c:v>
                </c:pt>
                <c:pt idx="95">
                  <c:v>1213</c:v>
                </c:pt>
                <c:pt idx="96">
                  <c:v>114</c:v>
                </c:pt>
                <c:pt idx="97">
                  <c:v>214</c:v>
                </c:pt>
                <c:pt idx="98">
                  <c:v>314</c:v>
                </c:pt>
                <c:pt idx="99">
                  <c:v>414</c:v>
                </c:pt>
                <c:pt idx="100">
                  <c:v>514</c:v>
                </c:pt>
                <c:pt idx="101">
                  <c:v>614</c:v>
                </c:pt>
                <c:pt idx="102">
                  <c:v>714</c:v>
                </c:pt>
                <c:pt idx="103">
                  <c:v>814</c:v>
                </c:pt>
                <c:pt idx="104">
                  <c:v>914</c:v>
                </c:pt>
                <c:pt idx="105">
                  <c:v>1014</c:v>
                </c:pt>
                <c:pt idx="106">
                  <c:v>1114</c:v>
                </c:pt>
                <c:pt idx="107">
                  <c:v>1214</c:v>
                </c:pt>
                <c:pt idx="108">
                  <c:v>115</c:v>
                </c:pt>
                <c:pt idx="109">
                  <c:v>215</c:v>
                </c:pt>
                <c:pt idx="110">
                  <c:v>315</c:v>
                </c:pt>
                <c:pt idx="111">
                  <c:v>415</c:v>
                </c:pt>
                <c:pt idx="112">
                  <c:v>515</c:v>
                </c:pt>
                <c:pt idx="113">
                  <c:v>615</c:v>
                </c:pt>
                <c:pt idx="114">
                  <c:v>715</c:v>
                </c:pt>
                <c:pt idx="115">
                  <c:v>815</c:v>
                </c:pt>
                <c:pt idx="116">
                  <c:v>915</c:v>
                </c:pt>
                <c:pt idx="117">
                  <c:v>1015</c:v>
                </c:pt>
                <c:pt idx="118">
                  <c:v>1115</c:v>
                </c:pt>
                <c:pt idx="119">
                  <c:v>1215</c:v>
                </c:pt>
                <c:pt idx="120">
                  <c:v>116</c:v>
                </c:pt>
                <c:pt idx="121">
                  <c:v>216</c:v>
                </c:pt>
                <c:pt idx="122">
                  <c:v>316</c:v>
                </c:pt>
                <c:pt idx="123">
                  <c:v>416</c:v>
                </c:pt>
                <c:pt idx="124">
                  <c:v>516</c:v>
                </c:pt>
                <c:pt idx="125">
                  <c:v>616</c:v>
                </c:pt>
                <c:pt idx="126">
                  <c:v>716</c:v>
                </c:pt>
                <c:pt idx="127">
                  <c:v>816</c:v>
                </c:pt>
                <c:pt idx="128">
                  <c:v>916</c:v>
                </c:pt>
                <c:pt idx="129">
                  <c:v>1016</c:v>
                </c:pt>
                <c:pt idx="130">
                  <c:v>1116</c:v>
                </c:pt>
                <c:pt idx="131">
                  <c:v>1216</c:v>
                </c:pt>
                <c:pt idx="132">
                  <c:v>117</c:v>
                </c:pt>
                <c:pt idx="133">
                  <c:v>217</c:v>
                </c:pt>
                <c:pt idx="134">
                  <c:v>317</c:v>
                </c:pt>
                <c:pt idx="135">
                  <c:v>417</c:v>
                </c:pt>
                <c:pt idx="136">
                  <c:v>517</c:v>
                </c:pt>
                <c:pt idx="137">
                  <c:v>617</c:v>
                </c:pt>
                <c:pt idx="138">
                  <c:v>717</c:v>
                </c:pt>
                <c:pt idx="139">
                  <c:v>817</c:v>
                </c:pt>
                <c:pt idx="140">
                  <c:v>917</c:v>
                </c:pt>
              </c:numCache>
            </c:numRef>
          </c:cat>
          <c:val>
            <c:numRef>
              <c:f>List1!$T$2:$T$142</c:f>
              <c:numCache>
                <c:formatCode>General</c:formatCode>
                <c:ptCount val="141"/>
                <c:pt idx="0">
                  <c:v>51.120000000000012</c:v>
                </c:pt>
                <c:pt idx="1">
                  <c:v>50.5</c:v>
                </c:pt>
                <c:pt idx="2">
                  <c:v>47.8</c:v>
                </c:pt>
                <c:pt idx="3">
                  <c:v>47.63</c:v>
                </c:pt>
                <c:pt idx="4">
                  <c:v>46.25</c:v>
                </c:pt>
                <c:pt idx="5">
                  <c:v>45.690000000000012</c:v>
                </c:pt>
                <c:pt idx="6">
                  <c:v>45.81</c:v>
                </c:pt>
                <c:pt idx="7">
                  <c:v>46.27</c:v>
                </c:pt>
                <c:pt idx="8">
                  <c:v>46.07</c:v>
                </c:pt>
                <c:pt idx="9">
                  <c:v>45.730000000000011</c:v>
                </c:pt>
                <c:pt idx="10">
                  <c:v>44.6</c:v>
                </c:pt>
                <c:pt idx="11">
                  <c:v>44.3</c:v>
                </c:pt>
                <c:pt idx="12">
                  <c:v>45.13</c:v>
                </c:pt>
                <c:pt idx="13">
                  <c:v>45.31</c:v>
                </c:pt>
                <c:pt idx="14">
                  <c:v>45.48</c:v>
                </c:pt>
                <c:pt idx="15">
                  <c:v>47.7</c:v>
                </c:pt>
                <c:pt idx="16">
                  <c:v>48.74</c:v>
                </c:pt>
                <c:pt idx="17">
                  <c:v>51.74</c:v>
                </c:pt>
                <c:pt idx="18">
                  <c:v>55.160000000000011</c:v>
                </c:pt>
                <c:pt idx="19">
                  <c:v>58.730000000000011</c:v>
                </c:pt>
                <c:pt idx="20">
                  <c:v>60.33</c:v>
                </c:pt>
                <c:pt idx="21">
                  <c:v>60.35</c:v>
                </c:pt>
                <c:pt idx="22">
                  <c:v>61.5</c:v>
                </c:pt>
                <c:pt idx="23">
                  <c:v>61.47</c:v>
                </c:pt>
                <c:pt idx="24">
                  <c:v>60.690000000000012</c:v>
                </c:pt>
                <c:pt idx="25">
                  <c:v>61.67</c:v>
                </c:pt>
                <c:pt idx="26">
                  <c:v>61.17</c:v>
                </c:pt>
                <c:pt idx="27">
                  <c:v>61.65</c:v>
                </c:pt>
                <c:pt idx="28">
                  <c:v>60.85</c:v>
                </c:pt>
                <c:pt idx="29">
                  <c:v>60.92</c:v>
                </c:pt>
                <c:pt idx="30">
                  <c:v>60.5</c:v>
                </c:pt>
                <c:pt idx="31">
                  <c:v>59.690000000000012</c:v>
                </c:pt>
                <c:pt idx="32">
                  <c:v>60.190000000000012</c:v>
                </c:pt>
                <c:pt idx="33">
                  <c:v>60.24</c:v>
                </c:pt>
                <c:pt idx="34">
                  <c:v>59.1</c:v>
                </c:pt>
                <c:pt idx="35">
                  <c:v>58.99</c:v>
                </c:pt>
                <c:pt idx="36">
                  <c:v>58.58</c:v>
                </c:pt>
                <c:pt idx="37">
                  <c:v>58.95</c:v>
                </c:pt>
                <c:pt idx="38">
                  <c:v>58.44</c:v>
                </c:pt>
                <c:pt idx="39">
                  <c:v>58.18</c:v>
                </c:pt>
                <c:pt idx="40">
                  <c:v>58.15</c:v>
                </c:pt>
                <c:pt idx="41">
                  <c:v>57.1</c:v>
                </c:pt>
                <c:pt idx="42">
                  <c:v>56.74</c:v>
                </c:pt>
                <c:pt idx="43">
                  <c:v>58.05</c:v>
                </c:pt>
                <c:pt idx="44">
                  <c:v>57.88</c:v>
                </c:pt>
                <c:pt idx="45">
                  <c:v>57.41</c:v>
                </c:pt>
                <c:pt idx="46">
                  <c:v>56.52</c:v>
                </c:pt>
                <c:pt idx="47">
                  <c:v>56.18</c:v>
                </c:pt>
                <c:pt idx="48">
                  <c:v>55.98</c:v>
                </c:pt>
                <c:pt idx="49">
                  <c:v>55.4</c:v>
                </c:pt>
                <c:pt idx="50">
                  <c:v>56.42</c:v>
                </c:pt>
                <c:pt idx="51">
                  <c:v>55.83</c:v>
                </c:pt>
                <c:pt idx="52">
                  <c:v>55.720000000000013</c:v>
                </c:pt>
                <c:pt idx="53">
                  <c:v>57.14</c:v>
                </c:pt>
                <c:pt idx="54">
                  <c:v>55.2</c:v>
                </c:pt>
                <c:pt idx="55">
                  <c:v>56.660000000000011</c:v>
                </c:pt>
                <c:pt idx="56">
                  <c:v>57.6</c:v>
                </c:pt>
                <c:pt idx="57">
                  <c:v>58.3</c:v>
                </c:pt>
                <c:pt idx="58">
                  <c:v>58.56</c:v>
                </c:pt>
                <c:pt idx="59">
                  <c:v>58.63</c:v>
                </c:pt>
                <c:pt idx="60">
                  <c:v>56.98</c:v>
                </c:pt>
                <c:pt idx="61">
                  <c:v>56.57</c:v>
                </c:pt>
                <c:pt idx="62">
                  <c:v>56.95</c:v>
                </c:pt>
                <c:pt idx="63">
                  <c:v>60.07</c:v>
                </c:pt>
                <c:pt idx="64">
                  <c:v>59.95</c:v>
                </c:pt>
                <c:pt idx="65">
                  <c:v>58.47</c:v>
                </c:pt>
                <c:pt idx="66">
                  <c:v>57.37</c:v>
                </c:pt>
                <c:pt idx="67">
                  <c:v>56.47</c:v>
                </c:pt>
                <c:pt idx="68">
                  <c:v>57.260000000000012</c:v>
                </c:pt>
                <c:pt idx="69">
                  <c:v>57.11</c:v>
                </c:pt>
                <c:pt idx="70">
                  <c:v>59.89</c:v>
                </c:pt>
                <c:pt idx="71">
                  <c:v>58.49</c:v>
                </c:pt>
                <c:pt idx="72">
                  <c:v>59.64</c:v>
                </c:pt>
                <c:pt idx="73">
                  <c:v>59.74</c:v>
                </c:pt>
                <c:pt idx="74">
                  <c:v>58.6</c:v>
                </c:pt>
                <c:pt idx="75">
                  <c:v>62.46</c:v>
                </c:pt>
                <c:pt idx="76">
                  <c:v>60.57</c:v>
                </c:pt>
                <c:pt idx="77">
                  <c:v>60.33</c:v>
                </c:pt>
                <c:pt idx="78">
                  <c:v>63.43</c:v>
                </c:pt>
                <c:pt idx="79">
                  <c:v>64.53</c:v>
                </c:pt>
                <c:pt idx="80">
                  <c:v>64.36999999999999</c:v>
                </c:pt>
                <c:pt idx="81">
                  <c:v>64.540000000000006</c:v>
                </c:pt>
                <c:pt idx="82">
                  <c:v>67.16</c:v>
                </c:pt>
                <c:pt idx="83">
                  <c:v>65.52</c:v>
                </c:pt>
                <c:pt idx="84">
                  <c:v>69.28</c:v>
                </c:pt>
                <c:pt idx="85">
                  <c:v>69.649999999999991</c:v>
                </c:pt>
                <c:pt idx="86">
                  <c:v>67.849999999999994</c:v>
                </c:pt>
                <c:pt idx="87">
                  <c:v>69.86999999999999</c:v>
                </c:pt>
                <c:pt idx="88">
                  <c:v>66.61999999999999</c:v>
                </c:pt>
                <c:pt idx="89">
                  <c:v>70.2</c:v>
                </c:pt>
                <c:pt idx="90">
                  <c:v>66.13</c:v>
                </c:pt>
                <c:pt idx="91">
                  <c:v>66.22</c:v>
                </c:pt>
                <c:pt idx="92">
                  <c:v>70.88</c:v>
                </c:pt>
                <c:pt idx="93">
                  <c:v>72.010000000000005</c:v>
                </c:pt>
                <c:pt idx="94">
                  <c:v>71.28</c:v>
                </c:pt>
                <c:pt idx="95">
                  <c:v>69.63</c:v>
                </c:pt>
                <c:pt idx="96">
                  <c:v>70.790000000000006</c:v>
                </c:pt>
                <c:pt idx="97">
                  <c:v>70.11999999999999</c:v>
                </c:pt>
                <c:pt idx="98">
                  <c:v>74.069999999999993</c:v>
                </c:pt>
                <c:pt idx="99">
                  <c:v>73.489999999999995</c:v>
                </c:pt>
                <c:pt idx="100">
                  <c:v>69.75</c:v>
                </c:pt>
                <c:pt idx="101">
                  <c:v>72.95</c:v>
                </c:pt>
                <c:pt idx="102">
                  <c:v>71.930000000000007</c:v>
                </c:pt>
                <c:pt idx="103">
                  <c:v>72.149999999999991</c:v>
                </c:pt>
                <c:pt idx="104">
                  <c:v>70.88</c:v>
                </c:pt>
                <c:pt idx="105">
                  <c:v>69.959999999999994</c:v>
                </c:pt>
                <c:pt idx="106">
                  <c:v>72.66</c:v>
                </c:pt>
                <c:pt idx="107">
                  <c:v>70.55</c:v>
                </c:pt>
                <c:pt idx="108">
                  <c:v>70.08</c:v>
                </c:pt>
                <c:pt idx="109">
                  <c:v>70.53</c:v>
                </c:pt>
                <c:pt idx="110">
                  <c:v>72.940000000000026</c:v>
                </c:pt>
                <c:pt idx="111">
                  <c:v>71.42</c:v>
                </c:pt>
                <c:pt idx="112">
                  <c:v>69.3</c:v>
                </c:pt>
                <c:pt idx="113">
                  <c:v>68.25</c:v>
                </c:pt>
                <c:pt idx="114">
                  <c:v>66.38</c:v>
                </c:pt>
                <c:pt idx="115">
                  <c:v>67.84</c:v>
                </c:pt>
                <c:pt idx="116">
                  <c:v>68.900000000000006</c:v>
                </c:pt>
                <c:pt idx="117">
                  <c:v>69.33</c:v>
                </c:pt>
                <c:pt idx="118">
                  <c:v>70.84</c:v>
                </c:pt>
                <c:pt idx="119">
                  <c:v>66.3</c:v>
                </c:pt>
                <c:pt idx="120">
                  <c:v>68.510000000000005</c:v>
                </c:pt>
                <c:pt idx="121">
                  <c:v>71.77</c:v>
                </c:pt>
                <c:pt idx="122">
                  <c:v>70.61</c:v>
                </c:pt>
                <c:pt idx="123">
                  <c:v>69.16</c:v>
                </c:pt>
                <c:pt idx="124">
                  <c:v>68.290000000000006</c:v>
                </c:pt>
                <c:pt idx="125">
                  <c:v>67.459999999999994</c:v>
                </c:pt>
                <c:pt idx="126">
                  <c:v>67.8</c:v>
                </c:pt>
                <c:pt idx="127">
                  <c:v>67.8</c:v>
                </c:pt>
                <c:pt idx="128">
                  <c:v>68.19</c:v>
                </c:pt>
                <c:pt idx="129">
                  <c:v>65.03</c:v>
                </c:pt>
                <c:pt idx="130">
                  <c:v>69.84</c:v>
                </c:pt>
                <c:pt idx="131">
                  <c:v>64.86999999999999</c:v>
                </c:pt>
                <c:pt idx="132">
                  <c:v>68.010000000000005</c:v>
                </c:pt>
                <c:pt idx="133">
                  <c:v>67.290000000000006</c:v>
                </c:pt>
                <c:pt idx="134">
                  <c:v>68.75</c:v>
                </c:pt>
                <c:pt idx="135">
                  <c:v>67.55</c:v>
                </c:pt>
                <c:pt idx="136">
                  <c:v>69.06</c:v>
                </c:pt>
                <c:pt idx="137">
                  <c:v>66.290000000000006</c:v>
                </c:pt>
                <c:pt idx="138">
                  <c:v>65.03</c:v>
                </c:pt>
                <c:pt idx="139">
                  <c:v>67.489999999999995</c:v>
                </c:pt>
                <c:pt idx="140">
                  <c:v>67.790000000000006</c:v>
                </c:pt>
              </c:numCache>
            </c:numRef>
          </c:val>
          <c:extLst xmlns:c16r2="http://schemas.microsoft.com/office/drawing/2015/06/chart">
            <c:ext xmlns:c16="http://schemas.microsoft.com/office/drawing/2014/chart" uri="{C3380CC4-5D6E-409C-BE32-E72D297353CC}">
              <c16:uniqueId val="{00000005-B44E-4CCC-BE46-912316A82CD4}"/>
            </c:ext>
          </c:extLst>
        </c:ser>
        <c:marker val="1"/>
        <c:axId val="243712768"/>
        <c:axId val="243698688"/>
      </c:lineChart>
      <c:catAx>
        <c:axId val="24369561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243697152"/>
        <c:crosses val="autoZero"/>
        <c:auto val="1"/>
        <c:lblAlgn val="ctr"/>
        <c:lblOffset val="100"/>
      </c:catAx>
      <c:valAx>
        <c:axId val="24369715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243695616"/>
        <c:crosses val="autoZero"/>
        <c:crossBetween val="between"/>
      </c:valAx>
      <c:valAx>
        <c:axId val="243698688"/>
        <c:scaling>
          <c:orientation val="minMax"/>
        </c:scaling>
        <c:axPos val="r"/>
        <c:numFmt formatCode="General" sourceLinked="1"/>
        <c:tickLblPos val="nextTo"/>
        <c:crossAx val="243712768"/>
        <c:crosses val="max"/>
        <c:crossBetween val="between"/>
      </c:valAx>
      <c:catAx>
        <c:axId val="243712768"/>
        <c:scaling>
          <c:orientation val="minMax"/>
        </c:scaling>
        <c:delete val="1"/>
        <c:axPos val="b"/>
        <c:numFmt formatCode="General" sourceLinked="1"/>
        <c:tickLblPos val="none"/>
        <c:crossAx val="243698688"/>
        <c:crosses val="autoZero"/>
        <c:auto val="1"/>
        <c:lblAlgn val="ctr"/>
        <c:lblOffset val="100"/>
      </c:catAx>
      <c:spPr>
        <a:noFill/>
        <a:ln>
          <a:noFill/>
        </a:ln>
        <a:effectLst/>
      </c:spPr>
    </c:plotArea>
    <c:legend>
      <c:legendPos val="b"/>
      <c:layout>
        <c:manualLayout>
          <c:xMode val="edge"/>
          <c:yMode val="edge"/>
          <c:x val="4.7633132172469263E-2"/>
          <c:y val="0.81137517683796179"/>
          <c:w val="0.91887507089836629"/>
          <c:h val="0.1599775569566052"/>
        </c:manualLayout>
      </c:layout>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cs-CZ"/>
  <c:chart>
    <c:autoTitleDeleted val="1"/>
    <c:plotArea>
      <c:layout/>
      <c:barChart>
        <c:barDir val="col"/>
        <c:grouping val="clustered"/>
        <c:ser>
          <c:idx val="0"/>
          <c:order val="0"/>
          <c:tx>
            <c:strRef>
              <c:f>List1!$D$3</c:f>
              <c:strCache>
                <c:ptCount val="1"/>
                <c:pt idx="0">
                  <c:v>Podíl respondentů</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List1!$C$4:$C$9</c:f>
              <c:strCache>
                <c:ptCount val="6"/>
                <c:pt idx="0">
                  <c:v>Ve vlastní provozovně</c:v>
                </c:pt>
                <c:pt idx="1">
                  <c:v>Na farmářských trzích</c:v>
                </c:pt>
                <c:pt idx="2">
                  <c:v>Ve specializované (cizí) prodejně</c:v>
                </c:pt>
                <c:pt idx="3">
                  <c:v>Jinde</c:v>
                </c:pt>
                <c:pt idx="4">
                  <c:v>Přes internet s vlastním závozem</c:v>
                </c:pt>
                <c:pt idx="5">
                  <c:v>V supermarketu</c:v>
                </c:pt>
              </c:strCache>
            </c:strRef>
          </c:cat>
          <c:val>
            <c:numRef>
              <c:f>List1!$D$4:$D$9</c:f>
              <c:numCache>
                <c:formatCode>General</c:formatCode>
                <c:ptCount val="6"/>
                <c:pt idx="0">
                  <c:v>85.6</c:v>
                </c:pt>
                <c:pt idx="1">
                  <c:v>49.4</c:v>
                </c:pt>
                <c:pt idx="2">
                  <c:v>40</c:v>
                </c:pt>
                <c:pt idx="3">
                  <c:v>26.9</c:v>
                </c:pt>
                <c:pt idx="4">
                  <c:v>25.6</c:v>
                </c:pt>
                <c:pt idx="5">
                  <c:v>10.6</c:v>
                </c:pt>
              </c:numCache>
            </c:numRef>
          </c:val>
          <c:extLst xmlns:c16r2="http://schemas.microsoft.com/office/drawing/2015/06/chart">
            <c:ext xmlns:c16="http://schemas.microsoft.com/office/drawing/2014/chart" uri="{C3380CC4-5D6E-409C-BE32-E72D297353CC}">
              <c16:uniqueId val="{00000000-9349-4655-8AC9-0E7489295CD6}"/>
            </c:ext>
          </c:extLst>
        </c:ser>
        <c:gapWidth val="219"/>
        <c:overlap val="-27"/>
        <c:axId val="243823744"/>
        <c:axId val="243825280"/>
      </c:barChart>
      <c:catAx>
        <c:axId val="24382374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43825280"/>
        <c:crosses val="autoZero"/>
        <c:auto val="1"/>
        <c:lblAlgn val="ctr"/>
        <c:lblOffset val="100"/>
      </c:catAx>
      <c:valAx>
        <c:axId val="243825280"/>
        <c:scaling>
          <c:orientation val="minMax"/>
          <c:max val="100"/>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b="0"/>
                  <a:t>Podíl respondentů</a:t>
                </a: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43823744"/>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chartSpac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4206D1F23D4B7D41BAFDD078F70E603C" ma:contentTypeVersion="0" ma:contentTypeDescription="Vytvoří nový dokument" ma:contentTypeScope="" ma:versionID="a47036528e8bb7f1311485dffa5fb69f">
  <xsd:schema xmlns:xsd="http://www.w3.org/2001/XMLSchema" xmlns:xs="http://www.w3.org/2001/XMLSchema" xmlns:p="http://schemas.microsoft.com/office/2006/metadata/properties" xmlns:ns2="bc3fb474-7ee0-46e5-8a88-7652e86342ee" targetNamespace="http://schemas.microsoft.com/office/2006/metadata/properties" ma:root="true" ma:fieldsID="a8f09a479c298ec734ac2a5224c49aa1" ns2:_="">
    <xsd:import namespace="bc3fb474-7ee0-46e5-8a88-7652e86342e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3fb474-7ee0-46e5-8a88-7652e86342ee"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bc3fb474-7ee0-46e5-8a88-7652e86342ee">PPJUKTQ2N3EH-1-122840</_dlc_DocId>
    <_dlc_DocIdUrl xmlns="bc3fb474-7ee0-46e5-8a88-7652e86342ee">
      <Url>http://dms/_layouts/15/DocIdRedir.aspx?ID=PPJUKTQ2N3EH-1-122840</Url>
      <Description>PPJUKTQ2N3EH-1-122840</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CAE07-82F4-4312-9D6C-BB7D01F274AC}">
  <ds:schemaRefs>
    <ds:schemaRef ds:uri="http://schemas.microsoft.com/sharepoint/v3/contenttype/forms"/>
  </ds:schemaRefs>
</ds:datastoreItem>
</file>

<file path=customXml/itemProps2.xml><?xml version="1.0" encoding="utf-8"?>
<ds:datastoreItem xmlns:ds="http://schemas.openxmlformats.org/officeDocument/2006/customXml" ds:itemID="{89918660-2F83-4EAE-A4B3-3BFE6BA6C16E}">
  <ds:schemaRefs>
    <ds:schemaRef ds:uri="http://schemas.microsoft.com/sharepoint/events"/>
  </ds:schemaRefs>
</ds:datastoreItem>
</file>

<file path=customXml/itemProps3.xml><?xml version="1.0" encoding="utf-8"?>
<ds:datastoreItem xmlns:ds="http://schemas.openxmlformats.org/officeDocument/2006/customXml" ds:itemID="{31773082-4E8F-4FE7-8927-57100FFD8A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3fb474-7ee0-46e5-8a88-7652e8634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E1B15C-6E62-4891-81B1-0814742DD7D9}">
  <ds:schemaRefs>
    <ds:schemaRef ds:uri="http://schemas.microsoft.com/office/2006/metadata/properties"/>
    <ds:schemaRef ds:uri="http://schemas.microsoft.com/office/infopath/2007/PartnerControls"/>
    <ds:schemaRef ds:uri="bc3fb474-7ee0-46e5-8a88-7652e86342ee"/>
  </ds:schemaRefs>
</ds:datastoreItem>
</file>

<file path=customXml/itemProps5.xml><?xml version="1.0" encoding="utf-8"?>
<ds:datastoreItem xmlns:ds="http://schemas.openxmlformats.org/officeDocument/2006/customXml" ds:itemID="{6EFD85A1-D030-49FC-8DD9-E893B12FC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6312</Words>
  <Characters>37241</Characters>
  <Application>Microsoft Office Word</Application>
  <DocSecurity>0</DocSecurity>
  <Lines>310</Lines>
  <Paragraphs>86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Jelínek Ladislav</dc:creator>
  <cp:keywords/>
  <dc:description/>
  <cp:lastModifiedBy>Novotná Klára</cp:lastModifiedBy>
  <cp:revision>30</cp:revision>
  <cp:lastPrinted>2018-09-07T09:57:00Z</cp:lastPrinted>
  <dcterms:created xsi:type="dcterms:W3CDTF">2018-09-22T05:54:00Z</dcterms:created>
  <dcterms:modified xsi:type="dcterms:W3CDTF">2018-11-27T14:52:00Z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7fbf068f-e923-4f1e-9102-c927606e648e</vt:lpwstr>
  </property>
  <property fmtid="{D5CDD505-2E9C-101B-9397-08002B2CF9AE}" pid="3" name="ContentTypeId">
    <vt:lpwstr>0x0101004206D1F23D4B7D41BAFDD078F70E603C</vt:lpwstr>
  </property>
</Properties>
</file>