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drawings/drawing1.xml" ContentType="application/vnd.openxmlformats-officedocument.drawingml.chartshapes+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5.xml" ContentType="application/vnd.openxmlformats-officedocument.drawingml.chart+xml"/>
  <Override PartName="/word/charts/chart46.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BA7C96" w14:textId="77777777" w:rsidR="00E4113A" w:rsidRPr="003B6DAE" w:rsidRDefault="007E6095" w:rsidP="00E4113A">
      <w:pPr>
        <w:pStyle w:val="logo"/>
      </w:pPr>
      <w:bookmarkStart w:id="0" w:name="_GoBack"/>
      <w:bookmarkEnd w:id="0"/>
      <w:r>
        <w:rPr>
          <w:noProof/>
          <w:lang w:val="cs-CZ" w:eastAsia="cs-CZ"/>
        </w:rPr>
        <w:drawing>
          <wp:inline distT="0" distB="0" distL="0" distR="0" wp14:anchorId="3B2DF85C" wp14:editId="6D9DC24D">
            <wp:extent cx="1476375" cy="548115"/>
            <wp:effectExtent l="0" t="0" r="0" b="4445"/>
            <wp:docPr id="17379721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1476375" cy="548115"/>
                    </a:xfrm>
                    <a:prstGeom prst="rect">
                      <a:avLst/>
                    </a:prstGeom>
                  </pic:spPr>
                </pic:pic>
              </a:graphicData>
            </a:graphic>
          </wp:inline>
        </w:drawing>
      </w:r>
    </w:p>
    <w:p w14:paraId="6C4A6C3E" w14:textId="77777777" w:rsidR="00E4113A" w:rsidRPr="00FE4B18" w:rsidRDefault="00E4113A" w:rsidP="00E4113A">
      <w:pPr>
        <w:pStyle w:val="UZEI"/>
      </w:pPr>
      <w:r w:rsidRPr="00FE4B18">
        <w:t>Ústav zemědělské ekonomiky a informací</w:t>
      </w:r>
    </w:p>
    <w:p w14:paraId="7E277A22" w14:textId="77777777" w:rsidR="00E4113A" w:rsidRDefault="00E4113A" w:rsidP="00E4113A">
      <w:pPr>
        <w:pStyle w:val="st-nazev"/>
      </w:pPr>
      <w:r>
        <w:t>PODKLADOVÉ ANALÝZY</w:t>
      </w:r>
      <w:r w:rsidRPr="00C81804">
        <w:t xml:space="preserve"> </w:t>
      </w:r>
      <w:r>
        <w:t>PRO PŘÍPRAVU SZP V PROGRAMOVÉM OBDOBÍ 2021+</w:t>
      </w:r>
    </w:p>
    <w:p w14:paraId="4B85750B" w14:textId="77777777" w:rsidR="00E4113A" w:rsidRPr="00841BEA" w:rsidRDefault="00E4113A" w:rsidP="00841BEA">
      <w:pPr>
        <w:pStyle w:val="st-rok"/>
        <w:spacing w:before="360"/>
        <w:rPr>
          <w:rFonts w:asciiTheme="majorHAnsi" w:eastAsiaTheme="majorEastAsia" w:hAnsiTheme="majorHAnsi" w:cstheme="majorBidi"/>
        </w:rPr>
      </w:pPr>
      <w:r w:rsidRPr="00841BEA">
        <w:rPr>
          <w:rFonts w:asciiTheme="majorHAnsi" w:eastAsiaTheme="majorEastAsia" w:hAnsiTheme="majorHAnsi" w:cstheme="majorBidi"/>
        </w:rPr>
        <w:t>Specifický cíl [</w:t>
      </w:r>
      <w:r w:rsidR="00B80B85" w:rsidRPr="00841BEA">
        <w:rPr>
          <w:rFonts w:asciiTheme="majorHAnsi" w:eastAsiaTheme="majorEastAsia" w:hAnsiTheme="majorHAnsi" w:cstheme="majorBidi"/>
        </w:rPr>
        <w:t>H</w:t>
      </w:r>
      <w:r w:rsidR="00CC1599" w:rsidRPr="00841BEA">
        <w:rPr>
          <w:rFonts w:asciiTheme="majorHAnsi" w:eastAsiaTheme="majorEastAsia" w:hAnsiTheme="majorHAnsi" w:cstheme="majorBidi"/>
        </w:rPr>
        <w:t xml:space="preserve">: </w:t>
      </w:r>
      <w:r w:rsidR="00CC1599" w:rsidRPr="00841BEA">
        <w:rPr>
          <w:rFonts w:asciiTheme="majorHAnsi" w:eastAsiaTheme="majorEastAsia" w:hAnsiTheme="majorHAnsi" w:cstheme="majorBidi"/>
          <w:noProof/>
        </w:rPr>
        <w:t>Podpora zaměstnanosti, růstu, sociálního začlenění a místního rozvoje ve venkovských oblastech včetně biohospodářství a udržitelného lesnictví</w:t>
      </w:r>
      <w:r w:rsidRPr="00841BEA">
        <w:rPr>
          <w:rFonts w:asciiTheme="majorHAnsi" w:eastAsiaTheme="majorEastAsia" w:hAnsiTheme="majorHAnsi" w:cstheme="majorBidi"/>
        </w:rPr>
        <w:t>]</w:t>
      </w:r>
    </w:p>
    <w:p w14:paraId="59E8093A" w14:textId="77777777" w:rsidR="00E4113A" w:rsidRDefault="00E4113A" w:rsidP="00E4113A"/>
    <w:p w14:paraId="35B6D4EE" w14:textId="77777777" w:rsidR="00E4113A" w:rsidRDefault="00E4113A" w:rsidP="00E4113A"/>
    <w:p w14:paraId="421386A7" w14:textId="77777777" w:rsidR="00E4113A" w:rsidRDefault="00E4113A" w:rsidP="00E4113A"/>
    <w:p w14:paraId="0221867E" w14:textId="77777777" w:rsidR="00E4113A" w:rsidRDefault="00E4113A" w:rsidP="00E4113A"/>
    <w:p w14:paraId="5B3150BC" w14:textId="77777777" w:rsidR="00E4113A" w:rsidRDefault="00E4113A" w:rsidP="00E4113A"/>
    <w:p w14:paraId="0DF328A6" w14:textId="77777777" w:rsidR="00E4113A" w:rsidRDefault="00E4113A" w:rsidP="00E4113A"/>
    <w:p w14:paraId="446B2572" w14:textId="77777777" w:rsidR="00E4113A" w:rsidRDefault="00E4113A" w:rsidP="00E4113A"/>
    <w:p w14:paraId="5D8868A5" w14:textId="77777777" w:rsidR="00E4113A" w:rsidRDefault="00E4113A" w:rsidP="00E4113A"/>
    <w:p w14:paraId="552360CD" w14:textId="77777777" w:rsidR="00E4113A" w:rsidRDefault="00E4113A" w:rsidP="00DD4D78">
      <w:pPr>
        <w:ind w:firstLine="0"/>
      </w:pPr>
    </w:p>
    <w:p w14:paraId="494570AA" w14:textId="77777777" w:rsidR="00E4113A" w:rsidRDefault="00E4113A" w:rsidP="00E4113A"/>
    <w:p w14:paraId="07FFFB95" w14:textId="77777777" w:rsidR="00E4113A" w:rsidRDefault="00E4113A" w:rsidP="00E4113A"/>
    <w:p w14:paraId="02634419" w14:textId="77777777" w:rsidR="0081245E" w:rsidRPr="00841BEA" w:rsidRDefault="00E4113A">
      <w:pPr>
        <w:jc w:val="center"/>
        <w:rPr>
          <w:rFonts w:asciiTheme="majorHAnsi" w:eastAsiaTheme="majorEastAsia" w:hAnsiTheme="majorHAnsi" w:cstheme="majorBidi"/>
        </w:rPr>
      </w:pPr>
      <w:r w:rsidRPr="00841BEA">
        <w:rPr>
          <w:rFonts w:asciiTheme="majorHAnsi" w:eastAsiaTheme="majorEastAsia" w:hAnsiTheme="majorHAnsi" w:cstheme="majorBidi"/>
        </w:rPr>
        <w:t xml:space="preserve">Praha, </w:t>
      </w:r>
      <w:r w:rsidR="005614DC">
        <w:rPr>
          <w:rFonts w:asciiTheme="majorHAnsi" w:eastAsiaTheme="majorEastAsia" w:hAnsiTheme="majorHAnsi" w:cstheme="majorBidi"/>
        </w:rPr>
        <w:t>27</w:t>
      </w:r>
      <w:r w:rsidR="00CC1599" w:rsidRPr="00841BEA">
        <w:rPr>
          <w:rFonts w:asciiTheme="majorHAnsi" w:eastAsiaTheme="majorEastAsia" w:hAnsiTheme="majorHAnsi" w:cstheme="majorBidi"/>
        </w:rPr>
        <w:t>.</w:t>
      </w:r>
      <w:r w:rsidR="0060489F">
        <w:rPr>
          <w:rFonts w:asciiTheme="majorHAnsi" w:eastAsiaTheme="majorEastAsia" w:hAnsiTheme="majorHAnsi" w:cstheme="majorBidi"/>
        </w:rPr>
        <w:t xml:space="preserve"> </w:t>
      </w:r>
      <w:r w:rsidR="00E934F5" w:rsidRPr="00841BEA">
        <w:rPr>
          <w:rFonts w:asciiTheme="majorHAnsi" w:eastAsiaTheme="majorEastAsia" w:hAnsiTheme="majorHAnsi" w:cstheme="majorBidi"/>
        </w:rPr>
        <w:t>0</w:t>
      </w:r>
      <w:r w:rsidR="00D43149">
        <w:rPr>
          <w:rFonts w:asciiTheme="majorHAnsi" w:eastAsiaTheme="majorEastAsia" w:hAnsiTheme="majorHAnsi" w:cstheme="majorBidi"/>
        </w:rPr>
        <w:t>9</w:t>
      </w:r>
      <w:r w:rsidRPr="00841BEA">
        <w:rPr>
          <w:rFonts w:asciiTheme="majorHAnsi" w:eastAsiaTheme="majorEastAsia" w:hAnsiTheme="majorHAnsi" w:cstheme="majorBidi"/>
        </w:rPr>
        <w:t>.</w:t>
      </w:r>
      <w:r w:rsidR="0060489F">
        <w:rPr>
          <w:rFonts w:asciiTheme="majorHAnsi" w:eastAsiaTheme="majorEastAsia" w:hAnsiTheme="majorHAnsi" w:cstheme="majorBidi"/>
        </w:rPr>
        <w:t xml:space="preserve"> </w:t>
      </w:r>
      <w:r w:rsidRPr="00841BEA">
        <w:rPr>
          <w:rFonts w:asciiTheme="majorHAnsi" w:eastAsiaTheme="majorEastAsia" w:hAnsiTheme="majorHAnsi" w:cstheme="majorBidi"/>
        </w:rPr>
        <w:t>2018</w:t>
      </w:r>
    </w:p>
    <w:p w14:paraId="353812B4" w14:textId="77777777" w:rsidR="00E4113A" w:rsidRDefault="00E4113A" w:rsidP="00E4113A">
      <w:pPr>
        <w:pStyle w:val="Nadpis1"/>
      </w:pPr>
      <w:bookmarkStart w:id="1" w:name="_Toc313363000"/>
      <w:bookmarkStart w:id="2" w:name="_Toc519518195"/>
      <w:bookmarkStart w:id="3" w:name="_Toc519518301"/>
      <w:bookmarkStart w:id="4" w:name="_Toc519581811"/>
      <w:bookmarkStart w:id="5" w:name="_Toc525823158"/>
      <w:bookmarkStart w:id="6" w:name="_Toc525825197"/>
      <w:r>
        <w:lastRenderedPageBreak/>
        <w:t>Se</w:t>
      </w:r>
      <w:r w:rsidRPr="00117FE3">
        <w:t>znam použitých zkratek</w:t>
      </w:r>
      <w:bookmarkEnd w:id="1"/>
      <w:bookmarkEnd w:id="2"/>
      <w:bookmarkEnd w:id="3"/>
      <w:bookmarkEnd w:id="4"/>
      <w:bookmarkEnd w:id="5"/>
      <w:bookmarkEnd w:id="6"/>
    </w:p>
    <w:p w14:paraId="43324FE5" w14:textId="77777777" w:rsidR="00E4113A" w:rsidRDefault="00E4113A" w:rsidP="00E4113A">
      <w:pPr>
        <w:jc w:val="cente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4"/>
        <w:gridCol w:w="8099"/>
      </w:tblGrid>
      <w:tr w:rsidR="007105EA" w:rsidRPr="002619A2" w14:paraId="0E015E3F"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7C2FE020" w14:textId="77777777" w:rsidR="007105EA" w:rsidRPr="002619A2" w:rsidRDefault="007105EA" w:rsidP="00AA2805">
            <w:pPr>
              <w:pStyle w:val="Tabulka"/>
            </w:pPr>
            <w:r w:rsidRPr="002619A2">
              <w:t>ANC</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53B626F5" w14:textId="77777777" w:rsidR="007105EA" w:rsidRPr="002619A2" w:rsidRDefault="007105EA" w:rsidP="006E3E51">
            <w:pPr>
              <w:pStyle w:val="Tabulka"/>
            </w:pPr>
            <w:r w:rsidRPr="002619A2">
              <w:t>Redefinované méně příznivé oblasti (</w:t>
            </w:r>
            <w:proofErr w:type="spellStart"/>
            <w:r w:rsidRPr="002619A2">
              <w:t>Areas</w:t>
            </w:r>
            <w:proofErr w:type="spellEnd"/>
            <w:r w:rsidRPr="519AA2E2">
              <w:t xml:space="preserve"> </w:t>
            </w:r>
            <w:proofErr w:type="spellStart"/>
            <w:r w:rsidRPr="002619A2">
              <w:t>with</w:t>
            </w:r>
            <w:proofErr w:type="spellEnd"/>
            <w:r w:rsidRPr="002619A2">
              <w:t xml:space="preserve"> Natural </w:t>
            </w:r>
            <w:proofErr w:type="spellStart"/>
            <w:r w:rsidRPr="002619A2">
              <w:t>Constraints</w:t>
            </w:r>
            <w:proofErr w:type="spellEnd"/>
            <w:r w:rsidRPr="002619A2">
              <w:t>, dříve LFA)</w:t>
            </w:r>
          </w:p>
        </w:tc>
      </w:tr>
      <w:tr w:rsidR="007105EA" w:rsidRPr="002619A2" w14:paraId="5FF25432"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6589572C" w14:textId="77777777" w:rsidR="007105EA" w:rsidRPr="002619A2" w:rsidRDefault="007105EA" w:rsidP="00AA2805">
            <w:pPr>
              <w:pStyle w:val="Tabulka"/>
            </w:pPr>
            <w:r w:rsidRPr="002619A2">
              <w:t>APZ</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60E22D57" w14:textId="77777777" w:rsidR="007105EA" w:rsidRPr="002619A2" w:rsidRDefault="007105EA" w:rsidP="006E3E51">
            <w:pPr>
              <w:pStyle w:val="Tabulka"/>
            </w:pPr>
            <w:r w:rsidRPr="002619A2">
              <w:t>Aktivní politika zaměstnanosti</w:t>
            </w:r>
          </w:p>
        </w:tc>
      </w:tr>
      <w:tr w:rsidR="007105EA" w:rsidRPr="002619A2" w14:paraId="3496CA41"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6E94EA16" w14:textId="77777777" w:rsidR="007105EA" w:rsidRPr="002619A2" w:rsidRDefault="007105EA" w:rsidP="00AA2805">
            <w:pPr>
              <w:pStyle w:val="Tabulka"/>
            </w:pPr>
            <w:r w:rsidRPr="002619A2">
              <w:t>CAP</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61E54BB8" w14:textId="77777777" w:rsidR="007105EA" w:rsidRPr="002619A2" w:rsidRDefault="007105EA" w:rsidP="006E3E51">
            <w:pPr>
              <w:pStyle w:val="Tabulka"/>
            </w:pPr>
            <w:r w:rsidRPr="002619A2">
              <w:t>Společná zemědělská politika (</w:t>
            </w:r>
            <w:proofErr w:type="spellStart"/>
            <w:r w:rsidRPr="002619A2">
              <w:t>Common</w:t>
            </w:r>
            <w:proofErr w:type="spellEnd"/>
            <w:r w:rsidRPr="519AA2E2">
              <w:t xml:space="preserve"> </w:t>
            </w:r>
            <w:r w:rsidRPr="002619A2">
              <w:t>Agricultural</w:t>
            </w:r>
            <w:r w:rsidRPr="519AA2E2">
              <w:t xml:space="preserve"> </w:t>
            </w:r>
            <w:proofErr w:type="spellStart"/>
            <w:r w:rsidRPr="002619A2">
              <w:t>Policy</w:t>
            </w:r>
            <w:proofErr w:type="spellEnd"/>
            <w:r w:rsidRPr="519AA2E2">
              <w:t>)</w:t>
            </w:r>
          </w:p>
        </w:tc>
      </w:tr>
      <w:tr w:rsidR="007105EA" w:rsidRPr="002619A2" w14:paraId="0A1C20C0"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17D9F57C" w14:textId="77777777" w:rsidR="007105EA" w:rsidRPr="002619A2" w:rsidRDefault="007105EA" w:rsidP="00AA2805">
            <w:pPr>
              <w:pStyle w:val="Tabulka"/>
            </w:pPr>
            <w:r w:rsidRPr="002619A2">
              <w:t>CLLD</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1FAB4FAB" w14:textId="77777777" w:rsidR="007105EA" w:rsidRPr="002619A2" w:rsidRDefault="007105EA" w:rsidP="006E3E51">
            <w:pPr>
              <w:pStyle w:val="Tabulka"/>
            </w:pPr>
            <w:r w:rsidRPr="002619A2">
              <w:t>Komunitně vedený místní rozvoj (</w:t>
            </w:r>
            <w:proofErr w:type="spellStart"/>
            <w:r w:rsidRPr="002619A2">
              <w:t>Comunity</w:t>
            </w:r>
            <w:proofErr w:type="spellEnd"/>
            <w:r w:rsidRPr="002619A2">
              <w:t xml:space="preserve">-led </w:t>
            </w:r>
            <w:proofErr w:type="spellStart"/>
            <w:r w:rsidRPr="002619A2">
              <w:t>Local</w:t>
            </w:r>
            <w:proofErr w:type="spellEnd"/>
            <w:r w:rsidRPr="519AA2E2">
              <w:t xml:space="preserve"> </w:t>
            </w:r>
            <w:r w:rsidRPr="002619A2">
              <w:t>Development</w:t>
            </w:r>
            <w:r w:rsidRPr="519AA2E2">
              <w:t>)</w:t>
            </w:r>
          </w:p>
        </w:tc>
      </w:tr>
      <w:tr w:rsidR="007105EA" w:rsidRPr="002619A2" w14:paraId="09053B82"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7421201E" w14:textId="77777777" w:rsidR="007105EA" w:rsidRPr="002619A2" w:rsidRDefault="007105EA" w:rsidP="00AA2805">
            <w:pPr>
              <w:pStyle w:val="Tabulka"/>
            </w:pPr>
            <w:r w:rsidRPr="002619A2">
              <w:t>CZ NACE</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35DA0BD8" w14:textId="77777777" w:rsidR="007105EA" w:rsidRPr="002619A2" w:rsidRDefault="007105EA" w:rsidP="006E3E51">
            <w:pPr>
              <w:pStyle w:val="Tabulka"/>
            </w:pPr>
            <w:r w:rsidRPr="002619A2">
              <w:t>Klasifikace ekonomických činností (</w:t>
            </w:r>
            <w:proofErr w:type="spellStart"/>
            <w:r w:rsidRPr="002619A2">
              <w:t>Nomenclature</w:t>
            </w:r>
            <w:proofErr w:type="spellEnd"/>
            <w:r w:rsidRPr="519AA2E2">
              <w:t xml:space="preserve"> </w:t>
            </w:r>
            <w:proofErr w:type="spellStart"/>
            <w:r w:rsidRPr="002619A2">
              <w:t>générale</w:t>
            </w:r>
            <w:proofErr w:type="spellEnd"/>
            <w:r w:rsidRPr="002619A2">
              <w:t xml:space="preserve"> des </w:t>
            </w:r>
            <w:proofErr w:type="spellStart"/>
            <w:r w:rsidRPr="002619A2">
              <w:t>Activités</w:t>
            </w:r>
            <w:proofErr w:type="spellEnd"/>
            <w:r w:rsidRPr="519AA2E2">
              <w:t xml:space="preserve"> </w:t>
            </w:r>
            <w:proofErr w:type="spellStart"/>
            <w:r w:rsidRPr="002619A2">
              <w:t>économique</w:t>
            </w:r>
            <w:proofErr w:type="spellEnd"/>
            <w:r w:rsidRPr="519AA2E2">
              <w:t xml:space="preserve"> </w:t>
            </w:r>
            <w:proofErr w:type="spellStart"/>
            <w:r w:rsidRPr="002619A2">
              <w:t>dans</w:t>
            </w:r>
            <w:proofErr w:type="spellEnd"/>
            <w:r w:rsidRPr="002619A2">
              <w:t xml:space="preserve"> les </w:t>
            </w:r>
            <w:proofErr w:type="spellStart"/>
            <w:r w:rsidRPr="002619A2">
              <w:t>Communautés</w:t>
            </w:r>
            <w:proofErr w:type="spellEnd"/>
            <w:r w:rsidRPr="519AA2E2">
              <w:t xml:space="preserve"> </w:t>
            </w:r>
            <w:proofErr w:type="spellStart"/>
            <w:r w:rsidRPr="002619A2">
              <w:t>Européennes</w:t>
            </w:r>
            <w:proofErr w:type="spellEnd"/>
            <w:r w:rsidRPr="519AA2E2">
              <w:t>)</w:t>
            </w:r>
          </w:p>
        </w:tc>
      </w:tr>
      <w:tr w:rsidR="007105EA" w:rsidRPr="002619A2" w14:paraId="194B9380"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28C89C21" w14:textId="77777777" w:rsidR="007105EA" w:rsidRPr="002619A2" w:rsidRDefault="007105EA" w:rsidP="00AA2805">
            <w:pPr>
              <w:pStyle w:val="Tabulka"/>
            </w:pPr>
            <w:r w:rsidRPr="002619A2">
              <w:t>ČOV</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331A76C8" w14:textId="77777777" w:rsidR="007105EA" w:rsidRPr="002619A2" w:rsidRDefault="007105EA" w:rsidP="006E3E51">
            <w:pPr>
              <w:pStyle w:val="Tabulka"/>
            </w:pPr>
            <w:r w:rsidRPr="002619A2">
              <w:t>Čistírna odpadních vod</w:t>
            </w:r>
          </w:p>
        </w:tc>
      </w:tr>
      <w:tr w:rsidR="007105EA" w:rsidRPr="002619A2" w14:paraId="66DAA79C"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03665BDD" w14:textId="77777777" w:rsidR="007105EA" w:rsidRPr="002619A2" w:rsidRDefault="007105EA" w:rsidP="00AA2805">
            <w:pPr>
              <w:pStyle w:val="Tabulka"/>
            </w:pPr>
            <w:r w:rsidRPr="002619A2">
              <w:t>ČR</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08DECFE8" w14:textId="77777777" w:rsidR="007105EA" w:rsidRPr="002619A2" w:rsidRDefault="007105EA" w:rsidP="006E3E51">
            <w:pPr>
              <w:pStyle w:val="Tabulka"/>
            </w:pPr>
            <w:r w:rsidRPr="002619A2">
              <w:t>Česká republika</w:t>
            </w:r>
          </w:p>
        </w:tc>
      </w:tr>
      <w:tr w:rsidR="007105EA" w:rsidRPr="002619A2" w14:paraId="793AF8F2"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6D5CEB94" w14:textId="77777777" w:rsidR="007105EA" w:rsidRPr="002619A2" w:rsidRDefault="007105EA" w:rsidP="00AA2805">
            <w:pPr>
              <w:pStyle w:val="Tabulka"/>
            </w:pPr>
            <w:r w:rsidRPr="002619A2">
              <w:t>ČSÚ</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20C679CA" w14:textId="77777777" w:rsidR="007105EA" w:rsidRPr="002619A2" w:rsidRDefault="007105EA" w:rsidP="006E3E51">
            <w:pPr>
              <w:pStyle w:val="Tabulka"/>
            </w:pPr>
            <w:r w:rsidRPr="002619A2">
              <w:t>Český statistický úřad</w:t>
            </w:r>
          </w:p>
        </w:tc>
      </w:tr>
      <w:tr w:rsidR="007105EA" w:rsidRPr="002619A2" w14:paraId="029FDEA7"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666D4F74" w14:textId="77777777" w:rsidR="007105EA" w:rsidRPr="002619A2" w:rsidRDefault="007105EA" w:rsidP="00AA2805">
            <w:pPr>
              <w:pStyle w:val="Tabulka"/>
            </w:pPr>
            <w:r w:rsidRPr="002619A2">
              <w:t>DU</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0A8DF294" w14:textId="77777777" w:rsidR="007105EA" w:rsidRPr="002619A2" w:rsidRDefault="007105EA" w:rsidP="006E3E51">
            <w:pPr>
              <w:pStyle w:val="Tabulka"/>
            </w:pPr>
            <w:r w:rsidRPr="002619A2">
              <w:t>dosažitelný uchazeč o práci</w:t>
            </w:r>
          </w:p>
        </w:tc>
      </w:tr>
      <w:tr w:rsidR="007105EA" w:rsidRPr="002619A2" w14:paraId="7C63DF54"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4A2D59B3" w14:textId="77777777" w:rsidR="007105EA" w:rsidRPr="002619A2" w:rsidRDefault="007105EA" w:rsidP="00AA2805">
            <w:pPr>
              <w:pStyle w:val="Tabulka"/>
            </w:pPr>
            <w:r w:rsidRPr="002619A2">
              <w:t>E.O.</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48D7083D" w14:textId="77777777" w:rsidR="007105EA" w:rsidRPr="002619A2" w:rsidRDefault="007105EA" w:rsidP="006E3E51">
            <w:pPr>
              <w:pStyle w:val="Tabulka"/>
            </w:pPr>
            <w:r w:rsidRPr="002619A2">
              <w:t>ekvivalentní obyvatel</w:t>
            </w:r>
          </w:p>
        </w:tc>
      </w:tr>
      <w:tr w:rsidR="007105EA" w:rsidRPr="002619A2" w14:paraId="3C4BB76D"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1E7B8B2F" w14:textId="77777777" w:rsidR="007105EA" w:rsidRPr="002619A2" w:rsidRDefault="007105EA" w:rsidP="00AA2805">
            <w:pPr>
              <w:pStyle w:val="Tabulka"/>
            </w:pPr>
            <w:r w:rsidRPr="002619A2">
              <w:t>EAFRD</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049752AF" w14:textId="77777777" w:rsidR="007105EA" w:rsidRPr="002619A2" w:rsidRDefault="007105EA" w:rsidP="006E3E51">
            <w:pPr>
              <w:pStyle w:val="Tabulka"/>
            </w:pPr>
            <w:r w:rsidRPr="002619A2">
              <w:t>Evropský zemědělský fond pro rozvoj venkova (</w:t>
            </w:r>
            <w:proofErr w:type="spellStart"/>
            <w:r w:rsidRPr="002619A2">
              <w:t>European</w:t>
            </w:r>
            <w:proofErr w:type="spellEnd"/>
            <w:r w:rsidRPr="519AA2E2">
              <w:t xml:space="preserve"> </w:t>
            </w:r>
            <w:r w:rsidRPr="002619A2">
              <w:t>Agricultural</w:t>
            </w:r>
            <w:r w:rsidRPr="519AA2E2">
              <w:t xml:space="preserve"> </w:t>
            </w:r>
            <w:proofErr w:type="spellStart"/>
            <w:r w:rsidRPr="002619A2">
              <w:t>Fund</w:t>
            </w:r>
            <w:proofErr w:type="spellEnd"/>
            <w:r w:rsidRPr="519AA2E2">
              <w:t xml:space="preserve"> </w:t>
            </w:r>
            <w:proofErr w:type="spellStart"/>
            <w:r w:rsidRPr="002619A2">
              <w:t>for</w:t>
            </w:r>
            <w:proofErr w:type="spellEnd"/>
            <w:r w:rsidRPr="519AA2E2">
              <w:t xml:space="preserve"> </w:t>
            </w:r>
            <w:proofErr w:type="spellStart"/>
            <w:r w:rsidRPr="002619A2">
              <w:t>Rural</w:t>
            </w:r>
            <w:proofErr w:type="spellEnd"/>
            <w:r w:rsidRPr="519AA2E2">
              <w:t xml:space="preserve"> </w:t>
            </w:r>
            <w:r w:rsidRPr="002619A2">
              <w:t>Development</w:t>
            </w:r>
            <w:r w:rsidRPr="519AA2E2">
              <w:t>)</w:t>
            </w:r>
          </w:p>
        </w:tc>
      </w:tr>
      <w:tr w:rsidR="007105EA" w:rsidRPr="002619A2" w14:paraId="36DE87DE"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3FC89EC0" w14:textId="77777777" w:rsidR="007105EA" w:rsidRPr="002619A2" w:rsidRDefault="007105EA" w:rsidP="00AA2805">
            <w:pPr>
              <w:pStyle w:val="Tabulka"/>
            </w:pPr>
            <w:r w:rsidRPr="002619A2">
              <w:t>EKOTOXA</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0E7EF08A" w14:textId="77777777" w:rsidR="007105EA" w:rsidRPr="002619A2" w:rsidRDefault="007105EA" w:rsidP="006E3E51">
            <w:pPr>
              <w:pStyle w:val="Tabulka"/>
            </w:pPr>
            <w:r w:rsidRPr="002619A2">
              <w:t>Centrum pro životní prostředí a hodnocení krajiny (poradenská, analytická a projekční společnost)</w:t>
            </w:r>
          </w:p>
        </w:tc>
      </w:tr>
      <w:tr w:rsidR="007105EA" w:rsidRPr="002619A2" w14:paraId="711B3949"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120F3029" w14:textId="77777777" w:rsidR="007105EA" w:rsidRPr="002619A2" w:rsidRDefault="007105EA" w:rsidP="00AA2805">
            <w:pPr>
              <w:pStyle w:val="Tabulka"/>
            </w:pPr>
            <w:r w:rsidRPr="002619A2">
              <w:t>EU</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6BB74692" w14:textId="77777777" w:rsidR="007105EA" w:rsidRPr="002619A2" w:rsidRDefault="007105EA" w:rsidP="006E3E51">
            <w:pPr>
              <w:pStyle w:val="Tabulka"/>
            </w:pPr>
            <w:r w:rsidRPr="002619A2">
              <w:t>Evropská unie (EU 15 - po roce 1994 (vč. Rakouska, Finska a Švédska), EU 25 - od 1.5.2004, EU 27- od 1.1.2007, EU 28- od 1.7.2013)</w:t>
            </w:r>
          </w:p>
        </w:tc>
      </w:tr>
      <w:tr w:rsidR="007105EA" w:rsidRPr="002619A2" w14:paraId="2FF0200E"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3C71953D" w14:textId="77777777" w:rsidR="007105EA" w:rsidRPr="002619A2" w:rsidRDefault="007105EA" w:rsidP="00AA2805">
            <w:pPr>
              <w:pStyle w:val="Tabulka"/>
            </w:pPr>
            <w:r w:rsidRPr="002619A2">
              <w:t>EUR</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6C771867" w14:textId="77777777" w:rsidR="007105EA" w:rsidRPr="002619A2" w:rsidRDefault="007105EA" w:rsidP="006E3E51">
            <w:pPr>
              <w:pStyle w:val="Tabulka"/>
            </w:pPr>
            <w:r w:rsidRPr="002619A2">
              <w:t>euro, oficiální platidlo 19 z 28 států Evropské unie</w:t>
            </w:r>
          </w:p>
        </w:tc>
      </w:tr>
      <w:tr w:rsidR="007105EA" w:rsidRPr="002619A2" w14:paraId="10506903"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2A0A7DA6" w14:textId="77777777" w:rsidR="007105EA" w:rsidRPr="002619A2" w:rsidRDefault="007105EA" w:rsidP="00AA2805">
            <w:pPr>
              <w:pStyle w:val="Tabulka"/>
            </w:pPr>
            <w:r w:rsidRPr="002619A2">
              <w:t>EUROSTAT</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6F83047F" w14:textId="77777777" w:rsidR="007105EA" w:rsidRPr="002619A2" w:rsidRDefault="007105EA" w:rsidP="006E3E51">
            <w:pPr>
              <w:pStyle w:val="Tabulka"/>
            </w:pPr>
            <w:r w:rsidRPr="002619A2">
              <w:t>Statistický úřad Evropské unie</w:t>
            </w:r>
          </w:p>
        </w:tc>
      </w:tr>
      <w:tr w:rsidR="007105EA" w:rsidRPr="002619A2" w14:paraId="33F636E1"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77D948B7" w14:textId="77777777" w:rsidR="007105EA" w:rsidRPr="002619A2" w:rsidRDefault="007105EA" w:rsidP="00AA2805">
            <w:pPr>
              <w:pStyle w:val="Tabulka"/>
            </w:pPr>
            <w:r w:rsidRPr="002619A2">
              <w:t>FADN</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65C79043" w14:textId="77777777" w:rsidR="007105EA" w:rsidRPr="002619A2" w:rsidRDefault="007105EA" w:rsidP="006E3E51">
            <w:pPr>
              <w:pStyle w:val="Tabulka"/>
            </w:pPr>
            <w:proofErr w:type="spellStart"/>
            <w:r w:rsidRPr="002619A2">
              <w:t>Farm</w:t>
            </w:r>
            <w:proofErr w:type="spellEnd"/>
            <w:r w:rsidRPr="519AA2E2">
              <w:t xml:space="preserve"> </w:t>
            </w:r>
            <w:proofErr w:type="spellStart"/>
            <w:r w:rsidRPr="002619A2">
              <w:t>Accountancy</w:t>
            </w:r>
            <w:proofErr w:type="spellEnd"/>
            <w:r w:rsidRPr="002619A2">
              <w:t xml:space="preserve"> Data Network (Síť testovacích podniků)</w:t>
            </w:r>
          </w:p>
        </w:tc>
      </w:tr>
      <w:tr w:rsidR="007105EA" w:rsidRPr="002619A2" w14:paraId="536577CC"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07A415BB" w14:textId="77777777" w:rsidR="007105EA" w:rsidRPr="002619A2" w:rsidRDefault="007105EA" w:rsidP="00AA2805">
            <w:pPr>
              <w:pStyle w:val="Tabulka"/>
            </w:pPr>
            <w:r w:rsidRPr="002619A2">
              <w:t>ha</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3CE25F0E" w14:textId="77777777" w:rsidR="007105EA" w:rsidRPr="002619A2" w:rsidRDefault="007105EA" w:rsidP="006E3E51">
            <w:pPr>
              <w:pStyle w:val="Tabulka"/>
            </w:pPr>
            <w:r w:rsidRPr="002619A2">
              <w:t>hektar</w:t>
            </w:r>
          </w:p>
        </w:tc>
      </w:tr>
      <w:tr w:rsidR="007105EA" w:rsidRPr="002619A2" w14:paraId="5C148672"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76B1B389" w14:textId="77777777" w:rsidR="007105EA" w:rsidRPr="002619A2" w:rsidRDefault="007105EA" w:rsidP="00AA2805">
            <w:pPr>
              <w:pStyle w:val="Tabulka"/>
            </w:pPr>
            <w:r w:rsidRPr="002619A2">
              <w:t>HDP</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1A41743A" w14:textId="77777777" w:rsidR="007105EA" w:rsidRPr="002619A2" w:rsidRDefault="007105EA" w:rsidP="006E3E51">
            <w:pPr>
              <w:pStyle w:val="Tabulka"/>
            </w:pPr>
            <w:r w:rsidRPr="002619A2">
              <w:t>Hrubý domácí produkt</w:t>
            </w:r>
          </w:p>
        </w:tc>
      </w:tr>
      <w:tr w:rsidR="007105EA" w:rsidRPr="002619A2" w14:paraId="6C4C80A8"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1A76B828" w14:textId="77777777" w:rsidR="007105EA" w:rsidRPr="002619A2" w:rsidRDefault="007105EA" w:rsidP="00AA2805">
            <w:pPr>
              <w:pStyle w:val="Tabulka"/>
            </w:pPr>
            <w:r w:rsidRPr="002619A2">
              <w:t>HPH</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578389DB" w14:textId="77777777" w:rsidR="007105EA" w:rsidRPr="002619A2" w:rsidRDefault="007105EA" w:rsidP="006E3E51">
            <w:pPr>
              <w:pStyle w:val="Tabulka"/>
            </w:pPr>
            <w:r w:rsidRPr="002619A2">
              <w:t>Hrubá přidaná hodnota</w:t>
            </w:r>
          </w:p>
        </w:tc>
      </w:tr>
      <w:tr w:rsidR="007105EA" w:rsidRPr="002619A2" w14:paraId="633FF976"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4DF08EAA" w14:textId="77777777" w:rsidR="007105EA" w:rsidRPr="002619A2" w:rsidRDefault="007105EA" w:rsidP="00AA2805">
            <w:pPr>
              <w:pStyle w:val="Tabulka"/>
            </w:pPr>
            <w:r w:rsidRPr="002619A2">
              <w:t>IN</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209DDD50" w14:textId="77777777" w:rsidR="007105EA" w:rsidRPr="002619A2" w:rsidRDefault="007105EA" w:rsidP="006E3E51">
            <w:pPr>
              <w:pStyle w:val="Tabulka"/>
            </w:pPr>
            <w:r w:rsidRPr="002619A2">
              <w:t xml:space="preserve">přechodný region (zkratka z </w:t>
            </w:r>
            <w:proofErr w:type="spellStart"/>
            <w:r w:rsidRPr="002619A2">
              <w:t>intermediate</w:t>
            </w:r>
            <w:proofErr w:type="spellEnd"/>
            <w:r w:rsidRPr="002619A2">
              <w:t xml:space="preserve"> region) </w:t>
            </w:r>
          </w:p>
        </w:tc>
      </w:tr>
      <w:tr w:rsidR="007105EA" w:rsidRPr="002619A2" w14:paraId="62D29B17"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285214F0" w14:textId="77777777" w:rsidR="007105EA" w:rsidRPr="002619A2" w:rsidRDefault="007105EA" w:rsidP="00AA2805">
            <w:pPr>
              <w:pStyle w:val="Tabulka"/>
            </w:pPr>
            <w:r w:rsidRPr="002619A2">
              <w:t>Ind.</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6FF9F255" w14:textId="77777777" w:rsidR="007105EA" w:rsidRPr="002619A2" w:rsidRDefault="007105EA" w:rsidP="006E3E51">
            <w:pPr>
              <w:pStyle w:val="Tabulka"/>
            </w:pPr>
            <w:r w:rsidRPr="002619A2">
              <w:t>Index</w:t>
            </w:r>
          </w:p>
        </w:tc>
      </w:tr>
      <w:tr w:rsidR="007105EA" w:rsidRPr="002619A2" w14:paraId="67B63075"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4494B711" w14:textId="77777777" w:rsidR="007105EA" w:rsidRPr="002619A2" w:rsidRDefault="007105EA" w:rsidP="00AA2805">
            <w:pPr>
              <w:pStyle w:val="Tabulka"/>
            </w:pPr>
            <w:r w:rsidRPr="002619A2">
              <w:t>IREAS</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183FEEBB" w14:textId="77777777" w:rsidR="007105EA" w:rsidRPr="002619A2" w:rsidRDefault="007105EA" w:rsidP="006E3E51">
            <w:pPr>
              <w:pStyle w:val="Tabulka"/>
            </w:pPr>
            <w:r w:rsidRPr="002619A2">
              <w:t>Institut pro strukturální politiku, o. p. s.</w:t>
            </w:r>
          </w:p>
        </w:tc>
      </w:tr>
      <w:tr w:rsidR="007105EA" w:rsidRPr="002619A2" w14:paraId="5F7D937D"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536DDF01" w14:textId="77777777" w:rsidR="007105EA" w:rsidRPr="002619A2" w:rsidRDefault="007105EA" w:rsidP="00AA2805">
            <w:pPr>
              <w:pStyle w:val="Tabulka"/>
            </w:pPr>
            <w:r w:rsidRPr="002619A2">
              <w:t>IROP</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391115C9" w14:textId="77777777" w:rsidR="007105EA" w:rsidRPr="002619A2" w:rsidRDefault="007105EA" w:rsidP="006E3E51">
            <w:pPr>
              <w:pStyle w:val="Tabulka"/>
            </w:pPr>
            <w:r w:rsidRPr="002619A2">
              <w:t>Integrovaný regionální operační program</w:t>
            </w:r>
          </w:p>
        </w:tc>
      </w:tr>
      <w:tr w:rsidR="007105EA" w:rsidRPr="002619A2" w14:paraId="5BD27BA9"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6F900995" w14:textId="77777777" w:rsidR="007105EA" w:rsidRPr="002619A2" w:rsidRDefault="007105EA" w:rsidP="00AA2805">
            <w:pPr>
              <w:pStyle w:val="Tabulka"/>
            </w:pPr>
            <w:r w:rsidRPr="002619A2">
              <w:t>Kč</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03CC9DE8" w14:textId="77777777" w:rsidR="007105EA" w:rsidRPr="002619A2" w:rsidRDefault="007105EA" w:rsidP="006E3E51">
            <w:pPr>
              <w:pStyle w:val="Tabulka"/>
            </w:pPr>
            <w:r w:rsidRPr="002619A2">
              <w:t>Koruna česká</w:t>
            </w:r>
          </w:p>
        </w:tc>
      </w:tr>
      <w:tr w:rsidR="007105EA" w:rsidRPr="002619A2" w14:paraId="6D820199"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34DEECF2" w14:textId="77777777" w:rsidR="007105EA" w:rsidRPr="002619A2" w:rsidRDefault="007105EA" w:rsidP="00AA2805">
            <w:pPr>
              <w:pStyle w:val="Tabulka"/>
            </w:pPr>
            <w:r w:rsidRPr="002619A2">
              <w:t>km</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6734BEA1" w14:textId="77777777" w:rsidR="007105EA" w:rsidRPr="002619A2" w:rsidRDefault="007105EA" w:rsidP="006E3E51">
            <w:pPr>
              <w:pStyle w:val="Tabulka"/>
            </w:pPr>
            <w:r w:rsidRPr="002619A2">
              <w:t>kilometr</w:t>
            </w:r>
          </w:p>
        </w:tc>
      </w:tr>
      <w:tr w:rsidR="007105EA" w:rsidRPr="002619A2" w14:paraId="7749108E"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2F8445FE" w14:textId="77777777" w:rsidR="007105EA" w:rsidRPr="002619A2" w:rsidRDefault="007105EA" w:rsidP="00AA2805">
            <w:pPr>
              <w:pStyle w:val="Tabulka"/>
            </w:pPr>
            <w:r w:rsidRPr="002619A2">
              <w:t>LAU</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007DDB0C" w14:textId="77777777" w:rsidR="007105EA" w:rsidRPr="002619A2" w:rsidRDefault="007105EA" w:rsidP="006E3E51">
            <w:pPr>
              <w:pStyle w:val="Tabulka"/>
            </w:pPr>
            <w:r w:rsidRPr="002619A2">
              <w:t>Místní správní jednotka (</w:t>
            </w:r>
            <w:proofErr w:type="spellStart"/>
            <w:r w:rsidRPr="002619A2">
              <w:t>Local</w:t>
            </w:r>
            <w:proofErr w:type="spellEnd"/>
            <w:r w:rsidRPr="519AA2E2">
              <w:t xml:space="preserve"> </w:t>
            </w:r>
            <w:proofErr w:type="spellStart"/>
            <w:r w:rsidRPr="002619A2">
              <w:t>administrative</w:t>
            </w:r>
            <w:proofErr w:type="spellEnd"/>
            <w:r w:rsidRPr="002619A2">
              <w:t xml:space="preserve"> unit), nižší správní jednotka soustavy NUTS (LAU 1- obec, LAU 2- okres)</w:t>
            </w:r>
          </w:p>
        </w:tc>
      </w:tr>
      <w:tr w:rsidR="007105EA" w:rsidRPr="002619A2" w14:paraId="4E2C7666"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490D1671" w14:textId="77777777" w:rsidR="007105EA" w:rsidRPr="002619A2" w:rsidRDefault="007105EA" w:rsidP="00AA2805">
            <w:pPr>
              <w:pStyle w:val="Tabulka"/>
            </w:pPr>
            <w:r w:rsidRPr="002619A2">
              <w:t>LEADER</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1622C000" w14:textId="77777777" w:rsidR="007105EA" w:rsidRPr="002619A2" w:rsidRDefault="007105EA" w:rsidP="006E3E51">
            <w:pPr>
              <w:pStyle w:val="Tabulka"/>
            </w:pPr>
            <w:r w:rsidRPr="002619A2">
              <w:t>název iniciativy EU sloužící k podpoře projektů realizovaných v konkrétních územích na základě vzájemné spolupráce mezi místními subjekty (</w:t>
            </w:r>
            <w:proofErr w:type="spellStart"/>
            <w:r w:rsidRPr="002619A2">
              <w:t>Liaison</w:t>
            </w:r>
            <w:proofErr w:type="spellEnd"/>
            <w:r w:rsidRPr="519AA2E2">
              <w:t xml:space="preserve"> </w:t>
            </w:r>
            <w:proofErr w:type="spellStart"/>
            <w:r w:rsidRPr="002619A2">
              <w:t>Entre</w:t>
            </w:r>
            <w:proofErr w:type="spellEnd"/>
            <w:r w:rsidRPr="002619A2">
              <w:t xml:space="preserve"> de </w:t>
            </w:r>
            <w:proofErr w:type="spellStart"/>
            <w:r w:rsidRPr="002619A2">
              <w:t>Développement</w:t>
            </w:r>
            <w:proofErr w:type="spellEnd"/>
            <w:r w:rsidRPr="002619A2">
              <w:t xml:space="preserve"> de </w:t>
            </w:r>
            <w:proofErr w:type="spellStart"/>
            <w:r w:rsidRPr="002619A2">
              <w:t>l'Economie</w:t>
            </w:r>
            <w:proofErr w:type="spellEnd"/>
            <w:r w:rsidRPr="519AA2E2">
              <w:t xml:space="preserve"> </w:t>
            </w:r>
            <w:proofErr w:type="spellStart"/>
            <w:r w:rsidRPr="002619A2">
              <w:t>Rurale</w:t>
            </w:r>
            <w:proofErr w:type="spellEnd"/>
            <w:r w:rsidRPr="519AA2E2">
              <w:t>)</w:t>
            </w:r>
          </w:p>
        </w:tc>
      </w:tr>
      <w:tr w:rsidR="007105EA" w:rsidRPr="002619A2" w14:paraId="7D7104E3"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1AC6FBF3" w14:textId="77777777" w:rsidR="007105EA" w:rsidRPr="002619A2" w:rsidRDefault="007105EA" w:rsidP="00AA2805">
            <w:pPr>
              <w:pStyle w:val="Tabulka"/>
            </w:pPr>
            <w:r w:rsidRPr="002619A2">
              <w:t>LFA</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5EBC6B66" w14:textId="77777777" w:rsidR="007105EA" w:rsidRPr="002619A2" w:rsidRDefault="007105EA" w:rsidP="006E3E51">
            <w:pPr>
              <w:pStyle w:val="Tabulka"/>
            </w:pPr>
            <w:r w:rsidRPr="002619A2">
              <w:t>Méně příznivé oblasti (</w:t>
            </w:r>
            <w:proofErr w:type="spellStart"/>
            <w:r w:rsidRPr="002619A2">
              <w:t>Less</w:t>
            </w:r>
            <w:proofErr w:type="spellEnd"/>
            <w:r w:rsidRPr="519AA2E2">
              <w:t xml:space="preserve"> </w:t>
            </w:r>
            <w:proofErr w:type="spellStart"/>
            <w:r w:rsidRPr="002619A2">
              <w:t>Favourite</w:t>
            </w:r>
            <w:proofErr w:type="spellEnd"/>
            <w:r w:rsidRPr="519AA2E2">
              <w:t xml:space="preserve"> </w:t>
            </w:r>
            <w:proofErr w:type="spellStart"/>
            <w:r w:rsidRPr="002619A2">
              <w:t>Areas</w:t>
            </w:r>
            <w:proofErr w:type="spellEnd"/>
            <w:r w:rsidRPr="519AA2E2">
              <w:t>)</w:t>
            </w:r>
          </w:p>
        </w:tc>
      </w:tr>
      <w:tr w:rsidR="007105EA" w:rsidRPr="002619A2" w14:paraId="628E74FF"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73D57AB0" w14:textId="77777777" w:rsidR="007105EA" w:rsidRPr="002619A2" w:rsidRDefault="007105EA" w:rsidP="00AA2805">
            <w:pPr>
              <w:pStyle w:val="Tabulka"/>
            </w:pPr>
            <w:r w:rsidRPr="002619A2">
              <w:t>MAS</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5FD0A673" w14:textId="77777777" w:rsidR="007105EA" w:rsidRPr="002619A2" w:rsidRDefault="007105EA" w:rsidP="006E3E51">
            <w:pPr>
              <w:pStyle w:val="Tabulka"/>
            </w:pPr>
            <w:r w:rsidRPr="002619A2">
              <w:t>Místní akční skupina</w:t>
            </w:r>
          </w:p>
        </w:tc>
      </w:tr>
      <w:tr w:rsidR="007105EA" w:rsidRPr="002619A2" w14:paraId="012B4CBB"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0E2B5812" w14:textId="77777777" w:rsidR="007105EA" w:rsidRPr="002619A2" w:rsidRDefault="007105EA" w:rsidP="00AA2805">
            <w:pPr>
              <w:pStyle w:val="Tabulka"/>
            </w:pPr>
            <w:r w:rsidRPr="002619A2">
              <w:t>MD</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2FDE6090" w14:textId="77777777" w:rsidR="007105EA" w:rsidRPr="002619A2" w:rsidRDefault="007105EA" w:rsidP="006E3E51">
            <w:pPr>
              <w:pStyle w:val="Tabulka"/>
            </w:pPr>
            <w:r w:rsidRPr="002619A2">
              <w:t>Ministerstvo dopravy</w:t>
            </w:r>
          </w:p>
        </w:tc>
      </w:tr>
      <w:tr w:rsidR="007105EA" w:rsidRPr="002619A2" w14:paraId="308F520D"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752B624B" w14:textId="77777777" w:rsidR="007105EA" w:rsidRPr="002619A2" w:rsidRDefault="007105EA" w:rsidP="00AA2805">
            <w:pPr>
              <w:pStyle w:val="Tabulka"/>
            </w:pPr>
            <w:r w:rsidRPr="002619A2">
              <w:lastRenderedPageBreak/>
              <w:t>MPSV</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1C66D893" w14:textId="77777777" w:rsidR="007105EA" w:rsidRPr="002619A2" w:rsidRDefault="007105EA" w:rsidP="006E3E51">
            <w:pPr>
              <w:pStyle w:val="Tabulka"/>
            </w:pPr>
            <w:r w:rsidRPr="002619A2">
              <w:t>Ministerstvo práce a sociálních věcí</w:t>
            </w:r>
          </w:p>
        </w:tc>
      </w:tr>
      <w:tr w:rsidR="007105EA" w:rsidRPr="002619A2" w14:paraId="002E565A"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054B7D9D" w14:textId="77777777" w:rsidR="007105EA" w:rsidRPr="002619A2" w:rsidRDefault="007105EA" w:rsidP="00AA2805">
            <w:pPr>
              <w:pStyle w:val="Tabulka"/>
            </w:pPr>
            <w:r w:rsidRPr="002619A2">
              <w:t>MŠ</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3C1EAF0D" w14:textId="77777777" w:rsidR="007105EA" w:rsidRPr="002619A2" w:rsidRDefault="007105EA" w:rsidP="006E3E51">
            <w:pPr>
              <w:pStyle w:val="Tabulka"/>
            </w:pPr>
            <w:r w:rsidRPr="002619A2">
              <w:t>mateřská škola</w:t>
            </w:r>
          </w:p>
        </w:tc>
      </w:tr>
      <w:tr w:rsidR="007105EA" w:rsidRPr="002619A2" w14:paraId="7FC31ED8"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0CB358E5" w14:textId="77777777" w:rsidR="007105EA" w:rsidRPr="002619A2" w:rsidRDefault="007105EA" w:rsidP="00AA2805">
            <w:pPr>
              <w:pStyle w:val="Tabulka"/>
            </w:pPr>
            <w:proofErr w:type="spellStart"/>
            <w:r w:rsidRPr="002619A2">
              <w:t>MZe</w:t>
            </w:r>
            <w:proofErr w:type="spellEnd"/>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57660463" w14:textId="77777777" w:rsidR="007105EA" w:rsidRPr="002619A2" w:rsidRDefault="007105EA" w:rsidP="006E3E51">
            <w:pPr>
              <w:pStyle w:val="Tabulka"/>
            </w:pPr>
            <w:r w:rsidRPr="002619A2">
              <w:t>Ministerstvo zemědělství</w:t>
            </w:r>
          </w:p>
        </w:tc>
      </w:tr>
      <w:tr w:rsidR="007105EA" w:rsidRPr="002619A2" w14:paraId="204F3F95"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7B835407" w14:textId="77777777" w:rsidR="007105EA" w:rsidRPr="002619A2" w:rsidRDefault="007105EA" w:rsidP="00AA2805">
            <w:pPr>
              <w:pStyle w:val="Tabulka"/>
            </w:pPr>
            <w:r w:rsidRPr="002619A2">
              <w:t>NAVIGA 4</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783B91A4" w14:textId="77777777" w:rsidR="007105EA" w:rsidRPr="002619A2" w:rsidRDefault="007105EA" w:rsidP="006E3E51">
            <w:pPr>
              <w:pStyle w:val="Tabulka"/>
            </w:pPr>
            <w:r w:rsidRPr="002619A2">
              <w:t>poradenská firma v oblasti evropských a národních dotací v ČR</w:t>
            </w:r>
          </w:p>
        </w:tc>
      </w:tr>
      <w:tr w:rsidR="007105EA" w:rsidRPr="002619A2" w14:paraId="60AF2627"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1B470C7A" w14:textId="77777777" w:rsidR="007105EA" w:rsidRPr="002619A2" w:rsidRDefault="007105EA" w:rsidP="00AA2805">
            <w:pPr>
              <w:pStyle w:val="Tabulka"/>
            </w:pPr>
            <w:r w:rsidRPr="002619A2">
              <w:t>NH</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0FB65387" w14:textId="77777777" w:rsidR="007105EA" w:rsidRPr="002619A2" w:rsidRDefault="007105EA" w:rsidP="006E3E51">
            <w:pPr>
              <w:pStyle w:val="Tabulka"/>
            </w:pPr>
            <w:r w:rsidRPr="002619A2">
              <w:t>Národní hospodářství</w:t>
            </w:r>
          </w:p>
        </w:tc>
      </w:tr>
      <w:tr w:rsidR="007105EA" w:rsidRPr="002619A2" w14:paraId="57351C36"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3A578447" w14:textId="77777777" w:rsidR="007105EA" w:rsidRPr="002619A2" w:rsidRDefault="007105EA" w:rsidP="00AA2805">
            <w:pPr>
              <w:pStyle w:val="Tabulka"/>
            </w:pPr>
            <w:r w:rsidRPr="002619A2">
              <w:t>NPR</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4A7A7707" w14:textId="77777777" w:rsidR="007105EA" w:rsidRPr="002619A2" w:rsidRDefault="007105EA" w:rsidP="006E3E51">
            <w:pPr>
              <w:pStyle w:val="Tabulka"/>
            </w:pPr>
            <w:r w:rsidRPr="002619A2">
              <w:t>Národní program reforem ČR</w:t>
            </w:r>
          </w:p>
        </w:tc>
      </w:tr>
      <w:tr w:rsidR="007105EA" w:rsidRPr="002619A2" w14:paraId="447FD486"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2B882733" w14:textId="77777777" w:rsidR="007105EA" w:rsidRPr="002619A2" w:rsidRDefault="007105EA" w:rsidP="00AA2805">
            <w:pPr>
              <w:pStyle w:val="Tabulka"/>
            </w:pPr>
            <w:r w:rsidRPr="002619A2">
              <w:t>NUTS</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2154925E" w14:textId="77777777" w:rsidR="007105EA" w:rsidRPr="002619A2" w:rsidRDefault="007105EA" w:rsidP="006E3E51">
            <w:pPr>
              <w:pStyle w:val="Tabulka"/>
            </w:pPr>
            <w:r w:rsidRPr="002619A2">
              <w:t>Nomenklatura územních statistických jednotek (</w:t>
            </w:r>
            <w:proofErr w:type="spellStart"/>
            <w:r w:rsidRPr="002619A2">
              <w:t>Nomenslature</w:t>
            </w:r>
            <w:proofErr w:type="spellEnd"/>
            <w:r w:rsidRPr="002619A2">
              <w:t xml:space="preserve"> des </w:t>
            </w:r>
            <w:proofErr w:type="spellStart"/>
            <w:r w:rsidRPr="002619A2">
              <w:t>unités</w:t>
            </w:r>
            <w:proofErr w:type="spellEnd"/>
            <w:r w:rsidRPr="519AA2E2">
              <w:t xml:space="preserve"> </w:t>
            </w:r>
            <w:proofErr w:type="spellStart"/>
            <w:r w:rsidRPr="002619A2">
              <w:t>territoriales</w:t>
            </w:r>
            <w:proofErr w:type="spellEnd"/>
            <w:r w:rsidRPr="519AA2E2">
              <w:t xml:space="preserve"> </w:t>
            </w:r>
            <w:proofErr w:type="spellStart"/>
            <w:r w:rsidRPr="002619A2">
              <w:t>statistique</w:t>
            </w:r>
            <w:proofErr w:type="spellEnd"/>
            <w:r w:rsidRPr="002619A2">
              <w:t xml:space="preserve">; NUTS 0 </w:t>
            </w:r>
            <w:r w:rsidR="002F3739" w:rsidRPr="519AA2E2">
              <w:t>–</w:t>
            </w:r>
            <w:r w:rsidR="004018E0" w:rsidRPr="519AA2E2">
              <w:t xml:space="preserve"> </w:t>
            </w:r>
            <w:r w:rsidRPr="002619A2">
              <w:t>stát, NUTS 1</w:t>
            </w:r>
            <w:r w:rsidR="002F3739" w:rsidRPr="519AA2E2">
              <w:t xml:space="preserve"> –</w:t>
            </w:r>
            <w:r w:rsidRPr="002619A2">
              <w:t xml:space="preserve"> úze</w:t>
            </w:r>
            <w:r w:rsidR="00851FC9">
              <w:t>mí, NUTS 2</w:t>
            </w:r>
            <w:r w:rsidR="002F3739" w:rsidRPr="519AA2E2">
              <w:t xml:space="preserve"> –</w:t>
            </w:r>
            <w:r w:rsidR="00851FC9">
              <w:t xml:space="preserve"> region, </w:t>
            </w:r>
            <w:r w:rsidR="002F3739">
              <w:br/>
            </w:r>
            <w:r w:rsidR="00851FC9">
              <w:t>NUTS 3</w:t>
            </w:r>
            <w:r w:rsidR="002F3739" w:rsidRPr="519AA2E2">
              <w:t xml:space="preserve"> – </w:t>
            </w:r>
            <w:r w:rsidR="00851FC9">
              <w:t>kraj</w:t>
            </w:r>
            <w:r w:rsidR="002F3739" w:rsidRPr="519AA2E2">
              <w:t>)</w:t>
            </w:r>
          </w:p>
        </w:tc>
      </w:tr>
      <w:tr w:rsidR="007105EA" w:rsidRPr="002619A2" w14:paraId="1E75203C"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7708F13E" w14:textId="77777777" w:rsidR="007105EA" w:rsidRPr="002619A2" w:rsidRDefault="007105EA" w:rsidP="00AA2805">
            <w:pPr>
              <w:pStyle w:val="Tabulka"/>
            </w:pPr>
            <w:r w:rsidRPr="002619A2">
              <w:t>ob.</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2D1BCC30" w14:textId="77777777" w:rsidR="007105EA" w:rsidRPr="002619A2" w:rsidRDefault="007105EA" w:rsidP="006E3E51">
            <w:pPr>
              <w:pStyle w:val="Tabulka"/>
            </w:pPr>
            <w:r w:rsidRPr="002619A2">
              <w:t>obyvatel</w:t>
            </w:r>
          </w:p>
        </w:tc>
      </w:tr>
      <w:tr w:rsidR="007105EA" w:rsidRPr="002619A2" w14:paraId="72A604ED"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0E626CA0" w14:textId="77777777" w:rsidR="007105EA" w:rsidRPr="002619A2" w:rsidRDefault="007105EA" w:rsidP="00AA2805">
            <w:pPr>
              <w:pStyle w:val="Tabulka"/>
            </w:pPr>
            <w:r w:rsidRPr="002619A2">
              <w:t>OECD</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70EDECE5" w14:textId="77777777" w:rsidR="007105EA" w:rsidRPr="002619A2" w:rsidRDefault="007105EA" w:rsidP="006E3E51">
            <w:pPr>
              <w:pStyle w:val="Tabulka"/>
            </w:pPr>
            <w:r w:rsidRPr="002619A2">
              <w:t>Organizace pro hospodářskou spolupráci a rozvoj (</w:t>
            </w:r>
            <w:proofErr w:type="spellStart"/>
            <w:r w:rsidRPr="002619A2">
              <w:t>Organization</w:t>
            </w:r>
            <w:proofErr w:type="spellEnd"/>
            <w:r w:rsidRPr="519AA2E2">
              <w:t xml:space="preserve"> </w:t>
            </w:r>
            <w:proofErr w:type="spellStart"/>
            <w:r w:rsidRPr="002619A2">
              <w:t>for</w:t>
            </w:r>
            <w:proofErr w:type="spellEnd"/>
            <w:r w:rsidRPr="519AA2E2">
              <w:t xml:space="preserve"> </w:t>
            </w:r>
            <w:proofErr w:type="spellStart"/>
            <w:r w:rsidRPr="002619A2">
              <w:t>Economic</w:t>
            </w:r>
            <w:proofErr w:type="spellEnd"/>
            <w:r w:rsidRPr="519AA2E2">
              <w:t xml:space="preserve"> </w:t>
            </w:r>
            <w:proofErr w:type="spellStart"/>
            <w:r w:rsidRPr="002619A2">
              <w:t>Cooperation</w:t>
            </w:r>
            <w:proofErr w:type="spellEnd"/>
            <w:r w:rsidRPr="002619A2">
              <w:t xml:space="preserve"> and Development</w:t>
            </w:r>
            <w:r w:rsidRPr="519AA2E2">
              <w:t>)</w:t>
            </w:r>
          </w:p>
        </w:tc>
      </w:tr>
      <w:tr w:rsidR="007105EA" w:rsidRPr="002619A2" w14:paraId="7C01B34F"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6617DC20" w14:textId="77777777" w:rsidR="007105EA" w:rsidRPr="002619A2" w:rsidRDefault="007105EA" w:rsidP="00AA2805">
            <w:pPr>
              <w:pStyle w:val="Tabulka"/>
            </w:pPr>
            <w:r w:rsidRPr="002619A2">
              <w:t>OP</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3C64A459" w14:textId="77777777" w:rsidR="007105EA" w:rsidRPr="002619A2" w:rsidRDefault="007105EA" w:rsidP="006E3E51">
            <w:pPr>
              <w:pStyle w:val="Tabulka"/>
            </w:pPr>
            <w:r w:rsidRPr="002619A2">
              <w:t>Operační program</w:t>
            </w:r>
          </w:p>
        </w:tc>
      </w:tr>
      <w:tr w:rsidR="007105EA" w:rsidRPr="002619A2" w14:paraId="7DACD2B4"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6848DAC1" w14:textId="77777777" w:rsidR="007105EA" w:rsidRPr="002619A2" w:rsidRDefault="007105EA" w:rsidP="00AA2805">
            <w:pPr>
              <w:pStyle w:val="Tabulka"/>
            </w:pPr>
            <w:r w:rsidRPr="002619A2">
              <w:t>OPZ</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4DFCFE19" w14:textId="77777777" w:rsidR="007105EA" w:rsidRPr="002619A2" w:rsidRDefault="007105EA" w:rsidP="006E3E51">
            <w:pPr>
              <w:pStyle w:val="Tabulka"/>
            </w:pPr>
            <w:r w:rsidRPr="002619A2">
              <w:t>Operační program Zaměstnanost</w:t>
            </w:r>
          </w:p>
        </w:tc>
      </w:tr>
      <w:tr w:rsidR="007105EA" w:rsidRPr="002619A2" w14:paraId="0BA5C508"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6A1C4A7C" w14:textId="77777777" w:rsidR="007105EA" w:rsidRPr="002619A2" w:rsidRDefault="007105EA" w:rsidP="00AA2805">
            <w:pPr>
              <w:pStyle w:val="Tabulka"/>
            </w:pPr>
            <w:r w:rsidRPr="002619A2">
              <w:t>OZE</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5A626411" w14:textId="77777777" w:rsidR="007105EA" w:rsidRPr="002619A2" w:rsidRDefault="007105EA" w:rsidP="006E3E51">
            <w:pPr>
              <w:pStyle w:val="Tabulka"/>
            </w:pPr>
            <w:r w:rsidRPr="002619A2">
              <w:t>obnovitelné zdroje energie</w:t>
            </w:r>
          </w:p>
        </w:tc>
      </w:tr>
      <w:tr w:rsidR="007105EA" w:rsidRPr="002619A2" w14:paraId="6FDB0B7B"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71848A1D" w14:textId="77777777" w:rsidR="007105EA" w:rsidRPr="002619A2" w:rsidRDefault="007105EA" w:rsidP="00AA2805">
            <w:pPr>
              <w:pStyle w:val="Tabulka"/>
            </w:pPr>
            <w:proofErr w:type="spellStart"/>
            <w:r w:rsidRPr="002619A2">
              <w:t>p.b</w:t>
            </w:r>
            <w:proofErr w:type="spellEnd"/>
            <w:r w:rsidRPr="519AA2E2">
              <w:t>.</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04B35BF2" w14:textId="77777777" w:rsidR="007105EA" w:rsidRPr="002619A2" w:rsidRDefault="007105EA" w:rsidP="006E3E51">
            <w:pPr>
              <w:pStyle w:val="Tabulka"/>
            </w:pPr>
            <w:r w:rsidRPr="002619A2">
              <w:t>procentní bod</w:t>
            </w:r>
          </w:p>
        </w:tc>
      </w:tr>
      <w:tr w:rsidR="007105EA" w:rsidRPr="002619A2" w14:paraId="77298914"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41547335" w14:textId="77777777" w:rsidR="007105EA" w:rsidRPr="002619A2" w:rsidRDefault="007105EA" w:rsidP="00AA2805">
            <w:pPr>
              <w:pStyle w:val="Tabulka"/>
            </w:pPr>
            <w:r w:rsidRPr="002619A2">
              <w:t>PNO</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5FD4861A" w14:textId="77777777" w:rsidR="007105EA" w:rsidRPr="002619A2" w:rsidRDefault="007105EA" w:rsidP="006E3E51">
            <w:pPr>
              <w:pStyle w:val="Tabulka"/>
            </w:pPr>
            <w:r w:rsidRPr="002619A2">
              <w:t>Podíl nezaměstnaných osob</w:t>
            </w:r>
          </w:p>
        </w:tc>
      </w:tr>
      <w:tr w:rsidR="007105EA" w:rsidRPr="002619A2" w14:paraId="4E23811F"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0F7CCB37" w14:textId="77777777" w:rsidR="007105EA" w:rsidRPr="002619A2" w:rsidRDefault="007105EA" w:rsidP="00AA2805">
            <w:pPr>
              <w:pStyle w:val="Tabulka"/>
            </w:pPr>
            <w:r w:rsidRPr="002619A2">
              <w:t>PR</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418CB5B4" w14:textId="77777777" w:rsidR="007105EA" w:rsidRPr="002619A2" w:rsidRDefault="007105EA" w:rsidP="006E3E51">
            <w:pPr>
              <w:pStyle w:val="Tabulka"/>
            </w:pPr>
            <w:r w:rsidRPr="002619A2">
              <w:t xml:space="preserve">převážně venkovský region (zkratka z </w:t>
            </w:r>
            <w:proofErr w:type="spellStart"/>
            <w:r w:rsidRPr="002619A2">
              <w:t>predominantly</w:t>
            </w:r>
            <w:proofErr w:type="spellEnd"/>
            <w:r w:rsidRPr="519AA2E2">
              <w:t xml:space="preserve"> </w:t>
            </w:r>
            <w:proofErr w:type="spellStart"/>
            <w:r w:rsidRPr="002619A2">
              <w:t>rural</w:t>
            </w:r>
            <w:proofErr w:type="spellEnd"/>
            <w:r w:rsidRPr="002619A2">
              <w:t xml:space="preserve"> region)</w:t>
            </w:r>
          </w:p>
        </w:tc>
      </w:tr>
      <w:tr w:rsidR="007105EA" w:rsidRPr="002619A2" w14:paraId="504A550C"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431D6E15" w14:textId="77777777" w:rsidR="007105EA" w:rsidRPr="002619A2" w:rsidRDefault="007105EA" w:rsidP="00AA2805">
            <w:pPr>
              <w:pStyle w:val="Tabulka"/>
            </w:pPr>
            <w:r w:rsidRPr="002619A2">
              <w:t>PRV</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5B150414" w14:textId="77777777" w:rsidR="007105EA" w:rsidRPr="002619A2" w:rsidRDefault="007105EA" w:rsidP="006E3E51">
            <w:pPr>
              <w:pStyle w:val="Tabulka"/>
            </w:pPr>
            <w:r w:rsidRPr="002619A2">
              <w:t>Program rozvoje venkova</w:t>
            </w:r>
          </w:p>
        </w:tc>
      </w:tr>
      <w:tr w:rsidR="007105EA" w:rsidRPr="002619A2" w14:paraId="22B80A9F"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4EAD88C5" w14:textId="77777777" w:rsidR="007105EA" w:rsidRPr="002619A2" w:rsidRDefault="007105EA" w:rsidP="00AA2805">
            <w:pPr>
              <w:pStyle w:val="Tabulka"/>
            </w:pPr>
            <w:r w:rsidRPr="002619A2">
              <w:t>PU</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7264DE7B" w14:textId="77777777" w:rsidR="007105EA" w:rsidRPr="002619A2" w:rsidRDefault="007105EA" w:rsidP="006E3E51">
            <w:pPr>
              <w:pStyle w:val="Tabulka"/>
            </w:pPr>
            <w:r w:rsidRPr="002619A2">
              <w:t xml:space="preserve">převážně městský region (zkratka z </w:t>
            </w:r>
            <w:proofErr w:type="spellStart"/>
            <w:r w:rsidRPr="002619A2">
              <w:t>predominantly</w:t>
            </w:r>
            <w:proofErr w:type="spellEnd"/>
            <w:r w:rsidRPr="519AA2E2">
              <w:t xml:space="preserve"> </w:t>
            </w:r>
            <w:proofErr w:type="spellStart"/>
            <w:r w:rsidRPr="002619A2">
              <w:t>urban</w:t>
            </w:r>
            <w:proofErr w:type="spellEnd"/>
            <w:r w:rsidRPr="002619A2">
              <w:t xml:space="preserve"> region)</w:t>
            </w:r>
          </w:p>
        </w:tc>
      </w:tr>
      <w:tr w:rsidR="007105EA" w:rsidRPr="002619A2" w14:paraId="47E5E409"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097C4C02" w14:textId="77777777" w:rsidR="007105EA" w:rsidRPr="002619A2" w:rsidRDefault="007105EA" w:rsidP="00AA2805">
            <w:pPr>
              <w:pStyle w:val="Tabulka"/>
            </w:pPr>
            <w:r w:rsidRPr="002619A2">
              <w:t>ŘO</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007C9ED4" w14:textId="77777777" w:rsidR="007105EA" w:rsidRPr="002619A2" w:rsidRDefault="007105EA" w:rsidP="006E3E51">
            <w:pPr>
              <w:pStyle w:val="Tabulka"/>
            </w:pPr>
            <w:r w:rsidRPr="002619A2">
              <w:t>Řídící orgán</w:t>
            </w:r>
          </w:p>
        </w:tc>
      </w:tr>
      <w:tr w:rsidR="007105EA" w:rsidRPr="002619A2" w14:paraId="131DFF48"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596A0FE0" w14:textId="77777777" w:rsidR="007105EA" w:rsidRPr="002619A2" w:rsidRDefault="007105EA" w:rsidP="00AA2805">
            <w:pPr>
              <w:pStyle w:val="Tabulka"/>
            </w:pPr>
            <w:r w:rsidRPr="002619A2">
              <w:t>SCLLD</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54EFEB2D" w14:textId="77777777" w:rsidR="007105EA" w:rsidRPr="002619A2" w:rsidRDefault="007105EA" w:rsidP="006E3E51">
            <w:pPr>
              <w:pStyle w:val="Tabulka"/>
            </w:pPr>
            <w:r w:rsidRPr="002619A2">
              <w:t>Strategie komunitně vedeného místního rozvoje, rozvojový dokument MAS (</w:t>
            </w:r>
            <w:proofErr w:type="spellStart"/>
            <w:r w:rsidRPr="002619A2">
              <w:t>Community</w:t>
            </w:r>
            <w:proofErr w:type="spellEnd"/>
            <w:r w:rsidRPr="002619A2">
              <w:t xml:space="preserve">-Led </w:t>
            </w:r>
            <w:proofErr w:type="spellStart"/>
            <w:r w:rsidRPr="002619A2">
              <w:t>Local</w:t>
            </w:r>
            <w:proofErr w:type="spellEnd"/>
            <w:r w:rsidRPr="519AA2E2">
              <w:t xml:space="preserve"> </w:t>
            </w:r>
            <w:r w:rsidRPr="002619A2">
              <w:t>Development</w:t>
            </w:r>
            <w:r w:rsidRPr="519AA2E2">
              <w:t xml:space="preserve"> </w:t>
            </w:r>
            <w:proofErr w:type="spellStart"/>
            <w:r w:rsidRPr="002619A2">
              <w:t>Strategy</w:t>
            </w:r>
            <w:proofErr w:type="spellEnd"/>
            <w:r w:rsidRPr="519AA2E2">
              <w:t>)</w:t>
            </w:r>
          </w:p>
        </w:tc>
      </w:tr>
      <w:tr w:rsidR="007105EA" w:rsidRPr="002619A2" w14:paraId="7FA2656F"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00D73025" w14:textId="77777777" w:rsidR="007105EA" w:rsidRPr="002619A2" w:rsidRDefault="007105EA" w:rsidP="00AA2805">
            <w:pPr>
              <w:pStyle w:val="Tabulka"/>
            </w:pPr>
            <w:proofErr w:type="spellStart"/>
            <w:r w:rsidRPr="002619A2">
              <w:t>SDGs</w:t>
            </w:r>
            <w:proofErr w:type="spellEnd"/>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5A5EBDC0" w14:textId="77777777" w:rsidR="007105EA" w:rsidRPr="002619A2" w:rsidRDefault="007105EA" w:rsidP="006E3E51">
            <w:pPr>
              <w:pStyle w:val="Tabulka"/>
            </w:pPr>
            <w:r w:rsidRPr="002619A2">
              <w:t>Cíle udržitelného rozvoje (</w:t>
            </w:r>
            <w:proofErr w:type="spellStart"/>
            <w:r w:rsidRPr="002619A2">
              <w:t>Sustainable</w:t>
            </w:r>
            <w:proofErr w:type="spellEnd"/>
            <w:r w:rsidRPr="519AA2E2">
              <w:t xml:space="preserve"> </w:t>
            </w:r>
            <w:r w:rsidRPr="002619A2">
              <w:t>Development</w:t>
            </w:r>
            <w:r w:rsidRPr="519AA2E2">
              <w:t xml:space="preserve"> </w:t>
            </w:r>
            <w:proofErr w:type="spellStart"/>
            <w:r w:rsidRPr="002619A2">
              <w:t>Goals</w:t>
            </w:r>
            <w:proofErr w:type="spellEnd"/>
            <w:r w:rsidRPr="519AA2E2">
              <w:t>)</w:t>
            </w:r>
          </w:p>
        </w:tc>
      </w:tr>
      <w:tr w:rsidR="007105EA" w:rsidRPr="002619A2" w14:paraId="635D85E2"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141A5434" w14:textId="77777777" w:rsidR="007105EA" w:rsidRPr="002619A2" w:rsidRDefault="007105EA" w:rsidP="00AA2805">
            <w:pPr>
              <w:pStyle w:val="Tabulka"/>
            </w:pPr>
            <w:r w:rsidRPr="002619A2">
              <w:t>SLDB</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511D128D" w14:textId="77777777" w:rsidR="007105EA" w:rsidRPr="002619A2" w:rsidRDefault="007105EA" w:rsidP="006E3E51">
            <w:pPr>
              <w:pStyle w:val="Tabulka"/>
            </w:pPr>
            <w:r w:rsidRPr="002619A2">
              <w:t>Sčítání lidu, domů a bytů</w:t>
            </w:r>
          </w:p>
        </w:tc>
      </w:tr>
      <w:tr w:rsidR="007105EA" w:rsidRPr="002619A2" w14:paraId="676CC724"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15E62711" w14:textId="77777777" w:rsidR="007105EA" w:rsidRPr="002619A2" w:rsidRDefault="007105EA" w:rsidP="00AA2805">
            <w:pPr>
              <w:pStyle w:val="Tabulka"/>
            </w:pPr>
            <w:r w:rsidRPr="002619A2">
              <w:t>SMO</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3975633C" w14:textId="77777777" w:rsidR="007105EA" w:rsidRPr="002619A2" w:rsidRDefault="007105EA" w:rsidP="006E3E51">
            <w:pPr>
              <w:pStyle w:val="Tabulka"/>
            </w:pPr>
            <w:r w:rsidRPr="002619A2">
              <w:t>Svaz měst a obcí České republiky</w:t>
            </w:r>
          </w:p>
        </w:tc>
      </w:tr>
      <w:tr w:rsidR="007105EA" w:rsidRPr="002619A2" w14:paraId="07464883"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5320A1D2" w14:textId="77777777" w:rsidR="007105EA" w:rsidRPr="002619A2" w:rsidRDefault="007105EA" w:rsidP="00AA2805">
            <w:pPr>
              <w:pStyle w:val="Tabulka"/>
            </w:pPr>
            <w:r w:rsidRPr="002619A2">
              <w:t>SRR</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25ECC4CA" w14:textId="77777777" w:rsidR="007105EA" w:rsidRPr="002619A2" w:rsidRDefault="007105EA" w:rsidP="006E3E51">
            <w:pPr>
              <w:pStyle w:val="Tabulka"/>
            </w:pPr>
            <w:r w:rsidRPr="002619A2">
              <w:t>Strategie regionálního rozvoje</w:t>
            </w:r>
          </w:p>
        </w:tc>
      </w:tr>
      <w:tr w:rsidR="007105EA" w:rsidRPr="002619A2" w14:paraId="57EB96B7"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2E5875E0" w14:textId="77777777" w:rsidR="007105EA" w:rsidRPr="002619A2" w:rsidRDefault="007105EA" w:rsidP="00AA2805">
            <w:pPr>
              <w:pStyle w:val="Tabulka"/>
            </w:pPr>
            <w:r w:rsidRPr="002619A2">
              <w:t>SWOT</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12AED344" w14:textId="77777777" w:rsidR="007105EA" w:rsidRPr="002619A2" w:rsidRDefault="007105EA" w:rsidP="006E3E51">
            <w:pPr>
              <w:pStyle w:val="Tabulka"/>
            </w:pPr>
            <w:r w:rsidRPr="002619A2">
              <w:t>Analýza silných a slabých stránek, příležitostí a hrozeb (</w:t>
            </w:r>
            <w:proofErr w:type="spellStart"/>
            <w:r w:rsidRPr="002619A2">
              <w:t>Strenghts</w:t>
            </w:r>
            <w:proofErr w:type="spellEnd"/>
            <w:r w:rsidRPr="519AA2E2">
              <w:t xml:space="preserve">, </w:t>
            </w:r>
            <w:proofErr w:type="spellStart"/>
            <w:r w:rsidRPr="002619A2">
              <w:t>Weaknesses</w:t>
            </w:r>
            <w:proofErr w:type="spellEnd"/>
            <w:r w:rsidRPr="519AA2E2">
              <w:t xml:space="preserve">, </w:t>
            </w:r>
            <w:proofErr w:type="spellStart"/>
            <w:r w:rsidRPr="002619A2">
              <w:t>Opportunities</w:t>
            </w:r>
            <w:proofErr w:type="spellEnd"/>
            <w:r w:rsidRPr="519AA2E2">
              <w:t xml:space="preserve">, </w:t>
            </w:r>
            <w:proofErr w:type="spellStart"/>
            <w:r w:rsidRPr="002619A2">
              <w:t>Threats</w:t>
            </w:r>
            <w:proofErr w:type="spellEnd"/>
            <w:r w:rsidRPr="519AA2E2">
              <w:t>)</w:t>
            </w:r>
          </w:p>
        </w:tc>
      </w:tr>
      <w:tr w:rsidR="007105EA" w:rsidRPr="002619A2" w14:paraId="6D5522B9"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0401E178" w14:textId="77777777" w:rsidR="007105EA" w:rsidRPr="002619A2" w:rsidRDefault="007105EA" w:rsidP="00AA2805">
            <w:pPr>
              <w:pStyle w:val="Tabulka"/>
            </w:pPr>
            <w:r w:rsidRPr="002619A2">
              <w:t>SZP</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57337D27" w14:textId="77777777" w:rsidR="007105EA" w:rsidRPr="002619A2" w:rsidRDefault="007105EA" w:rsidP="006E3E51">
            <w:pPr>
              <w:pStyle w:val="Tabulka"/>
            </w:pPr>
            <w:r w:rsidRPr="002619A2">
              <w:t xml:space="preserve">Společná zemědělská politika </w:t>
            </w:r>
          </w:p>
        </w:tc>
      </w:tr>
      <w:tr w:rsidR="007105EA" w:rsidRPr="002619A2" w14:paraId="244D7779"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76220013" w14:textId="77777777" w:rsidR="007105EA" w:rsidRPr="002619A2" w:rsidRDefault="007105EA" w:rsidP="00AA2805">
            <w:pPr>
              <w:pStyle w:val="Tabulka"/>
            </w:pPr>
            <w:r w:rsidRPr="002619A2">
              <w:t>ÚZEI</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1169D643" w14:textId="77777777" w:rsidR="007105EA" w:rsidRPr="002619A2" w:rsidRDefault="007105EA" w:rsidP="006E3E51">
            <w:pPr>
              <w:pStyle w:val="Tabulka"/>
            </w:pPr>
            <w:r w:rsidRPr="002619A2">
              <w:t>Ústav zemědělské ekonomiky a informací</w:t>
            </w:r>
          </w:p>
        </w:tc>
      </w:tr>
      <w:tr w:rsidR="007105EA" w:rsidRPr="002619A2" w14:paraId="2E64C2EC"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4AED1A19" w14:textId="77777777" w:rsidR="007105EA" w:rsidRPr="002619A2" w:rsidRDefault="007105EA" w:rsidP="00AA2805">
            <w:pPr>
              <w:pStyle w:val="Tabulka"/>
            </w:pPr>
            <w:r w:rsidRPr="002619A2">
              <w:t>VPM</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050F1351" w14:textId="77777777" w:rsidR="007105EA" w:rsidRPr="002619A2" w:rsidRDefault="007105EA" w:rsidP="006E3E51">
            <w:pPr>
              <w:pStyle w:val="Tabulka"/>
            </w:pPr>
            <w:r w:rsidRPr="002619A2">
              <w:t>volné pracovní místo</w:t>
            </w:r>
          </w:p>
        </w:tc>
      </w:tr>
      <w:tr w:rsidR="007105EA" w:rsidRPr="002619A2" w14:paraId="28DF66B3"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6A96AFEC" w14:textId="77777777" w:rsidR="007105EA" w:rsidRPr="002619A2" w:rsidRDefault="007105EA" w:rsidP="00AA2805">
            <w:pPr>
              <w:pStyle w:val="Tabulka"/>
            </w:pPr>
            <w:r w:rsidRPr="002619A2">
              <w:t>VŠPS</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31E7E8EC" w14:textId="77777777" w:rsidR="007105EA" w:rsidRPr="002619A2" w:rsidRDefault="007105EA" w:rsidP="006E3E51">
            <w:pPr>
              <w:pStyle w:val="Tabulka"/>
            </w:pPr>
            <w:r w:rsidRPr="002619A2">
              <w:t>Výběrové šetření pracovních sil</w:t>
            </w:r>
          </w:p>
        </w:tc>
      </w:tr>
      <w:tr w:rsidR="007105EA" w:rsidRPr="002619A2" w14:paraId="01668E28" w14:textId="77777777" w:rsidTr="00841BEA">
        <w:trPr>
          <w:cantSplit/>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1D73A703" w14:textId="77777777" w:rsidR="007105EA" w:rsidRPr="002619A2" w:rsidRDefault="007105EA" w:rsidP="00AA2805">
            <w:pPr>
              <w:pStyle w:val="Tabulka"/>
            </w:pPr>
            <w:r w:rsidRPr="002619A2">
              <w:t>ZŠ</w:t>
            </w:r>
          </w:p>
        </w:tc>
        <w:tc>
          <w:tcPr>
            <w:tcW w:w="4266" w:type="pct"/>
            <w:tcBorders>
              <w:top w:val="single" w:sz="4" w:space="0" w:color="auto"/>
              <w:left w:val="single" w:sz="4" w:space="0" w:color="auto"/>
              <w:bottom w:val="single" w:sz="4" w:space="0" w:color="auto"/>
              <w:right w:val="single" w:sz="4" w:space="0" w:color="auto"/>
            </w:tcBorders>
            <w:shd w:val="clear" w:color="auto" w:fill="auto"/>
          </w:tcPr>
          <w:p w14:paraId="78DAEA97" w14:textId="77777777" w:rsidR="007105EA" w:rsidRPr="002619A2" w:rsidRDefault="007105EA" w:rsidP="006E3E51">
            <w:pPr>
              <w:pStyle w:val="Tabulka"/>
            </w:pPr>
            <w:r w:rsidRPr="002619A2">
              <w:t>základní škola</w:t>
            </w:r>
          </w:p>
        </w:tc>
      </w:tr>
    </w:tbl>
    <w:p w14:paraId="56684C34" w14:textId="77777777" w:rsidR="00E4113A" w:rsidRDefault="00E4113A" w:rsidP="00E4113A">
      <w:pPr>
        <w:jc w:val="center"/>
      </w:pPr>
    </w:p>
    <w:p w14:paraId="7A403F27" w14:textId="77777777" w:rsidR="00E4113A" w:rsidRDefault="00E4113A" w:rsidP="00E4113A">
      <w:pPr>
        <w:jc w:val="center"/>
      </w:pPr>
    </w:p>
    <w:p w14:paraId="0DC3C5CA" w14:textId="77777777" w:rsidR="008E06C7" w:rsidRDefault="008E06C7" w:rsidP="00E4113A">
      <w:pPr>
        <w:jc w:val="center"/>
      </w:pPr>
    </w:p>
    <w:sdt>
      <w:sdtPr>
        <w:rPr>
          <w:rFonts w:ascii="Times New Roman" w:eastAsia="Times New Roman" w:hAnsi="Times New Roman" w:cs="Times New Roman"/>
          <w:color w:val="auto"/>
          <w:sz w:val="24"/>
          <w:szCs w:val="23"/>
        </w:rPr>
        <w:id w:val="43194598"/>
        <w:docPartObj>
          <w:docPartGallery w:val="Table of Contents"/>
          <w:docPartUnique/>
        </w:docPartObj>
      </w:sdtPr>
      <w:sdtEndPr>
        <w:rPr>
          <w:b/>
          <w:bCs/>
        </w:rPr>
      </w:sdtEndPr>
      <w:sdtContent>
        <w:p w14:paraId="2A878B5C" w14:textId="77777777" w:rsidR="00C7633A" w:rsidRDefault="00C7633A">
          <w:pPr>
            <w:pStyle w:val="Nadpisobsahu"/>
            <w:rPr>
              <w:rStyle w:val="Nadpis1Char"/>
              <w:rFonts w:asciiTheme="majorEastAsia" w:eastAsiaTheme="majorEastAsia" w:hAnsiTheme="majorEastAsia" w:cstheme="majorEastAsia"/>
              <w:color w:val="000000" w:themeColor="text1"/>
            </w:rPr>
          </w:pPr>
          <w:r w:rsidRPr="007E6095">
            <w:rPr>
              <w:rStyle w:val="Nadpis1Char"/>
              <w:rFonts w:asciiTheme="majorEastAsia" w:eastAsiaTheme="majorEastAsia" w:hAnsiTheme="majorEastAsia" w:cstheme="majorEastAsia"/>
              <w:color w:val="000000" w:themeColor="text1"/>
            </w:rPr>
            <w:t>Obsah</w:t>
          </w:r>
        </w:p>
        <w:p w14:paraId="2CFA0C02" w14:textId="77777777" w:rsidR="008E06C7" w:rsidRPr="008E06C7" w:rsidRDefault="008E06C7" w:rsidP="008E06C7">
          <w:pPr>
            <w:spacing w:before="0" w:line="360" w:lineRule="auto"/>
            <w:rPr>
              <w:rFonts w:eastAsiaTheme="majorEastAsia"/>
              <w:lang w:val="x-none" w:eastAsia="x-none"/>
            </w:rPr>
          </w:pPr>
        </w:p>
        <w:p w14:paraId="0FAB7C6D" w14:textId="77777777" w:rsidR="00346853" w:rsidRDefault="00C7633A" w:rsidP="00346853">
          <w:pPr>
            <w:pStyle w:val="Obsah1"/>
            <w:rPr>
              <w:rFonts w:asciiTheme="minorHAnsi" w:eastAsiaTheme="minorEastAsia" w:hAnsiTheme="minorHAnsi" w:cstheme="minorBidi"/>
              <w:noProof/>
              <w:sz w:val="22"/>
              <w:szCs w:val="22"/>
            </w:rPr>
          </w:pPr>
          <w:r w:rsidRPr="008E06C7">
            <w:fldChar w:fldCharType="begin"/>
          </w:r>
          <w:r w:rsidRPr="008E06C7">
            <w:instrText xml:space="preserve"> TOC \o "1-3" \h \z \u </w:instrText>
          </w:r>
          <w:r w:rsidRPr="008E06C7">
            <w:fldChar w:fldCharType="separate"/>
          </w:r>
          <w:hyperlink w:anchor="_Toc525825197" w:history="1">
            <w:r w:rsidR="00346853" w:rsidRPr="00D71A07">
              <w:rPr>
                <w:rStyle w:val="Hypertextovodkaz"/>
                <w:noProof/>
              </w:rPr>
              <w:t>Seznam použitých zkratek</w:t>
            </w:r>
            <w:r w:rsidR="00346853">
              <w:rPr>
                <w:noProof/>
                <w:webHidden/>
              </w:rPr>
              <w:tab/>
            </w:r>
            <w:r w:rsidR="00346853">
              <w:rPr>
                <w:noProof/>
                <w:webHidden/>
              </w:rPr>
              <w:fldChar w:fldCharType="begin"/>
            </w:r>
            <w:r w:rsidR="00346853">
              <w:rPr>
                <w:noProof/>
                <w:webHidden/>
              </w:rPr>
              <w:instrText xml:space="preserve"> PAGEREF _Toc525825197 \h </w:instrText>
            </w:r>
            <w:r w:rsidR="00346853">
              <w:rPr>
                <w:noProof/>
                <w:webHidden/>
              </w:rPr>
            </w:r>
            <w:r w:rsidR="00346853">
              <w:rPr>
                <w:noProof/>
                <w:webHidden/>
              </w:rPr>
              <w:fldChar w:fldCharType="separate"/>
            </w:r>
            <w:r w:rsidR="00346853">
              <w:rPr>
                <w:noProof/>
                <w:webHidden/>
              </w:rPr>
              <w:t>2</w:t>
            </w:r>
            <w:r w:rsidR="00346853">
              <w:rPr>
                <w:noProof/>
                <w:webHidden/>
              </w:rPr>
              <w:fldChar w:fldCharType="end"/>
            </w:r>
          </w:hyperlink>
        </w:p>
        <w:p w14:paraId="40D110F4" w14:textId="77777777" w:rsidR="00346853" w:rsidRDefault="00166272" w:rsidP="00346853">
          <w:pPr>
            <w:pStyle w:val="Obsah1"/>
            <w:rPr>
              <w:rFonts w:asciiTheme="minorHAnsi" w:eastAsiaTheme="minorEastAsia" w:hAnsiTheme="minorHAnsi" w:cstheme="minorBidi"/>
              <w:noProof/>
              <w:sz w:val="22"/>
              <w:szCs w:val="22"/>
            </w:rPr>
          </w:pPr>
          <w:hyperlink w:anchor="_Toc525825198" w:history="1">
            <w:r w:rsidR="00346853" w:rsidRPr="00D71A07">
              <w:rPr>
                <w:rStyle w:val="Hypertextovodkaz"/>
                <w:rFonts w:cs="Arial"/>
                <w:noProof/>
              </w:rPr>
              <w:t>1.</w:t>
            </w:r>
            <w:r w:rsidR="00346853">
              <w:rPr>
                <w:rStyle w:val="Hypertextovodkaz"/>
                <w:rFonts w:cs="Arial"/>
                <w:noProof/>
              </w:rPr>
              <w:t xml:space="preserve"> </w:t>
            </w:r>
            <w:r w:rsidR="00346853" w:rsidRPr="00D71A07">
              <w:rPr>
                <w:rStyle w:val="Hypertextovodkaz"/>
                <w:noProof/>
              </w:rPr>
              <w:t>Stanovení skutečného problému, na který má politika reagovat Co je skutečným problémem, na který má/by měla politika v rámci jednotlivých dílčích cílů reagovat?</w:t>
            </w:r>
            <w:r w:rsidR="00346853">
              <w:rPr>
                <w:noProof/>
                <w:webHidden/>
              </w:rPr>
              <w:tab/>
            </w:r>
            <w:r w:rsidR="00346853">
              <w:rPr>
                <w:noProof/>
                <w:webHidden/>
              </w:rPr>
              <w:fldChar w:fldCharType="begin"/>
            </w:r>
            <w:r w:rsidR="00346853">
              <w:rPr>
                <w:noProof/>
                <w:webHidden/>
              </w:rPr>
              <w:instrText xml:space="preserve"> PAGEREF _Toc525825198 \h </w:instrText>
            </w:r>
            <w:r w:rsidR="00346853">
              <w:rPr>
                <w:noProof/>
                <w:webHidden/>
              </w:rPr>
            </w:r>
            <w:r w:rsidR="00346853">
              <w:rPr>
                <w:noProof/>
                <w:webHidden/>
              </w:rPr>
              <w:fldChar w:fldCharType="separate"/>
            </w:r>
            <w:r w:rsidR="00346853">
              <w:rPr>
                <w:noProof/>
                <w:webHidden/>
              </w:rPr>
              <w:t>5</w:t>
            </w:r>
            <w:r w:rsidR="00346853">
              <w:rPr>
                <w:noProof/>
                <w:webHidden/>
              </w:rPr>
              <w:fldChar w:fldCharType="end"/>
            </w:r>
          </w:hyperlink>
        </w:p>
        <w:p w14:paraId="2F8432B0" w14:textId="77777777" w:rsidR="00346853" w:rsidRDefault="00166272" w:rsidP="00346853">
          <w:pPr>
            <w:pStyle w:val="Obsah1"/>
            <w:rPr>
              <w:rFonts w:asciiTheme="minorHAnsi" w:eastAsiaTheme="minorEastAsia" w:hAnsiTheme="minorHAnsi" w:cstheme="minorBidi"/>
              <w:noProof/>
              <w:sz w:val="22"/>
              <w:szCs w:val="22"/>
            </w:rPr>
          </w:pPr>
          <w:hyperlink w:anchor="_Toc525825199" w:history="1">
            <w:r w:rsidR="00346853" w:rsidRPr="00D71A07">
              <w:rPr>
                <w:rStyle w:val="Hypertextovodkaz"/>
                <w:rFonts w:cs="Arial"/>
                <w:noProof/>
              </w:rPr>
              <w:t>2.</w:t>
            </w:r>
            <w:r w:rsidR="00346853">
              <w:rPr>
                <w:rStyle w:val="Hypertextovodkaz"/>
                <w:rFonts w:cs="Arial"/>
                <w:noProof/>
              </w:rPr>
              <w:t xml:space="preserve"> </w:t>
            </w:r>
            <w:r w:rsidR="00346853" w:rsidRPr="00D71A07">
              <w:rPr>
                <w:rStyle w:val="Hypertextovodkaz"/>
                <w:noProof/>
              </w:rPr>
              <w:t>Mechanismus a příčiny problému</w:t>
            </w:r>
            <w:r w:rsidR="00346853">
              <w:rPr>
                <w:noProof/>
                <w:webHidden/>
              </w:rPr>
              <w:tab/>
            </w:r>
            <w:r w:rsidR="00346853">
              <w:rPr>
                <w:noProof/>
                <w:webHidden/>
              </w:rPr>
              <w:fldChar w:fldCharType="begin"/>
            </w:r>
            <w:r w:rsidR="00346853">
              <w:rPr>
                <w:noProof/>
                <w:webHidden/>
              </w:rPr>
              <w:instrText xml:space="preserve"> PAGEREF _Toc525825199 \h </w:instrText>
            </w:r>
            <w:r w:rsidR="00346853">
              <w:rPr>
                <w:noProof/>
                <w:webHidden/>
              </w:rPr>
            </w:r>
            <w:r w:rsidR="00346853">
              <w:rPr>
                <w:noProof/>
                <w:webHidden/>
              </w:rPr>
              <w:fldChar w:fldCharType="separate"/>
            </w:r>
            <w:r w:rsidR="00346853">
              <w:rPr>
                <w:noProof/>
                <w:webHidden/>
              </w:rPr>
              <w:t>6</w:t>
            </w:r>
            <w:r w:rsidR="00346853">
              <w:rPr>
                <w:noProof/>
                <w:webHidden/>
              </w:rPr>
              <w:fldChar w:fldCharType="end"/>
            </w:r>
          </w:hyperlink>
        </w:p>
        <w:p w14:paraId="7D995FCD" w14:textId="77777777" w:rsidR="00346853" w:rsidRDefault="00166272" w:rsidP="00346853">
          <w:pPr>
            <w:pStyle w:val="Obsah1"/>
            <w:rPr>
              <w:rFonts w:asciiTheme="minorHAnsi" w:eastAsiaTheme="minorEastAsia" w:hAnsiTheme="minorHAnsi" w:cstheme="minorBidi"/>
              <w:noProof/>
              <w:sz w:val="22"/>
              <w:szCs w:val="22"/>
            </w:rPr>
          </w:pPr>
          <w:hyperlink w:anchor="_Toc525825200" w:history="1">
            <w:r w:rsidR="00346853" w:rsidRPr="00D71A07">
              <w:rPr>
                <w:rStyle w:val="Hypertextovodkaz"/>
                <w:rFonts w:cs="Arial"/>
                <w:noProof/>
              </w:rPr>
              <w:t>3.</w:t>
            </w:r>
            <w:r w:rsidR="00346853">
              <w:rPr>
                <w:rStyle w:val="Hypertextovodkaz"/>
                <w:rFonts w:cs="Arial"/>
                <w:noProof/>
              </w:rPr>
              <w:t xml:space="preserve"> </w:t>
            </w:r>
            <w:r w:rsidR="00346853" w:rsidRPr="00D71A07">
              <w:rPr>
                <w:rStyle w:val="Hypertextovodkaz"/>
                <w:noProof/>
              </w:rPr>
              <w:t>Jaký je rozsah a vývojový trend a závažnost daného problému</w:t>
            </w:r>
            <w:r w:rsidR="00346853">
              <w:rPr>
                <w:noProof/>
                <w:webHidden/>
              </w:rPr>
              <w:tab/>
            </w:r>
            <w:r w:rsidR="00346853">
              <w:rPr>
                <w:noProof/>
                <w:webHidden/>
              </w:rPr>
              <w:fldChar w:fldCharType="begin"/>
            </w:r>
            <w:r w:rsidR="00346853">
              <w:rPr>
                <w:noProof/>
                <w:webHidden/>
              </w:rPr>
              <w:instrText xml:space="preserve"> PAGEREF _Toc525825200 \h </w:instrText>
            </w:r>
            <w:r w:rsidR="00346853">
              <w:rPr>
                <w:noProof/>
                <w:webHidden/>
              </w:rPr>
            </w:r>
            <w:r w:rsidR="00346853">
              <w:rPr>
                <w:noProof/>
                <w:webHidden/>
              </w:rPr>
              <w:fldChar w:fldCharType="separate"/>
            </w:r>
            <w:r w:rsidR="00346853">
              <w:rPr>
                <w:noProof/>
                <w:webHidden/>
              </w:rPr>
              <w:t>9</w:t>
            </w:r>
            <w:r w:rsidR="00346853">
              <w:rPr>
                <w:noProof/>
                <w:webHidden/>
              </w:rPr>
              <w:fldChar w:fldCharType="end"/>
            </w:r>
          </w:hyperlink>
        </w:p>
        <w:p w14:paraId="7FFD41D1" w14:textId="77777777" w:rsidR="00346853" w:rsidRDefault="00166272" w:rsidP="00346853">
          <w:pPr>
            <w:pStyle w:val="Obsah1"/>
            <w:rPr>
              <w:rFonts w:asciiTheme="minorHAnsi" w:eastAsiaTheme="minorEastAsia" w:hAnsiTheme="minorHAnsi" w:cstheme="minorBidi"/>
              <w:noProof/>
              <w:sz w:val="22"/>
              <w:szCs w:val="22"/>
            </w:rPr>
          </w:pPr>
          <w:hyperlink w:anchor="_Toc525825201" w:history="1">
            <w:r w:rsidR="00346853" w:rsidRPr="00D71A07">
              <w:rPr>
                <w:rStyle w:val="Hypertextovodkaz"/>
                <w:rFonts w:cs="Arial"/>
                <w:noProof/>
              </w:rPr>
              <w:t>4.</w:t>
            </w:r>
            <w:r w:rsidR="00346853">
              <w:rPr>
                <w:rStyle w:val="Hypertextovodkaz"/>
                <w:rFonts w:cs="Arial"/>
                <w:noProof/>
              </w:rPr>
              <w:t xml:space="preserve"> </w:t>
            </w:r>
            <w:r w:rsidR="00346853" w:rsidRPr="00D71A07">
              <w:rPr>
                <w:rStyle w:val="Hypertextovodkaz"/>
                <w:noProof/>
              </w:rPr>
              <w:t>SWOT analýza – jak si stojí jednotlivé důležité stránky sektoru vůči odpovídajícím cílům a jejich naplňování?</w:t>
            </w:r>
            <w:r w:rsidR="00346853">
              <w:rPr>
                <w:noProof/>
                <w:webHidden/>
              </w:rPr>
              <w:tab/>
            </w:r>
            <w:r w:rsidR="00346853">
              <w:rPr>
                <w:noProof/>
                <w:webHidden/>
              </w:rPr>
              <w:fldChar w:fldCharType="begin"/>
            </w:r>
            <w:r w:rsidR="00346853">
              <w:rPr>
                <w:noProof/>
                <w:webHidden/>
              </w:rPr>
              <w:instrText xml:space="preserve"> PAGEREF _Toc525825201 \h </w:instrText>
            </w:r>
            <w:r w:rsidR="00346853">
              <w:rPr>
                <w:noProof/>
                <w:webHidden/>
              </w:rPr>
            </w:r>
            <w:r w:rsidR="00346853">
              <w:rPr>
                <w:noProof/>
                <w:webHidden/>
              </w:rPr>
              <w:fldChar w:fldCharType="separate"/>
            </w:r>
            <w:r w:rsidR="00346853">
              <w:rPr>
                <w:noProof/>
                <w:webHidden/>
              </w:rPr>
              <w:t>12</w:t>
            </w:r>
            <w:r w:rsidR="00346853">
              <w:rPr>
                <w:noProof/>
                <w:webHidden/>
              </w:rPr>
              <w:fldChar w:fldCharType="end"/>
            </w:r>
          </w:hyperlink>
        </w:p>
        <w:p w14:paraId="31D2E2FE" w14:textId="77777777" w:rsidR="00346853" w:rsidRDefault="00166272" w:rsidP="00346853">
          <w:pPr>
            <w:pStyle w:val="Obsah1"/>
            <w:rPr>
              <w:rFonts w:asciiTheme="minorHAnsi" w:eastAsiaTheme="minorEastAsia" w:hAnsiTheme="minorHAnsi" w:cstheme="minorBidi"/>
              <w:noProof/>
              <w:sz w:val="22"/>
              <w:szCs w:val="22"/>
            </w:rPr>
          </w:pPr>
          <w:hyperlink w:anchor="_Toc525825202" w:history="1">
            <w:r w:rsidR="00346853" w:rsidRPr="00D71A07">
              <w:rPr>
                <w:rStyle w:val="Hypertextovodkaz"/>
                <w:rFonts w:cs="Arial"/>
                <w:noProof/>
              </w:rPr>
              <w:t>5.</w:t>
            </w:r>
            <w:r w:rsidR="00346853">
              <w:rPr>
                <w:rStyle w:val="Hypertextovodkaz"/>
                <w:rFonts w:cs="Arial"/>
                <w:noProof/>
              </w:rPr>
              <w:t xml:space="preserve"> </w:t>
            </w:r>
            <w:r w:rsidR="00346853" w:rsidRPr="00D71A07">
              <w:rPr>
                <w:rStyle w:val="Hypertextovodkaz"/>
                <w:noProof/>
              </w:rPr>
              <w:t>Stanovení potřeb a jejich zdůvodnění</w:t>
            </w:r>
            <w:r w:rsidR="00346853">
              <w:rPr>
                <w:noProof/>
                <w:webHidden/>
              </w:rPr>
              <w:tab/>
            </w:r>
            <w:r w:rsidR="00346853">
              <w:rPr>
                <w:noProof/>
                <w:webHidden/>
              </w:rPr>
              <w:fldChar w:fldCharType="begin"/>
            </w:r>
            <w:r w:rsidR="00346853">
              <w:rPr>
                <w:noProof/>
                <w:webHidden/>
              </w:rPr>
              <w:instrText xml:space="preserve"> PAGEREF _Toc525825202 \h </w:instrText>
            </w:r>
            <w:r w:rsidR="00346853">
              <w:rPr>
                <w:noProof/>
                <w:webHidden/>
              </w:rPr>
            </w:r>
            <w:r w:rsidR="00346853">
              <w:rPr>
                <w:noProof/>
                <w:webHidden/>
              </w:rPr>
              <w:fldChar w:fldCharType="separate"/>
            </w:r>
            <w:r w:rsidR="00346853">
              <w:rPr>
                <w:noProof/>
                <w:webHidden/>
              </w:rPr>
              <w:t>15</w:t>
            </w:r>
            <w:r w:rsidR="00346853">
              <w:rPr>
                <w:noProof/>
                <w:webHidden/>
              </w:rPr>
              <w:fldChar w:fldCharType="end"/>
            </w:r>
          </w:hyperlink>
        </w:p>
        <w:p w14:paraId="025AEBB1" w14:textId="77777777" w:rsidR="00346853" w:rsidRDefault="00166272" w:rsidP="00346853">
          <w:pPr>
            <w:pStyle w:val="Obsah1"/>
            <w:rPr>
              <w:rFonts w:asciiTheme="minorHAnsi" w:eastAsiaTheme="minorEastAsia" w:hAnsiTheme="minorHAnsi" w:cstheme="minorBidi"/>
              <w:noProof/>
              <w:sz w:val="22"/>
              <w:szCs w:val="22"/>
            </w:rPr>
          </w:pPr>
          <w:hyperlink w:anchor="_Toc525825203" w:history="1">
            <w:r w:rsidR="00346853" w:rsidRPr="00D71A07">
              <w:rPr>
                <w:rStyle w:val="Hypertextovodkaz"/>
                <w:rFonts w:cs="Arial"/>
                <w:noProof/>
              </w:rPr>
              <w:t>6.</w:t>
            </w:r>
            <w:r w:rsidR="00346853">
              <w:rPr>
                <w:rStyle w:val="Hypertextovodkaz"/>
                <w:rFonts w:cs="Arial"/>
                <w:noProof/>
              </w:rPr>
              <w:t xml:space="preserve"> </w:t>
            </w:r>
            <w:r w:rsidR="00346853" w:rsidRPr="00D71A07">
              <w:rPr>
                <w:rStyle w:val="Hypertextovodkaz"/>
                <w:noProof/>
              </w:rPr>
              <w:t>Reference</w:t>
            </w:r>
            <w:r w:rsidR="00346853">
              <w:rPr>
                <w:noProof/>
                <w:webHidden/>
              </w:rPr>
              <w:tab/>
            </w:r>
            <w:r w:rsidR="00346853">
              <w:rPr>
                <w:noProof/>
                <w:webHidden/>
              </w:rPr>
              <w:fldChar w:fldCharType="begin"/>
            </w:r>
            <w:r w:rsidR="00346853">
              <w:rPr>
                <w:noProof/>
                <w:webHidden/>
              </w:rPr>
              <w:instrText xml:space="preserve"> PAGEREF _Toc525825203 \h </w:instrText>
            </w:r>
            <w:r w:rsidR="00346853">
              <w:rPr>
                <w:noProof/>
                <w:webHidden/>
              </w:rPr>
            </w:r>
            <w:r w:rsidR="00346853">
              <w:rPr>
                <w:noProof/>
                <w:webHidden/>
              </w:rPr>
              <w:fldChar w:fldCharType="separate"/>
            </w:r>
            <w:r w:rsidR="00346853">
              <w:rPr>
                <w:noProof/>
                <w:webHidden/>
              </w:rPr>
              <w:t>19</w:t>
            </w:r>
            <w:r w:rsidR="00346853">
              <w:rPr>
                <w:noProof/>
                <w:webHidden/>
              </w:rPr>
              <w:fldChar w:fldCharType="end"/>
            </w:r>
          </w:hyperlink>
        </w:p>
        <w:p w14:paraId="7510885D" w14:textId="77777777" w:rsidR="00346853" w:rsidRDefault="00166272" w:rsidP="00346853">
          <w:pPr>
            <w:pStyle w:val="Obsah1"/>
            <w:rPr>
              <w:rFonts w:asciiTheme="minorHAnsi" w:eastAsiaTheme="minorEastAsia" w:hAnsiTheme="minorHAnsi" w:cstheme="minorBidi"/>
              <w:noProof/>
              <w:sz w:val="22"/>
              <w:szCs w:val="22"/>
            </w:rPr>
          </w:pPr>
          <w:hyperlink w:anchor="_Toc525825204" w:history="1">
            <w:r w:rsidR="00346853" w:rsidRPr="00D71A07">
              <w:rPr>
                <w:rStyle w:val="Hypertextovodkaz"/>
                <w:rFonts w:eastAsia="Arial" w:cs="Arial"/>
                <w:noProof/>
              </w:rPr>
              <w:t>7.</w:t>
            </w:r>
            <w:r w:rsidR="00346853">
              <w:rPr>
                <w:rStyle w:val="Hypertextovodkaz"/>
                <w:rFonts w:eastAsia="Arial" w:cs="Arial"/>
                <w:noProof/>
              </w:rPr>
              <w:t xml:space="preserve"> </w:t>
            </w:r>
            <w:r w:rsidR="00346853" w:rsidRPr="00D71A07">
              <w:rPr>
                <w:rStyle w:val="Hypertextovodkaz"/>
                <w:noProof/>
              </w:rPr>
              <w:t>Příloha – Analýza</w:t>
            </w:r>
            <w:r w:rsidR="00346853" w:rsidRPr="00D71A07">
              <w:rPr>
                <w:rStyle w:val="Hypertextovodkaz"/>
                <w:rFonts w:eastAsia="Arial" w:cs="Arial"/>
                <w:noProof/>
              </w:rPr>
              <w:t xml:space="preserve"> </w:t>
            </w:r>
            <w:r w:rsidR="00346853" w:rsidRPr="00D71A07">
              <w:rPr>
                <w:rStyle w:val="Hypertextovodkaz"/>
                <w:noProof/>
              </w:rPr>
              <w:t>situace podle tematických oblastí</w:t>
            </w:r>
            <w:r w:rsidR="00346853">
              <w:rPr>
                <w:noProof/>
                <w:webHidden/>
              </w:rPr>
              <w:tab/>
            </w:r>
            <w:r w:rsidR="00346853">
              <w:rPr>
                <w:noProof/>
                <w:webHidden/>
              </w:rPr>
              <w:fldChar w:fldCharType="begin"/>
            </w:r>
            <w:r w:rsidR="00346853">
              <w:rPr>
                <w:noProof/>
                <w:webHidden/>
              </w:rPr>
              <w:instrText xml:space="preserve"> PAGEREF _Toc525825204 \h </w:instrText>
            </w:r>
            <w:r w:rsidR="00346853">
              <w:rPr>
                <w:noProof/>
                <w:webHidden/>
              </w:rPr>
            </w:r>
            <w:r w:rsidR="00346853">
              <w:rPr>
                <w:noProof/>
                <w:webHidden/>
              </w:rPr>
              <w:fldChar w:fldCharType="separate"/>
            </w:r>
            <w:r w:rsidR="00346853">
              <w:rPr>
                <w:noProof/>
                <w:webHidden/>
              </w:rPr>
              <w:t>20</w:t>
            </w:r>
            <w:r w:rsidR="00346853">
              <w:rPr>
                <w:noProof/>
                <w:webHidden/>
              </w:rPr>
              <w:fldChar w:fldCharType="end"/>
            </w:r>
          </w:hyperlink>
        </w:p>
        <w:p w14:paraId="164C584B" w14:textId="77777777" w:rsidR="00346853" w:rsidRDefault="00346853" w:rsidP="00346853">
          <w:pPr>
            <w:pStyle w:val="Obsah1"/>
            <w:rPr>
              <w:rFonts w:asciiTheme="minorHAnsi" w:eastAsiaTheme="minorEastAsia" w:hAnsiTheme="minorHAnsi" w:cstheme="minorBidi"/>
              <w:noProof/>
              <w:sz w:val="22"/>
              <w:szCs w:val="22"/>
            </w:rPr>
          </w:pPr>
          <w:r w:rsidRPr="00346853">
            <w:rPr>
              <w:rStyle w:val="Hypertextovodkaz"/>
              <w:noProof/>
              <w:u w:val="none"/>
            </w:rPr>
            <w:t xml:space="preserve">     </w:t>
          </w:r>
          <w:hyperlink w:anchor="_Toc525825205" w:history="1">
            <w:r w:rsidRPr="00D71A07">
              <w:rPr>
                <w:rStyle w:val="Hypertextovodkaz"/>
                <w:noProof/>
              </w:rPr>
              <w:t>7.1</w:t>
            </w:r>
            <w:r>
              <w:rPr>
                <w:rStyle w:val="Hypertextovodkaz"/>
                <w:noProof/>
              </w:rPr>
              <w:t xml:space="preserve"> </w:t>
            </w:r>
            <w:r w:rsidRPr="00D71A07">
              <w:rPr>
                <w:rStyle w:val="Hypertextovodkaz"/>
                <w:noProof/>
              </w:rPr>
              <w:t>Úvod</w:t>
            </w:r>
            <w:r>
              <w:rPr>
                <w:noProof/>
                <w:webHidden/>
              </w:rPr>
              <w:tab/>
            </w:r>
            <w:r>
              <w:rPr>
                <w:noProof/>
                <w:webHidden/>
              </w:rPr>
              <w:fldChar w:fldCharType="begin"/>
            </w:r>
            <w:r>
              <w:rPr>
                <w:noProof/>
                <w:webHidden/>
              </w:rPr>
              <w:instrText xml:space="preserve"> PAGEREF _Toc525825205 \h </w:instrText>
            </w:r>
            <w:r>
              <w:rPr>
                <w:noProof/>
                <w:webHidden/>
              </w:rPr>
            </w:r>
            <w:r>
              <w:rPr>
                <w:noProof/>
                <w:webHidden/>
              </w:rPr>
              <w:fldChar w:fldCharType="separate"/>
            </w:r>
            <w:r>
              <w:rPr>
                <w:noProof/>
                <w:webHidden/>
              </w:rPr>
              <w:t>21</w:t>
            </w:r>
            <w:r>
              <w:rPr>
                <w:noProof/>
                <w:webHidden/>
              </w:rPr>
              <w:fldChar w:fldCharType="end"/>
            </w:r>
          </w:hyperlink>
        </w:p>
        <w:p w14:paraId="09E3ED12" w14:textId="77777777" w:rsidR="00346853" w:rsidRDefault="00346853" w:rsidP="00346853">
          <w:pPr>
            <w:pStyle w:val="Obsah1"/>
            <w:rPr>
              <w:rFonts w:asciiTheme="minorHAnsi" w:eastAsiaTheme="minorEastAsia" w:hAnsiTheme="minorHAnsi" w:cstheme="minorBidi"/>
              <w:noProof/>
              <w:sz w:val="22"/>
              <w:szCs w:val="22"/>
            </w:rPr>
          </w:pPr>
          <w:r w:rsidRPr="00346853">
            <w:rPr>
              <w:rStyle w:val="Hypertextovodkaz"/>
              <w:noProof/>
              <w:u w:val="none"/>
            </w:rPr>
            <w:t xml:space="preserve">     </w:t>
          </w:r>
          <w:hyperlink w:anchor="_Toc525825206" w:history="1">
            <w:r w:rsidRPr="00D71A07">
              <w:rPr>
                <w:rStyle w:val="Hypertextovodkaz"/>
                <w:noProof/>
              </w:rPr>
              <w:t>7.2</w:t>
            </w:r>
            <w:r>
              <w:rPr>
                <w:rStyle w:val="Hypertextovodkaz"/>
                <w:noProof/>
              </w:rPr>
              <w:t xml:space="preserve"> </w:t>
            </w:r>
            <w:r w:rsidRPr="00D71A07">
              <w:rPr>
                <w:rStyle w:val="Hypertextovodkaz"/>
                <w:noProof/>
              </w:rPr>
              <w:t>Obyvatelstvo</w:t>
            </w:r>
            <w:r>
              <w:rPr>
                <w:noProof/>
                <w:webHidden/>
              </w:rPr>
              <w:tab/>
            </w:r>
            <w:r>
              <w:rPr>
                <w:noProof/>
                <w:webHidden/>
              </w:rPr>
              <w:fldChar w:fldCharType="begin"/>
            </w:r>
            <w:r>
              <w:rPr>
                <w:noProof/>
                <w:webHidden/>
              </w:rPr>
              <w:instrText xml:space="preserve"> PAGEREF _Toc525825206 \h </w:instrText>
            </w:r>
            <w:r>
              <w:rPr>
                <w:noProof/>
                <w:webHidden/>
              </w:rPr>
            </w:r>
            <w:r>
              <w:rPr>
                <w:noProof/>
                <w:webHidden/>
              </w:rPr>
              <w:fldChar w:fldCharType="separate"/>
            </w:r>
            <w:r>
              <w:rPr>
                <w:noProof/>
                <w:webHidden/>
              </w:rPr>
              <w:t>22</w:t>
            </w:r>
            <w:r>
              <w:rPr>
                <w:noProof/>
                <w:webHidden/>
              </w:rPr>
              <w:fldChar w:fldCharType="end"/>
            </w:r>
          </w:hyperlink>
        </w:p>
        <w:p w14:paraId="080A8B62" w14:textId="77777777" w:rsidR="00346853" w:rsidRDefault="00346853" w:rsidP="00346853">
          <w:pPr>
            <w:pStyle w:val="Obsah1"/>
            <w:rPr>
              <w:rFonts w:asciiTheme="minorHAnsi" w:eastAsiaTheme="minorEastAsia" w:hAnsiTheme="minorHAnsi" w:cstheme="minorBidi"/>
              <w:noProof/>
              <w:sz w:val="22"/>
              <w:szCs w:val="22"/>
            </w:rPr>
          </w:pPr>
          <w:r w:rsidRPr="00346853">
            <w:rPr>
              <w:rStyle w:val="Hypertextovodkaz"/>
              <w:noProof/>
              <w:u w:val="none"/>
            </w:rPr>
            <w:t xml:space="preserve">     </w:t>
          </w:r>
          <w:hyperlink w:anchor="_Toc525825207" w:history="1">
            <w:r w:rsidRPr="00D71A07">
              <w:rPr>
                <w:rStyle w:val="Hypertextovodkaz"/>
                <w:noProof/>
              </w:rPr>
              <w:t>7.3</w:t>
            </w:r>
            <w:r>
              <w:rPr>
                <w:rStyle w:val="Hypertextovodkaz"/>
                <w:noProof/>
              </w:rPr>
              <w:t xml:space="preserve"> </w:t>
            </w:r>
            <w:r w:rsidRPr="00D71A07">
              <w:rPr>
                <w:rStyle w:val="Hypertextovodkaz"/>
                <w:noProof/>
              </w:rPr>
              <w:t>Ekonomika a podnikatelská struktura ve vztahu k venkovu</w:t>
            </w:r>
            <w:r>
              <w:rPr>
                <w:noProof/>
                <w:webHidden/>
              </w:rPr>
              <w:tab/>
            </w:r>
            <w:r>
              <w:rPr>
                <w:noProof/>
                <w:webHidden/>
              </w:rPr>
              <w:fldChar w:fldCharType="begin"/>
            </w:r>
            <w:r>
              <w:rPr>
                <w:noProof/>
                <w:webHidden/>
              </w:rPr>
              <w:instrText xml:space="preserve"> PAGEREF _Toc525825207 \h </w:instrText>
            </w:r>
            <w:r>
              <w:rPr>
                <w:noProof/>
                <w:webHidden/>
              </w:rPr>
            </w:r>
            <w:r>
              <w:rPr>
                <w:noProof/>
                <w:webHidden/>
              </w:rPr>
              <w:fldChar w:fldCharType="separate"/>
            </w:r>
            <w:r>
              <w:rPr>
                <w:noProof/>
                <w:webHidden/>
              </w:rPr>
              <w:t>29</w:t>
            </w:r>
            <w:r>
              <w:rPr>
                <w:noProof/>
                <w:webHidden/>
              </w:rPr>
              <w:fldChar w:fldCharType="end"/>
            </w:r>
          </w:hyperlink>
        </w:p>
        <w:p w14:paraId="1791D8CA" w14:textId="77777777" w:rsidR="00346853" w:rsidRDefault="00346853" w:rsidP="00346853">
          <w:pPr>
            <w:pStyle w:val="Obsah1"/>
            <w:rPr>
              <w:rFonts w:asciiTheme="minorHAnsi" w:eastAsiaTheme="minorEastAsia" w:hAnsiTheme="minorHAnsi" w:cstheme="minorBidi"/>
              <w:noProof/>
              <w:sz w:val="22"/>
              <w:szCs w:val="22"/>
            </w:rPr>
          </w:pPr>
          <w:r w:rsidRPr="00346853">
            <w:rPr>
              <w:rStyle w:val="Hypertextovodkaz"/>
              <w:noProof/>
              <w:u w:val="none"/>
            </w:rPr>
            <w:t xml:space="preserve">     </w:t>
          </w:r>
          <w:hyperlink w:anchor="_Toc525825208" w:history="1">
            <w:r w:rsidRPr="00D71A07">
              <w:rPr>
                <w:rStyle w:val="Hypertextovodkaz"/>
                <w:noProof/>
              </w:rPr>
              <w:t>7.4</w:t>
            </w:r>
            <w:r>
              <w:rPr>
                <w:rStyle w:val="Hypertextovodkaz"/>
                <w:noProof/>
              </w:rPr>
              <w:t xml:space="preserve"> </w:t>
            </w:r>
            <w:r w:rsidRPr="00D71A07">
              <w:rPr>
                <w:rStyle w:val="Hypertextovodkaz"/>
                <w:noProof/>
              </w:rPr>
              <w:t>Zaměstnanost a příjmové postavení venkovské populace, ohrožení chudobou</w:t>
            </w:r>
            <w:r>
              <w:rPr>
                <w:noProof/>
                <w:webHidden/>
              </w:rPr>
              <w:tab/>
            </w:r>
            <w:r>
              <w:rPr>
                <w:noProof/>
                <w:webHidden/>
              </w:rPr>
              <w:fldChar w:fldCharType="begin"/>
            </w:r>
            <w:r>
              <w:rPr>
                <w:noProof/>
                <w:webHidden/>
              </w:rPr>
              <w:instrText xml:space="preserve"> PAGEREF _Toc525825208 \h </w:instrText>
            </w:r>
            <w:r>
              <w:rPr>
                <w:noProof/>
                <w:webHidden/>
              </w:rPr>
            </w:r>
            <w:r>
              <w:rPr>
                <w:noProof/>
                <w:webHidden/>
              </w:rPr>
              <w:fldChar w:fldCharType="separate"/>
            </w:r>
            <w:r>
              <w:rPr>
                <w:noProof/>
                <w:webHidden/>
              </w:rPr>
              <w:t>42</w:t>
            </w:r>
            <w:r>
              <w:rPr>
                <w:noProof/>
                <w:webHidden/>
              </w:rPr>
              <w:fldChar w:fldCharType="end"/>
            </w:r>
          </w:hyperlink>
        </w:p>
        <w:p w14:paraId="51367AF9" w14:textId="77777777" w:rsidR="00346853" w:rsidRDefault="00346853" w:rsidP="00346853">
          <w:pPr>
            <w:pStyle w:val="Obsah1"/>
            <w:rPr>
              <w:rFonts w:asciiTheme="minorHAnsi" w:eastAsiaTheme="minorEastAsia" w:hAnsiTheme="minorHAnsi" w:cstheme="minorBidi"/>
              <w:noProof/>
              <w:sz w:val="22"/>
              <w:szCs w:val="22"/>
            </w:rPr>
          </w:pPr>
          <w:r w:rsidRPr="00346853">
            <w:rPr>
              <w:rStyle w:val="Hypertextovodkaz"/>
              <w:noProof/>
              <w:u w:val="none"/>
            </w:rPr>
            <w:t xml:space="preserve">     </w:t>
          </w:r>
          <w:hyperlink w:anchor="_Toc525825209" w:history="1">
            <w:r w:rsidRPr="00D71A07">
              <w:rPr>
                <w:rStyle w:val="Hypertextovodkaz"/>
                <w:noProof/>
              </w:rPr>
              <w:t>7.5</w:t>
            </w:r>
            <w:r>
              <w:rPr>
                <w:rStyle w:val="Hypertextovodkaz"/>
                <w:noProof/>
              </w:rPr>
              <w:t xml:space="preserve"> </w:t>
            </w:r>
            <w:r w:rsidRPr="00D71A07">
              <w:rPr>
                <w:rStyle w:val="Hypertextovodkaz"/>
                <w:noProof/>
              </w:rPr>
              <w:t>Vybavenost</w:t>
            </w:r>
            <w:r>
              <w:rPr>
                <w:noProof/>
                <w:webHidden/>
              </w:rPr>
              <w:tab/>
            </w:r>
            <w:r>
              <w:rPr>
                <w:noProof/>
                <w:webHidden/>
              </w:rPr>
              <w:fldChar w:fldCharType="begin"/>
            </w:r>
            <w:r>
              <w:rPr>
                <w:noProof/>
                <w:webHidden/>
              </w:rPr>
              <w:instrText xml:space="preserve"> PAGEREF _Toc525825209 \h </w:instrText>
            </w:r>
            <w:r>
              <w:rPr>
                <w:noProof/>
                <w:webHidden/>
              </w:rPr>
            </w:r>
            <w:r>
              <w:rPr>
                <w:noProof/>
                <w:webHidden/>
              </w:rPr>
              <w:fldChar w:fldCharType="separate"/>
            </w:r>
            <w:r>
              <w:rPr>
                <w:noProof/>
                <w:webHidden/>
              </w:rPr>
              <w:t>60</w:t>
            </w:r>
            <w:r>
              <w:rPr>
                <w:noProof/>
                <w:webHidden/>
              </w:rPr>
              <w:fldChar w:fldCharType="end"/>
            </w:r>
          </w:hyperlink>
        </w:p>
        <w:p w14:paraId="32188823" w14:textId="77777777" w:rsidR="00346853" w:rsidRDefault="00346853" w:rsidP="00346853">
          <w:pPr>
            <w:pStyle w:val="Obsah1"/>
            <w:rPr>
              <w:rFonts w:asciiTheme="minorHAnsi" w:eastAsiaTheme="minorEastAsia" w:hAnsiTheme="minorHAnsi" w:cstheme="minorBidi"/>
              <w:noProof/>
              <w:sz w:val="22"/>
              <w:szCs w:val="22"/>
            </w:rPr>
          </w:pPr>
          <w:r w:rsidRPr="00346853">
            <w:rPr>
              <w:rStyle w:val="Hypertextovodkaz"/>
              <w:noProof/>
              <w:u w:val="none"/>
            </w:rPr>
            <w:t xml:space="preserve">     </w:t>
          </w:r>
          <w:hyperlink w:anchor="_Toc525825210" w:history="1">
            <w:r w:rsidRPr="00D71A07">
              <w:rPr>
                <w:rStyle w:val="Hypertextovodkaz"/>
                <w:noProof/>
              </w:rPr>
              <w:t>7.6</w:t>
            </w:r>
            <w:r>
              <w:rPr>
                <w:rStyle w:val="Hypertextovodkaz"/>
                <w:noProof/>
              </w:rPr>
              <w:t xml:space="preserve"> </w:t>
            </w:r>
            <w:r w:rsidRPr="00D71A07">
              <w:rPr>
                <w:rStyle w:val="Hypertextovodkaz"/>
                <w:noProof/>
              </w:rPr>
              <w:t>Reference</w:t>
            </w:r>
            <w:r>
              <w:rPr>
                <w:noProof/>
                <w:webHidden/>
              </w:rPr>
              <w:tab/>
            </w:r>
            <w:r>
              <w:rPr>
                <w:noProof/>
                <w:webHidden/>
              </w:rPr>
              <w:fldChar w:fldCharType="begin"/>
            </w:r>
            <w:r>
              <w:rPr>
                <w:noProof/>
                <w:webHidden/>
              </w:rPr>
              <w:instrText xml:space="preserve"> PAGEREF _Toc525825210 \h </w:instrText>
            </w:r>
            <w:r>
              <w:rPr>
                <w:noProof/>
                <w:webHidden/>
              </w:rPr>
            </w:r>
            <w:r>
              <w:rPr>
                <w:noProof/>
                <w:webHidden/>
              </w:rPr>
              <w:fldChar w:fldCharType="separate"/>
            </w:r>
            <w:r>
              <w:rPr>
                <w:noProof/>
                <w:webHidden/>
              </w:rPr>
              <w:t>68</w:t>
            </w:r>
            <w:r>
              <w:rPr>
                <w:noProof/>
                <w:webHidden/>
              </w:rPr>
              <w:fldChar w:fldCharType="end"/>
            </w:r>
          </w:hyperlink>
        </w:p>
        <w:p w14:paraId="722B6CD8" w14:textId="77777777" w:rsidR="00C7633A" w:rsidRDefault="00C7633A" w:rsidP="00346853">
          <w:pPr>
            <w:spacing w:before="0" w:line="360" w:lineRule="auto"/>
            <w:ind w:hanging="425"/>
          </w:pPr>
          <w:r w:rsidRPr="008E06C7">
            <w:rPr>
              <w:bCs/>
            </w:rPr>
            <w:fldChar w:fldCharType="end"/>
          </w:r>
        </w:p>
      </w:sdtContent>
    </w:sdt>
    <w:p w14:paraId="06FB9B46" w14:textId="77777777" w:rsidR="00C7633A" w:rsidRDefault="00C7633A">
      <w:pPr>
        <w:spacing w:before="0" w:after="160" w:line="259" w:lineRule="auto"/>
        <w:ind w:firstLine="0"/>
        <w:jc w:val="left"/>
        <w:rPr>
          <w:b/>
          <w:sz w:val="32"/>
        </w:rPr>
      </w:pPr>
      <w:r>
        <w:rPr>
          <w:b/>
          <w:sz w:val="32"/>
        </w:rPr>
        <w:br w:type="page"/>
      </w:r>
    </w:p>
    <w:p w14:paraId="7D808931" w14:textId="77777777" w:rsidR="00E4113A" w:rsidRDefault="00E4113A" w:rsidP="000426BF">
      <w:pPr>
        <w:pStyle w:val="Nadpis1"/>
        <w:numPr>
          <w:ilvl w:val="0"/>
          <w:numId w:val="2"/>
        </w:numPr>
        <w:ind w:left="357" w:hanging="357"/>
      </w:pPr>
      <w:bookmarkStart w:id="7" w:name="_Toc519518197"/>
      <w:bookmarkStart w:id="8" w:name="_Toc519518303"/>
      <w:bookmarkStart w:id="9" w:name="_Toc519581813"/>
      <w:bookmarkStart w:id="10" w:name="_Toc525823159"/>
      <w:bookmarkStart w:id="11" w:name="_Toc525825198"/>
      <w:r>
        <w:lastRenderedPageBreak/>
        <w:t>Stanovení skutečného problému, na který má politika reagovat Co je skutečným problémem, na který má/by měla politika v rámci jednotlivých dílčích cílů reagovat?</w:t>
      </w:r>
      <w:bookmarkEnd w:id="7"/>
      <w:bookmarkEnd w:id="8"/>
      <w:bookmarkEnd w:id="9"/>
      <w:bookmarkEnd w:id="10"/>
      <w:bookmarkEnd w:id="11"/>
      <w:r>
        <w:tab/>
      </w:r>
    </w:p>
    <w:p w14:paraId="471C28EB" w14:textId="77777777" w:rsidR="000A2A71" w:rsidRDefault="000A2A71" w:rsidP="000A2A71">
      <w:pPr>
        <w:ind w:left="425" w:hanging="425"/>
        <w:contextualSpacing/>
        <w:rPr>
          <w:b/>
        </w:rPr>
      </w:pPr>
    </w:p>
    <w:p w14:paraId="1E5A8CA0" w14:textId="77777777" w:rsidR="000A2A71" w:rsidRPr="008460F4" w:rsidRDefault="000A2A71" w:rsidP="56AE15A7">
      <w:pPr>
        <w:ind w:left="425" w:hanging="425"/>
        <w:contextualSpacing/>
        <w:rPr>
          <w:b/>
          <w:bCs/>
        </w:rPr>
      </w:pPr>
      <w:r w:rsidRPr="56AE15A7">
        <w:rPr>
          <w:b/>
          <w:bCs/>
        </w:rPr>
        <w:t xml:space="preserve">i) Nedostatek </w:t>
      </w:r>
      <w:r w:rsidR="004B694B">
        <w:rPr>
          <w:b/>
          <w:bCs/>
        </w:rPr>
        <w:t>pracovních míst</w:t>
      </w:r>
      <w:r w:rsidRPr="56AE15A7">
        <w:rPr>
          <w:b/>
          <w:bCs/>
        </w:rPr>
        <w:t xml:space="preserve"> </w:t>
      </w:r>
      <w:r w:rsidR="00577593" w:rsidRPr="56AE15A7">
        <w:rPr>
          <w:b/>
          <w:bCs/>
        </w:rPr>
        <w:t>a</w:t>
      </w:r>
      <w:r w:rsidR="004B694B">
        <w:rPr>
          <w:b/>
          <w:bCs/>
        </w:rPr>
        <w:t xml:space="preserve"> pracovních</w:t>
      </w:r>
      <w:r w:rsidR="00577593" w:rsidRPr="56AE15A7">
        <w:rPr>
          <w:b/>
          <w:bCs/>
        </w:rPr>
        <w:t xml:space="preserve"> příležitostí</w:t>
      </w:r>
      <w:r w:rsidRPr="56AE15A7">
        <w:rPr>
          <w:b/>
          <w:bCs/>
        </w:rPr>
        <w:t xml:space="preserve"> na venkově</w:t>
      </w:r>
    </w:p>
    <w:p w14:paraId="12D19405" w14:textId="77777777" w:rsidR="000A2A71" w:rsidRDefault="000A2A71" w:rsidP="000A2A71">
      <w:pPr>
        <w:ind w:left="425" w:hanging="425"/>
        <w:contextualSpacing/>
        <w:rPr>
          <w:b/>
        </w:rPr>
      </w:pPr>
    </w:p>
    <w:p w14:paraId="0D2838A5" w14:textId="77777777" w:rsidR="000A2A71" w:rsidRDefault="000A2A71" w:rsidP="009329FE">
      <w:pPr>
        <w:ind w:left="425" w:hanging="425"/>
        <w:contextualSpacing/>
        <w:rPr>
          <w:b/>
          <w:bCs/>
        </w:rPr>
      </w:pPr>
      <w:proofErr w:type="spellStart"/>
      <w:r w:rsidRPr="009329FE">
        <w:rPr>
          <w:b/>
          <w:bCs/>
        </w:rPr>
        <w:t>ii</w:t>
      </w:r>
      <w:proofErr w:type="spellEnd"/>
      <w:r w:rsidRPr="009329FE">
        <w:rPr>
          <w:b/>
          <w:bCs/>
        </w:rPr>
        <w:t xml:space="preserve">) </w:t>
      </w:r>
      <w:r w:rsidR="00B2535A">
        <w:rPr>
          <w:b/>
          <w:bCs/>
        </w:rPr>
        <w:t>N</w:t>
      </w:r>
      <w:r w:rsidR="00B2535A" w:rsidRPr="009329FE">
        <w:rPr>
          <w:b/>
          <w:bCs/>
        </w:rPr>
        <w:t xml:space="preserve">ízká </w:t>
      </w:r>
      <w:r w:rsidRPr="009329FE">
        <w:rPr>
          <w:b/>
          <w:bCs/>
        </w:rPr>
        <w:t>úroveň diverzifikace zemědělských podniků</w:t>
      </w:r>
    </w:p>
    <w:p w14:paraId="5B11C797" w14:textId="77777777" w:rsidR="000A2A71" w:rsidRDefault="000A2A71" w:rsidP="000A2A71">
      <w:pPr>
        <w:ind w:left="425" w:hanging="425"/>
        <w:contextualSpacing/>
        <w:rPr>
          <w:b/>
        </w:rPr>
      </w:pPr>
    </w:p>
    <w:p w14:paraId="5422C7CB" w14:textId="77777777" w:rsidR="000A2A71" w:rsidRPr="004B694B" w:rsidRDefault="000A2A71">
      <w:pPr>
        <w:ind w:left="425" w:hanging="425"/>
        <w:contextualSpacing/>
        <w:rPr>
          <w:b/>
          <w:bCs/>
        </w:rPr>
      </w:pPr>
      <w:proofErr w:type="spellStart"/>
      <w:r w:rsidRPr="00C150AD">
        <w:rPr>
          <w:b/>
          <w:bCs/>
        </w:rPr>
        <w:t>iii</w:t>
      </w:r>
      <w:proofErr w:type="spellEnd"/>
      <w:r w:rsidRPr="00C150AD">
        <w:rPr>
          <w:b/>
          <w:bCs/>
        </w:rPr>
        <w:t>) Nižší občanská a technická vybavenost venkova</w:t>
      </w:r>
    </w:p>
    <w:p w14:paraId="55578BB7" w14:textId="77777777" w:rsidR="000A2A71" w:rsidRDefault="000A2A71" w:rsidP="000A2A71">
      <w:pPr>
        <w:ind w:left="425" w:firstLine="1"/>
        <w:contextualSpacing/>
      </w:pPr>
      <w:r>
        <w:t>Dopravní infrastruktura – chybějící chodníky a horší stav místní</w:t>
      </w:r>
      <w:r w:rsidR="00DC1FE2">
        <w:t>ch a účelových</w:t>
      </w:r>
      <w:r w:rsidR="4E40B44F">
        <w:t xml:space="preserve"> </w:t>
      </w:r>
      <w:r w:rsidR="00DC1FE2">
        <w:t>komunikací, úsporné veřejné osvětlení</w:t>
      </w:r>
    </w:p>
    <w:p w14:paraId="1A97C493" w14:textId="77777777" w:rsidR="000A2A71" w:rsidRDefault="000A2A71" w:rsidP="000A2A71">
      <w:pPr>
        <w:ind w:left="425" w:firstLine="1"/>
        <w:contextualSpacing/>
      </w:pPr>
      <w:r>
        <w:t>Technická infrastruktura – chybějící ČOV</w:t>
      </w:r>
      <w:r w:rsidR="00577593">
        <w:t>,</w:t>
      </w:r>
      <w:r>
        <w:t xml:space="preserve"> veřejné kanalizace</w:t>
      </w:r>
    </w:p>
    <w:p w14:paraId="4B5CEDC1" w14:textId="77777777" w:rsidR="000A2A71" w:rsidRDefault="00850B91" w:rsidP="000A2A71">
      <w:pPr>
        <w:ind w:left="425" w:firstLine="1"/>
        <w:contextualSpacing/>
      </w:pPr>
      <w:r>
        <w:t xml:space="preserve">Horší </w:t>
      </w:r>
      <w:r w:rsidR="00CB08CD">
        <w:t>pokrytí</w:t>
      </w:r>
      <w:r w:rsidR="000A2A71">
        <w:t xml:space="preserve"> vysokorychlostní</w:t>
      </w:r>
      <w:r w:rsidR="00CB08CD">
        <w:t>m</w:t>
      </w:r>
      <w:r w:rsidR="000A2A71">
        <w:t xml:space="preserve"> </w:t>
      </w:r>
      <w:r w:rsidR="00CB08CD">
        <w:t>internetem</w:t>
      </w:r>
      <w:r>
        <w:t xml:space="preserve"> na venkově</w:t>
      </w:r>
    </w:p>
    <w:p w14:paraId="4719E15A" w14:textId="77777777" w:rsidR="000A2A71" w:rsidRDefault="56AE15A7" w:rsidP="000A2A71">
      <w:pPr>
        <w:ind w:left="425" w:firstLine="1"/>
        <w:contextualSpacing/>
      </w:pPr>
      <w:r>
        <w:t>Horší dopravní dostupnost malých obcí</w:t>
      </w:r>
    </w:p>
    <w:p w14:paraId="46E7042D" w14:textId="77777777" w:rsidR="000A2A71" w:rsidRDefault="000A2A71" w:rsidP="782BA009">
      <w:pPr>
        <w:ind w:left="425" w:firstLine="1"/>
        <w:contextualSpacing/>
      </w:pPr>
      <w:r>
        <w:t>Omezená vybavenost obcí obchodem</w:t>
      </w:r>
      <w:r w:rsidR="004A2A86">
        <w:t xml:space="preserve">, poštou, </w:t>
      </w:r>
      <w:r w:rsidR="00577593">
        <w:t xml:space="preserve">komunitním centrem, dále </w:t>
      </w:r>
      <w:r w:rsidR="004A2A86">
        <w:t>školskými, sociálními a zdravotními zařízeními</w:t>
      </w:r>
      <w:r>
        <w:t xml:space="preserve"> </w:t>
      </w:r>
    </w:p>
    <w:p w14:paraId="2797FAF4" w14:textId="77777777" w:rsidR="00DC1FE2" w:rsidRDefault="00DC1FE2" w:rsidP="782BA009">
      <w:pPr>
        <w:ind w:left="425" w:firstLine="1"/>
        <w:contextualSpacing/>
      </w:pPr>
      <w:r>
        <w:t>Veřejná prostranství, ozelenění obcí</w:t>
      </w:r>
    </w:p>
    <w:p w14:paraId="0C833CDC" w14:textId="77777777" w:rsidR="00A63986" w:rsidRDefault="00E90757" w:rsidP="000A2A71">
      <w:pPr>
        <w:ind w:left="425" w:firstLine="1"/>
        <w:contextualSpacing/>
      </w:pPr>
      <w:r>
        <w:t xml:space="preserve">Nevyvážená </w:t>
      </w:r>
      <w:r w:rsidR="00577593">
        <w:t xml:space="preserve">zájmová a spolková </w:t>
      </w:r>
      <w:r>
        <w:t>v</w:t>
      </w:r>
      <w:r w:rsidR="001F602E">
        <w:t>ybavenost</w:t>
      </w:r>
    </w:p>
    <w:p w14:paraId="21C26BB6" w14:textId="77777777" w:rsidR="000A2A71" w:rsidRDefault="00A63986" w:rsidP="000A2A71">
      <w:pPr>
        <w:ind w:left="425" w:firstLine="1"/>
        <w:contextualSpacing/>
      </w:pPr>
      <w:r>
        <w:t>Nevyužité opuštěné nemovitosti</w:t>
      </w:r>
      <w:r w:rsidR="000A2A71">
        <w:t xml:space="preserve"> </w:t>
      </w:r>
      <w:r>
        <w:t>(lokality typu brownfield)</w:t>
      </w:r>
    </w:p>
    <w:p w14:paraId="3AAAE9E7" w14:textId="77777777" w:rsidR="000A2A71" w:rsidRDefault="000A2A71" w:rsidP="000A2A71">
      <w:pPr>
        <w:ind w:left="425" w:hanging="425"/>
        <w:contextualSpacing/>
      </w:pPr>
    </w:p>
    <w:p w14:paraId="49DC1304" w14:textId="77777777" w:rsidR="000A2A71" w:rsidRPr="004B694B" w:rsidRDefault="000A2A71">
      <w:pPr>
        <w:ind w:left="425" w:hanging="425"/>
        <w:contextualSpacing/>
        <w:rPr>
          <w:b/>
          <w:bCs/>
        </w:rPr>
      </w:pPr>
      <w:proofErr w:type="spellStart"/>
      <w:r w:rsidRPr="00C150AD">
        <w:rPr>
          <w:b/>
          <w:bCs/>
        </w:rPr>
        <w:t>iv</w:t>
      </w:r>
      <w:proofErr w:type="spellEnd"/>
      <w:r w:rsidRPr="00C150AD">
        <w:rPr>
          <w:b/>
          <w:bCs/>
        </w:rPr>
        <w:t xml:space="preserve">) Výskyt chudoby </w:t>
      </w:r>
      <w:r w:rsidR="00E040A2">
        <w:rPr>
          <w:b/>
          <w:bCs/>
        </w:rPr>
        <w:t>a sociálního vyloučení</w:t>
      </w:r>
      <w:r w:rsidR="00E040A2" w:rsidRPr="00C150AD">
        <w:rPr>
          <w:b/>
          <w:bCs/>
        </w:rPr>
        <w:t xml:space="preserve"> </w:t>
      </w:r>
      <w:r w:rsidRPr="00C150AD">
        <w:rPr>
          <w:b/>
          <w:bCs/>
        </w:rPr>
        <w:t>ve venkovských lokalitách</w:t>
      </w:r>
    </w:p>
    <w:p w14:paraId="1AD260F7" w14:textId="77777777" w:rsidR="000A2A71" w:rsidRDefault="000A2A71" w:rsidP="000A2A71">
      <w:pPr>
        <w:pStyle w:val="Odstavecseseznamem"/>
        <w:ind w:left="426" w:firstLine="0"/>
      </w:pPr>
      <w:r>
        <w:t xml:space="preserve">Koncentrace </w:t>
      </w:r>
      <w:r w:rsidR="004A2A86">
        <w:t>ekonomicky či sociálně slabších</w:t>
      </w:r>
      <w:r w:rsidR="001031F4">
        <w:t>/znevýhodněných</w:t>
      </w:r>
      <w:r w:rsidR="004A2A86">
        <w:t xml:space="preserve"> </w:t>
      </w:r>
      <w:r>
        <w:t>obyvatel v určitých lokalitách</w:t>
      </w:r>
    </w:p>
    <w:p w14:paraId="13DE9569" w14:textId="77777777" w:rsidR="00E4113A" w:rsidRDefault="000A2A71" w:rsidP="000A2A71">
      <w:pPr>
        <w:ind w:left="426" w:firstLine="0"/>
        <w:contextualSpacing/>
      </w:pPr>
      <w:r>
        <w:t>Nerovnoměrné rozložení chudoby v rámci společnosti (větší ohrožení některých skupin)</w:t>
      </w:r>
    </w:p>
    <w:p w14:paraId="5D16A107" w14:textId="77777777" w:rsidR="008A6E9B" w:rsidRDefault="008A6E9B" w:rsidP="008A6E9B">
      <w:pPr>
        <w:ind w:left="426" w:firstLine="0"/>
        <w:contextualSpacing/>
      </w:pPr>
      <w:bookmarkStart w:id="12" w:name="_Hlk525645955"/>
      <w:r>
        <w:t>Chybějící nebo nízká úroveň sociálních služeb a jejich provázanost na venkově.</w:t>
      </w:r>
      <w:bookmarkEnd w:id="12"/>
    </w:p>
    <w:p w14:paraId="482C791C" w14:textId="77777777" w:rsidR="00E040A2" w:rsidRDefault="00E040A2" w:rsidP="000A2A71">
      <w:pPr>
        <w:ind w:left="426" w:firstLine="0"/>
        <w:contextualSpacing/>
      </w:pPr>
    </w:p>
    <w:p w14:paraId="6D2F12C4" w14:textId="77777777" w:rsidR="005E7E02" w:rsidRDefault="005E7E02">
      <w:pPr>
        <w:spacing w:before="0" w:after="160" w:line="259" w:lineRule="auto"/>
        <w:ind w:firstLine="0"/>
        <w:jc w:val="left"/>
        <w:rPr>
          <w:lang w:val="x-none" w:eastAsia="x-none"/>
        </w:rPr>
      </w:pPr>
      <w:r>
        <w:rPr>
          <w:lang w:val="x-none" w:eastAsia="x-none"/>
        </w:rPr>
        <w:br w:type="page"/>
      </w:r>
    </w:p>
    <w:p w14:paraId="41EFE31D" w14:textId="77777777" w:rsidR="00AB29CE" w:rsidRDefault="00E4113A" w:rsidP="00EA5AF2">
      <w:pPr>
        <w:pStyle w:val="Odstavecseseznamem"/>
        <w:numPr>
          <w:ilvl w:val="0"/>
          <w:numId w:val="2"/>
        </w:numPr>
        <w:spacing w:before="480"/>
        <w:ind w:left="426" w:hanging="357"/>
        <w:jc w:val="left"/>
      </w:pPr>
      <w:bookmarkStart w:id="13" w:name="_Toc519518198"/>
      <w:bookmarkStart w:id="14" w:name="_Toc519518304"/>
      <w:bookmarkStart w:id="15" w:name="_Toc519581814"/>
      <w:bookmarkStart w:id="16" w:name="_Toc525823160"/>
      <w:bookmarkStart w:id="17" w:name="_Toc525825199"/>
      <w:r w:rsidRPr="00E4113A">
        <w:rPr>
          <w:rStyle w:val="Nadpis1Char"/>
        </w:rPr>
        <w:lastRenderedPageBreak/>
        <w:t>Mechanismus a příčiny problému</w:t>
      </w:r>
      <w:bookmarkEnd w:id="13"/>
      <w:bookmarkEnd w:id="14"/>
      <w:bookmarkEnd w:id="15"/>
      <w:bookmarkEnd w:id="16"/>
      <w:bookmarkEnd w:id="17"/>
      <w:r>
        <w:t xml:space="preserve"> </w:t>
      </w:r>
    </w:p>
    <w:p w14:paraId="2AE89765" w14:textId="77777777" w:rsidR="003F393B" w:rsidRDefault="003F393B" w:rsidP="003F393B">
      <w:pPr>
        <w:ind w:firstLine="0"/>
        <w:contextualSpacing/>
        <w:rPr>
          <w:b/>
        </w:rPr>
      </w:pPr>
    </w:p>
    <w:p w14:paraId="3804B896" w14:textId="77777777" w:rsidR="000A2A71" w:rsidRPr="004B694B" w:rsidRDefault="000A2A71">
      <w:pPr>
        <w:ind w:firstLine="0"/>
        <w:contextualSpacing/>
        <w:rPr>
          <w:b/>
          <w:bCs/>
        </w:rPr>
      </w:pPr>
      <w:r w:rsidRPr="00C150AD">
        <w:rPr>
          <w:b/>
          <w:bCs/>
        </w:rPr>
        <w:t xml:space="preserve">i) Nedostatek pracovních míst </w:t>
      </w:r>
      <w:r w:rsidR="0049131E" w:rsidRPr="00C150AD">
        <w:rPr>
          <w:b/>
          <w:bCs/>
        </w:rPr>
        <w:t xml:space="preserve">a pracovních příležitostí </w:t>
      </w:r>
      <w:r w:rsidRPr="00C150AD">
        <w:rPr>
          <w:b/>
          <w:bCs/>
        </w:rPr>
        <w:t>na venkově</w:t>
      </w:r>
    </w:p>
    <w:p w14:paraId="282A237E" w14:textId="77777777" w:rsidR="000A2A71" w:rsidRPr="002E0EDB" w:rsidRDefault="000A2A71" w:rsidP="003F393B">
      <w:pPr>
        <w:ind w:firstLine="426"/>
        <w:contextualSpacing/>
      </w:pPr>
      <w:r w:rsidRPr="004979AA">
        <w:t>V </w:t>
      </w:r>
      <w:r>
        <w:t>o</w:t>
      </w:r>
      <w:r w:rsidRPr="004979AA">
        <w:t xml:space="preserve">blasti </w:t>
      </w:r>
      <w:r>
        <w:t>zaměstnanosti přetrvává na venkově jako hlavní problém nedostatek pracovních míst</w:t>
      </w:r>
      <w:r w:rsidRPr="002E0EDB">
        <w:t xml:space="preserve">, </w:t>
      </w:r>
      <w:r w:rsidR="00D971AA">
        <w:t xml:space="preserve">venkov není </w:t>
      </w:r>
      <w:r w:rsidRPr="002E0EDB">
        <w:t xml:space="preserve">v tvorbě pracovních míst </w:t>
      </w:r>
      <w:r w:rsidR="00D971AA" w:rsidRPr="002E0EDB">
        <w:t>soběstačn</w:t>
      </w:r>
      <w:r w:rsidR="00D971AA">
        <w:t>ý</w:t>
      </w:r>
      <w:r w:rsidR="00D971AA" w:rsidRPr="002E0EDB">
        <w:t xml:space="preserve"> </w:t>
      </w:r>
      <w:r w:rsidRPr="002E0EDB">
        <w:t xml:space="preserve">a </w:t>
      </w:r>
      <w:r w:rsidR="00D971AA" w:rsidRPr="002E0EDB">
        <w:t>je</w:t>
      </w:r>
      <w:r w:rsidR="00D971AA">
        <w:t>ho</w:t>
      </w:r>
      <w:r w:rsidR="00D971AA" w:rsidRPr="002E0EDB">
        <w:t xml:space="preserve"> </w:t>
      </w:r>
      <w:r w:rsidRPr="002E0EDB">
        <w:t xml:space="preserve">obyvatelé jsou do značné míry závislí na pracovních příležitostech ve městech. Podíl volných pracovních míst nabízených ve venkovských obcích je nižší než podíl venkovské populace na obyvatelstvu ČR celkem. </w:t>
      </w:r>
    </w:p>
    <w:p w14:paraId="73A059CF" w14:textId="77777777" w:rsidR="000A2A71" w:rsidRPr="002E0EDB" w:rsidRDefault="000A2A71" w:rsidP="003F393B">
      <w:pPr>
        <w:ind w:firstLine="426"/>
        <w:contextualSpacing/>
      </w:pPr>
      <w:r w:rsidRPr="002E0EDB">
        <w:t>Problém nelze omezit pouze na nejmenší a výrazně odlehlé obce nebo venkov ve strukturálně postižených regionech (tj. obecně venkovské obce s vyšší nezaměstnaností), je vnímán i představiteli obcí příměstských (omezená možnost dojíždění určitých skupin obyvatelstva, dopad na nabídku služeb pro občany apod.).</w:t>
      </w:r>
    </w:p>
    <w:p w14:paraId="69A24D83" w14:textId="77777777" w:rsidR="000A2A71" w:rsidRPr="002E0EDB" w:rsidRDefault="000A2A71" w:rsidP="003F393B">
      <w:pPr>
        <w:ind w:firstLine="426"/>
        <w:contextualSpacing/>
      </w:pPr>
      <w:r w:rsidRPr="002E0EDB">
        <w:t xml:space="preserve">Nižší nabídka pracovních míst na venkově přirozeně vychází z nižší koncentrace obyvatel ve venkovském prostoru a centralizace řady výrob a služeb ve městech. </w:t>
      </w:r>
    </w:p>
    <w:p w14:paraId="12848969" w14:textId="77777777" w:rsidR="000A2A71" w:rsidRPr="00346853" w:rsidRDefault="000A2A71" w:rsidP="00E87A90">
      <w:r w:rsidRPr="002E0EDB">
        <w:t>Agrární sektor coby dřívější významný poskytovatel pracovních příležitostí v současnosti zaměstnává pouze cca 5 % venkovského obyvatelstva. Jeho možnosti absorbovat venkovské pracovní síly byly v minulém období velkou měrou vyčerpány</w:t>
      </w:r>
      <w:r w:rsidR="001031F4" w:rsidRPr="002E0EDB">
        <w:t xml:space="preserve"> mimo jiné i vlivem </w:t>
      </w:r>
      <w:r w:rsidR="56AE15A7" w:rsidRPr="002E0EDB">
        <w:t xml:space="preserve">využívání výkonné mechanizace a </w:t>
      </w:r>
      <w:r w:rsidR="001031F4" w:rsidRPr="002E0EDB">
        <w:t>automatizace celé řady pracovních procesů</w:t>
      </w:r>
      <w:r w:rsidRPr="002E0EDB">
        <w:t xml:space="preserve">, v současnosti se otevírá prostor pro pracovní uplatnění venkovského obyvatelstva mj. v souvislosti s nutnou generační obměnou pracovníků v zemědělství (vysoké počty pracovníků </w:t>
      </w:r>
      <w:r w:rsidR="001031F4" w:rsidRPr="002E0EDB">
        <w:t xml:space="preserve">důchodového a </w:t>
      </w:r>
      <w:r w:rsidRPr="002E0EDB">
        <w:t xml:space="preserve">předdůchodového věku). Zaměstnanost a rozvoj podnikatelských aktivit v zemědělství lze přitom významně ovlivňovat nastavením nástrojů zemědělské politiky (podpora pěstování pracovně náročnějších plodin a živočišné výroby, podpora zahájení činnosti mladých zemědělských podnikatelů, diverzifikace zemědělských činností apod.). Potenciál tvorby nových pracovních míst má agrární </w:t>
      </w:r>
      <w:r w:rsidRPr="000370A8">
        <w:t>sektor zejména v malých obcích</w:t>
      </w:r>
      <w:r>
        <w:t>.</w:t>
      </w:r>
      <w:r w:rsidR="00E87A90">
        <w:t xml:space="preserve"> Mzdy v zemědělství dlouhodobě setrvávají pod úrovní mezd v průmyslu a NH, a to ve všech krajích ČR (Obrázky </w:t>
      </w:r>
      <w:r w:rsidR="00346853">
        <w:t>7.</w:t>
      </w:r>
      <w:r w:rsidR="00E87A90">
        <w:t>4.1</w:t>
      </w:r>
      <w:r w:rsidR="00346853">
        <w:t>0-7.</w:t>
      </w:r>
      <w:r w:rsidR="00E87A90">
        <w:t>4.1</w:t>
      </w:r>
      <w:r w:rsidR="00346853">
        <w:t>5</w:t>
      </w:r>
      <w:r w:rsidR="00E87A90">
        <w:t xml:space="preserve">). </w:t>
      </w:r>
    </w:p>
    <w:p w14:paraId="01984D6D" w14:textId="77777777" w:rsidR="000A2A71" w:rsidRPr="004B694B" w:rsidRDefault="000A2A71" w:rsidP="782BA009">
      <w:pPr>
        <w:ind w:firstLine="426"/>
        <w:contextualSpacing/>
        <w:rPr>
          <w:i/>
          <w:iCs/>
        </w:rPr>
      </w:pPr>
      <w:r>
        <w:t>Možnosti tvorby pracovních míst v </w:t>
      </w:r>
      <w:r w:rsidR="001031F4">
        <w:t xml:space="preserve">nezemědělských </w:t>
      </w:r>
      <w:r>
        <w:t>odvětvích, zejména ve službách, rostou</w:t>
      </w:r>
      <w:r w:rsidRPr="00E1034F">
        <w:t xml:space="preserve"> </w:t>
      </w:r>
      <w:r>
        <w:t xml:space="preserve">přímo úměrně s populační velikostí obce (dáno rozsahem lokální nabídky a poptávky), v nejmenších obcích jsou značně omezeny a limitovány </w:t>
      </w:r>
      <w:r w:rsidRPr="00B83686">
        <w:t xml:space="preserve">mj. vzdělanostní a </w:t>
      </w:r>
      <w:r w:rsidRPr="007511D8">
        <w:t>věkovou strukturou tamější populace</w:t>
      </w:r>
      <w:r w:rsidRPr="782BA009">
        <w:rPr>
          <w:i/>
          <w:iCs/>
        </w:rPr>
        <w:t>.</w:t>
      </w:r>
    </w:p>
    <w:p w14:paraId="4ADEFEA0" w14:textId="77777777" w:rsidR="006F6BA1" w:rsidRDefault="006F6BA1">
      <w:pPr>
        <w:spacing w:before="0" w:after="160" w:line="259" w:lineRule="auto"/>
        <w:ind w:firstLine="0"/>
        <w:jc w:val="left"/>
      </w:pPr>
      <w:r>
        <w:br w:type="page"/>
      </w:r>
    </w:p>
    <w:p w14:paraId="67DB2A86" w14:textId="77777777" w:rsidR="000A2A71" w:rsidRPr="004B694B" w:rsidRDefault="000A2A71">
      <w:pPr>
        <w:ind w:firstLine="0"/>
        <w:contextualSpacing/>
        <w:rPr>
          <w:b/>
          <w:bCs/>
        </w:rPr>
      </w:pPr>
      <w:proofErr w:type="spellStart"/>
      <w:r w:rsidRPr="00C150AD">
        <w:rPr>
          <w:b/>
          <w:bCs/>
        </w:rPr>
        <w:lastRenderedPageBreak/>
        <w:t>ii</w:t>
      </w:r>
      <w:proofErr w:type="spellEnd"/>
      <w:r w:rsidRPr="00C150AD">
        <w:rPr>
          <w:b/>
          <w:bCs/>
        </w:rPr>
        <w:t>) Relativně nízká úroveň diverzifikace zemědělských podniků</w:t>
      </w:r>
    </w:p>
    <w:p w14:paraId="5DFB3949" w14:textId="77777777" w:rsidR="000A2A71" w:rsidRPr="004B694B" w:rsidRDefault="000A2A71">
      <w:pPr>
        <w:ind w:firstLine="426"/>
        <w:contextualSpacing/>
        <w:rPr>
          <w:rFonts w:asciiTheme="minorEastAsia" w:eastAsiaTheme="minorEastAsia" w:hAnsiTheme="minorEastAsia" w:cstheme="minorEastAsia"/>
        </w:rPr>
      </w:pPr>
      <w:r w:rsidRPr="00EB51F5">
        <w:rPr>
          <w:rFonts w:asciiTheme="minorEastAsia" w:eastAsiaTheme="minorEastAsia" w:hAnsiTheme="minorEastAsia" w:cstheme="minorEastAsia"/>
        </w:rPr>
        <w:t xml:space="preserve">Diverzifikace byla podpořena v PRV 2007-2013 i v současném PRV 2014-2020. V ex post hodnocení minulého PRV 2007-2013 hodnotitelé považují opatření diverzifikace za efektivní a účinný nástroj, jak podpořit zaměstnanost, příjem a rozšíření aktivit zemědělských podniků ve venkovském prostoru. Obecný trend diverzifikovat je rostoucí, nicméně je stále ČR pod </w:t>
      </w:r>
      <w:r w:rsidR="005B79B8" w:rsidRPr="004B694B">
        <w:rPr>
          <w:rFonts w:asciiTheme="minorEastAsia" w:eastAsiaTheme="minorEastAsia" w:hAnsiTheme="minorEastAsia" w:cstheme="minorEastAsia"/>
        </w:rPr>
        <w:t xml:space="preserve">úrovní </w:t>
      </w:r>
      <w:r w:rsidRPr="004B694B">
        <w:rPr>
          <w:rFonts w:asciiTheme="minorEastAsia" w:eastAsiaTheme="minorEastAsia" w:hAnsiTheme="minorEastAsia" w:cstheme="minorEastAsia"/>
        </w:rPr>
        <w:t>průměru EU.</w:t>
      </w:r>
    </w:p>
    <w:p w14:paraId="09D180DC" w14:textId="77777777" w:rsidR="000A2A71" w:rsidRDefault="000A2A71">
      <w:pPr>
        <w:ind w:firstLine="426"/>
        <w:contextualSpacing/>
        <w:rPr>
          <w:rFonts w:asciiTheme="minorEastAsia" w:eastAsiaTheme="minorEastAsia" w:hAnsiTheme="minorEastAsia" w:cstheme="minorEastAsia"/>
        </w:rPr>
      </w:pPr>
      <w:r w:rsidRPr="004B694B">
        <w:rPr>
          <w:rFonts w:asciiTheme="minorEastAsia" w:eastAsiaTheme="minorEastAsia" w:hAnsiTheme="minorEastAsia" w:cstheme="minorEastAsia"/>
          <w:szCs w:val="24"/>
        </w:rPr>
        <w:t xml:space="preserve">Z průběžného hodnocení současného PRV vyplývá, že je postup implementace v oblasti diverzifikace pomalejší, žádosti podaly především malé a střední podniky. Dle zprávy z průběžného hodnocení PRV 2014-2020 by měl být kladen důraz na osvětu a zatraktivnění opatření. </w:t>
      </w:r>
    </w:p>
    <w:p w14:paraId="45493B82" w14:textId="77777777" w:rsidR="000A2A71" w:rsidRDefault="000A2A71" w:rsidP="003F393B">
      <w:pPr>
        <w:ind w:firstLine="426"/>
        <w:contextualSpacing/>
        <w:rPr>
          <w:rFonts w:asciiTheme="minorEastAsia" w:eastAsiaTheme="minorEastAsia" w:hAnsiTheme="minorEastAsia" w:cstheme="minorEastAsia"/>
        </w:rPr>
      </w:pPr>
      <w:r w:rsidRPr="004B694B">
        <w:rPr>
          <w:rFonts w:asciiTheme="minorEastAsia" w:eastAsiaTheme="minorEastAsia" w:hAnsiTheme="minorEastAsia" w:cstheme="minorEastAsia"/>
          <w:szCs w:val="24"/>
        </w:rPr>
        <w:t>Relativně nižší stupeň diverzifikace zemědělských podniků v ČR ve srovnání s jinými zeměmi EU také vyplývá z toho, že podniky mají zajištěny jiné zdroje stabilního příjmu (prodej zemědělské produkce, podpory ze SZP) a nejsou nuceny hledat další příležitosti, jak portfolio příjmů a zároveň svou činnost diverzifikovat.</w:t>
      </w:r>
    </w:p>
    <w:p w14:paraId="257CBDEC" w14:textId="77777777" w:rsidR="000A2A71" w:rsidRDefault="000A2A71" w:rsidP="003F393B">
      <w:pPr>
        <w:contextualSpacing/>
      </w:pPr>
    </w:p>
    <w:p w14:paraId="3D8EDC74" w14:textId="77777777" w:rsidR="000A2A71" w:rsidRPr="004B694B" w:rsidRDefault="000A2A71">
      <w:pPr>
        <w:ind w:firstLine="0"/>
        <w:contextualSpacing/>
        <w:rPr>
          <w:b/>
          <w:bCs/>
        </w:rPr>
      </w:pPr>
      <w:proofErr w:type="spellStart"/>
      <w:r w:rsidRPr="00C150AD">
        <w:rPr>
          <w:b/>
          <w:bCs/>
        </w:rPr>
        <w:t>iii</w:t>
      </w:r>
      <w:proofErr w:type="spellEnd"/>
      <w:r w:rsidRPr="00C150AD">
        <w:rPr>
          <w:b/>
          <w:bCs/>
        </w:rPr>
        <w:t>) Nižší občanská a technická vybavenost venkova</w:t>
      </w:r>
    </w:p>
    <w:p w14:paraId="2CAC2030" w14:textId="77777777" w:rsidR="000A2A71" w:rsidRDefault="000A2A71" w:rsidP="003F393B">
      <w:pPr>
        <w:ind w:firstLine="426"/>
        <w:contextualSpacing/>
      </w:pPr>
      <w:r>
        <w:t>V případě vybavenosti venkovských obcí jsou tyto příčiny společné pro všechny výše uvedené problémy:</w:t>
      </w:r>
    </w:p>
    <w:p w14:paraId="625BA74E" w14:textId="77777777" w:rsidR="000A2A71" w:rsidRDefault="56AE15A7" w:rsidP="00CC6BB3">
      <w:pPr>
        <w:pStyle w:val="Odstavecseseznamem"/>
        <w:numPr>
          <w:ilvl w:val="0"/>
          <w:numId w:val="6"/>
        </w:numPr>
        <w:spacing w:after="160"/>
      </w:pPr>
      <w:r>
        <w:t xml:space="preserve">Závislost na dotacích u malých obcí – </w:t>
      </w:r>
      <w:r w:rsidR="0083337E">
        <w:t>u nákladných projektů (např. výstavba ČOV, infrastruktury)</w:t>
      </w:r>
    </w:p>
    <w:p w14:paraId="712E3B51" w14:textId="77777777" w:rsidR="000A2A71" w:rsidRDefault="56AE15A7" w:rsidP="00CC6BB3">
      <w:pPr>
        <w:pStyle w:val="Odstavecseseznamem"/>
        <w:numPr>
          <w:ilvl w:val="0"/>
          <w:numId w:val="6"/>
        </w:numPr>
        <w:spacing w:after="160"/>
      </w:pPr>
      <w:r>
        <w:t>Nízké příjmy malých obcí (nedostatečná daňová výtěžnost malých obcí vzhledem k rozvojovým potřebám) – souvisí s klesajícím počtem obyvatel v obci, dalšími faktory jsou hustota zalidnění, věková struktura (školy – počet dětí v obci), u menších obcí jsou vyšší náklady na obyvatele (např. na budování sítí a infrastruktury), nejsou levnější a alternativní možnosti nebo není v silách starosty</w:t>
      </w:r>
      <w:r w:rsidR="0083337E">
        <w:t xml:space="preserve"> je hledat</w:t>
      </w:r>
      <w:r>
        <w:t xml:space="preserve"> (</w:t>
      </w:r>
      <w:r w:rsidR="0083337E">
        <w:t>např. z důvodů omezených časových možností neuvolněných starostů, především u menších obcí</w:t>
      </w:r>
      <w:r>
        <w:t>)</w:t>
      </w:r>
      <w:r w:rsidR="0083337E">
        <w:t>.</w:t>
      </w:r>
      <w:r>
        <w:t xml:space="preserve"> </w:t>
      </w:r>
    </w:p>
    <w:p w14:paraId="15A6866B" w14:textId="77777777" w:rsidR="000A2A71" w:rsidRDefault="000A2A71" w:rsidP="00CC6BB3">
      <w:pPr>
        <w:pStyle w:val="Odstavecseseznamem"/>
        <w:numPr>
          <w:ilvl w:val="0"/>
          <w:numId w:val="6"/>
        </w:numPr>
        <w:ind w:left="714" w:hanging="357"/>
      </w:pPr>
      <w:r>
        <w:t>Rozdrobenost malých obcí (specifikum ČR), vysoký podíl velmi malých obcí, obce s vyšším počtem obyvatel jsou územně oddělená venkovská sídla</w:t>
      </w:r>
    </w:p>
    <w:p w14:paraId="307F713E" w14:textId="77777777" w:rsidR="000A2A71" w:rsidRDefault="000A2A71" w:rsidP="007E6095"/>
    <w:p w14:paraId="24281E1C" w14:textId="77777777" w:rsidR="006B380F" w:rsidRDefault="000A2A71" w:rsidP="008A6E9B">
      <w:pPr>
        <w:ind w:firstLine="0"/>
        <w:contextualSpacing/>
      </w:pPr>
      <w:proofErr w:type="spellStart"/>
      <w:r w:rsidRPr="00C150AD">
        <w:rPr>
          <w:b/>
          <w:bCs/>
        </w:rPr>
        <w:t>iv</w:t>
      </w:r>
      <w:proofErr w:type="spellEnd"/>
      <w:r w:rsidRPr="00C150AD">
        <w:rPr>
          <w:b/>
          <w:bCs/>
        </w:rPr>
        <w:t>) Výskyt chudoby ve venkovských lokalitách</w:t>
      </w:r>
      <w:r w:rsidR="008A6E9B">
        <w:tab/>
      </w:r>
    </w:p>
    <w:p w14:paraId="3217CFB2" w14:textId="77777777" w:rsidR="008A6E9B" w:rsidRDefault="000A2A71" w:rsidP="008A6E9B">
      <w:pPr>
        <w:ind w:firstLine="0"/>
        <w:contextualSpacing/>
      </w:pPr>
      <w:r>
        <w:t xml:space="preserve">Problém chudoby souvisí zejména s celospolečenskou situací, jedná se o komplexní problém, který závisí na více faktorech. Příčiny těchto problémů </w:t>
      </w:r>
      <w:r w:rsidR="004D513D">
        <w:t>pravděpodobně leží</w:t>
      </w:r>
      <w:r w:rsidR="006E3E51">
        <w:t xml:space="preserve"> </w:t>
      </w:r>
      <w:r>
        <w:t>nejen v</w:t>
      </w:r>
      <w:r w:rsidR="006E3E51">
        <w:t> </w:t>
      </w:r>
      <w:r>
        <w:t>rovině</w:t>
      </w:r>
      <w:r w:rsidR="006E3E51">
        <w:t xml:space="preserve"> individuálních faktorů (rodinná situace, zdravotní stav, vzdělání),</w:t>
      </w:r>
      <w:r>
        <w:t xml:space="preserve"> skladby obyvatelstva v daném regionu, ale také v rovině </w:t>
      </w:r>
      <w:r w:rsidR="006E3E51">
        <w:t>strukturálních faktorů (</w:t>
      </w:r>
      <w:r>
        <w:t>zaměstnanosti, respektive nezaměstnanosti, struktury trhu práce</w:t>
      </w:r>
      <w:r w:rsidR="00AB4E19">
        <w:t>,</w:t>
      </w:r>
      <w:r>
        <w:t xml:space="preserve"> pracovního uplatnění a výše příjmů, dostupnosti a ceny bydlení</w:t>
      </w:r>
      <w:r w:rsidR="006E3E51">
        <w:t>)</w:t>
      </w:r>
      <w:r>
        <w:t xml:space="preserve">. Míra ohrožení příjmovou chudobou se liší podle typu domácnosti, nejvíce ohrožení jsou domácnosti s jedním dospělým a alespoň jedním závislým dítětem, jednotlivci z toho více </w:t>
      </w:r>
      <w:r>
        <w:lastRenderedPageBreak/>
        <w:t>ženy než muži a lidé nad 65 let. Skupiny, které mají nižší příjmy, jsou zároveň ohroženy zadlužením.</w:t>
      </w:r>
    </w:p>
    <w:p w14:paraId="5687A9FE" w14:textId="77777777" w:rsidR="008A6E9B" w:rsidRDefault="008A6E9B" w:rsidP="008A6E9B">
      <w:pPr>
        <w:ind w:firstLine="0"/>
        <w:contextualSpacing/>
      </w:pPr>
      <w:r>
        <w:tab/>
        <w:t xml:space="preserve">Z průzkumu potřeb v sociální oblasti ve venkovském prostředí (NS MAS ČR, 9/2018) vyplývá, že na venkově přetrvává nedostatek nabízených služeb pro některé skupiny obyvatel. Nedostatek volnočasových aktivit pro děti a mládež a sociálních služeb pro rodiny v nepříznivé sociální situaci. Pro seniory na venkově chybí nejen možnosti dalšího vzdělávání, ale také možnosti vykonávání zájmových činností a aktivit. Stejně tak je problémem i nedostačující kapacita v pobytových zařízeních a nízká podpora osob pečujících o seniory. Chybějí komunitní centra a místa pro společné setkávání obyvatel a sdílení informací. </w:t>
      </w:r>
      <w:r w:rsidR="004B0FA1">
        <w:t>NS MAS (2018) spatřuje problémy v</w:t>
      </w:r>
      <w:r w:rsidR="00CC06DD">
        <w:t> nepropojování informací, byrokracii, náročné administrativě při získávání grantů či v tom, že se zainteresované subjekty pravidelně nesetkávají.</w:t>
      </w:r>
    </w:p>
    <w:p w14:paraId="2D91564F" w14:textId="77777777" w:rsidR="008A6E9B" w:rsidRDefault="008A6E9B" w:rsidP="008A6E9B">
      <w:pPr>
        <w:pStyle w:val="Odstavecseseznamem"/>
        <w:ind w:left="851" w:firstLine="0"/>
      </w:pPr>
    </w:p>
    <w:p w14:paraId="3BA8D0CB" w14:textId="77777777" w:rsidR="005E7E02" w:rsidRDefault="005E7E02">
      <w:pPr>
        <w:spacing w:before="0" w:after="160" w:line="259" w:lineRule="auto"/>
        <w:ind w:firstLine="0"/>
        <w:jc w:val="left"/>
      </w:pPr>
      <w:r>
        <w:br w:type="page"/>
      </w:r>
    </w:p>
    <w:p w14:paraId="565EC925" w14:textId="77777777" w:rsidR="00F245B1" w:rsidRDefault="00197AD0" w:rsidP="00EA5AF2">
      <w:pPr>
        <w:pStyle w:val="Nadpis1"/>
        <w:numPr>
          <w:ilvl w:val="0"/>
          <w:numId w:val="2"/>
        </w:numPr>
        <w:ind w:left="426" w:hanging="357"/>
      </w:pPr>
      <w:bookmarkStart w:id="18" w:name="_Toc519518199"/>
      <w:bookmarkStart w:id="19" w:name="_Toc519518305"/>
      <w:bookmarkStart w:id="20" w:name="_Toc519581815"/>
      <w:bookmarkStart w:id="21" w:name="_Toc525823161"/>
      <w:bookmarkStart w:id="22" w:name="_Toc525825200"/>
      <w:r>
        <w:rPr>
          <w:lang w:val="cs-CZ"/>
        </w:rPr>
        <w:lastRenderedPageBreak/>
        <w:t xml:space="preserve">Jaký je rozsah a vývojový trend </w:t>
      </w:r>
      <w:r w:rsidR="008221C9">
        <w:rPr>
          <w:lang w:val="cs-CZ"/>
        </w:rPr>
        <w:t xml:space="preserve">a závažnost </w:t>
      </w:r>
      <w:r>
        <w:rPr>
          <w:lang w:val="cs-CZ"/>
        </w:rPr>
        <w:t>daného problému</w:t>
      </w:r>
      <w:bookmarkEnd w:id="18"/>
      <w:bookmarkEnd w:id="19"/>
      <w:bookmarkEnd w:id="20"/>
      <w:bookmarkEnd w:id="21"/>
      <w:bookmarkEnd w:id="22"/>
    </w:p>
    <w:p w14:paraId="0D5782A3" w14:textId="77777777" w:rsidR="00013338" w:rsidRDefault="00013338" w:rsidP="00013338">
      <w:pPr>
        <w:ind w:firstLine="0"/>
        <w:contextualSpacing/>
        <w:rPr>
          <w:b/>
        </w:rPr>
      </w:pPr>
    </w:p>
    <w:p w14:paraId="713B53CB" w14:textId="77777777" w:rsidR="0049131E" w:rsidRPr="004B694B" w:rsidRDefault="0049131E">
      <w:pPr>
        <w:ind w:firstLine="0"/>
        <w:contextualSpacing/>
        <w:rPr>
          <w:b/>
          <w:bCs/>
        </w:rPr>
      </w:pPr>
      <w:r w:rsidRPr="00C150AD">
        <w:rPr>
          <w:b/>
          <w:bCs/>
        </w:rPr>
        <w:t>i) Nedostatek pracovních míst a pracovních příležitostí na venkově</w:t>
      </w:r>
    </w:p>
    <w:p w14:paraId="0C0A95E0" w14:textId="77777777" w:rsidR="00013338" w:rsidRPr="00E87A90" w:rsidRDefault="00013338" w:rsidP="00E87A90">
      <w:pPr>
        <w:rPr>
          <w:sz w:val="22"/>
          <w:szCs w:val="22"/>
        </w:rPr>
      </w:pPr>
      <w:r w:rsidRPr="00196158">
        <w:t xml:space="preserve">V posledních letech docházelo k tvorbě nových pracovních míst ve městech i na venkově, nezaměstnanost vyjádřená PNO v posledních letech postupně klesala a venkovské obce jako celek již od roku 2014 vykazují nižší nezaměstnanost než </w:t>
      </w:r>
      <w:r w:rsidRPr="00E87A90">
        <w:rPr>
          <w:color w:val="000000" w:themeColor="text1"/>
        </w:rPr>
        <w:t>města (viz obr. 4.2). Ve</w:t>
      </w:r>
      <w:r w:rsidRPr="00196158">
        <w:t xml:space="preserve">dle celkově příznivého hospodářského vývoje v posledních letech mají na relativně nižší nezaměstnanost na venkově vliv i změny migračních proudů – trendem posledních let je stěhování obyvatel z větších center do přilehlých </w:t>
      </w:r>
      <w:proofErr w:type="spellStart"/>
      <w:r w:rsidRPr="00196158">
        <w:t>suburbií</w:t>
      </w:r>
      <w:proofErr w:type="spellEnd"/>
      <w:r w:rsidRPr="00196158">
        <w:t xml:space="preserve">, jež obecně vykazují nižší hodnoty nezaměstnanosti. V důsledku nižší nabídky volných pracovních míst na venkově jsou však celkově pro venkov příznačné vyšší hodnoty dosažitelných uchazečů na 1 volné pracovní místo a situace pro venkovské uchazeče o zaměstnání je tedy nadále ve srovnání s uchazeči z měst nepříznivější </w:t>
      </w:r>
      <w:r w:rsidRPr="00E87A90">
        <w:t>(viz obr</w:t>
      </w:r>
      <w:r w:rsidR="008E06C7" w:rsidRPr="00E87A90">
        <w:t>ázek</w:t>
      </w:r>
      <w:r w:rsidRPr="00E87A90">
        <w:t xml:space="preserve"> </w:t>
      </w:r>
      <w:r w:rsidR="00776DDB">
        <w:t>7.</w:t>
      </w:r>
      <w:r w:rsidRPr="00E87A90">
        <w:t>4.5). Přestože – paralelně se zlepšující situací na trhu práce celkem – se rozdíl proti městům snižuje, za velmi nepříznivou lze považovat situaci zejména v populačně malých obcích (do 199 obyvatel – viz obr</w:t>
      </w:r>
      <w:r w:rsidR="008E06C7" w:rsidRPr="00E87A90">
        <w:t>ázek</w:t>
      </w:r>
      <w:r w:rsidRPr="00E87A90">
        <w:t xml:space="preserve"> </w:t>
      </w:r>
      <w:r w:rsidR="00776DDB">
        <w:t>7.</w:t>
      </w:r>
      <w:r w:rsidRPr="00E87A90">
        <w:t>4.6).</w:t>
      </w:r>
      <w:r w:rsidR="00E87A90" w:rsidRPr="00E87A90">
        <w:t xml:space="preserve"> Mzdové ohodnocení pracovních míst v převážně venkovských regionech je nižší než v regionech převážně</w:t>
      </w:r>
      <w:r w:rsidR="00E87A90">
        <w:t xml:space="preserve"> městských (Obrázky </w:t>
      </w:r>
      <w:r w:rsidR="00776DDB">
        <w:t>7.</w:t>
      </w:r>
      <w:r w:rsidR="00E87A90">
        <w:t>4.9-</w:t>
      </w:r>
      <w:r w:rsidR="00776DDB">
        <w:t>7.</w:t>
      </w:r>
      <w:r w:rsidR="00E87A90">
        <w:t xml:space="preserve">4.10). </w:t>
      </w:r>
    </w:p>
    <w:p w14:paraId="0D24610F" w14:textId="77777777" w:rsidR="00013338" w:rsidRDefault="00013338" w:rsidP="00013338">
      <w:pPr>
        <w:ind w:firstLine="0"/>
        <w:contextualSpacing/>
        <w:rPr>
          <w:b/>
        </w:rPr>
      </w:pPr>
    </w:p>
    <w:p w14:paraId="47AC3625" w14:textId="77777777" w:rsidR="00013338" w:rsidRPr="004B694B" w:rsidRDefault="00013338">
      <w:pPr>
        <w:ind w:firstLine="0"/>
        <w:contextualSpacing/>
        <w:rPr>
          <w:b/>
          <w:bCs/>
        </w:rPr>
      </w:pPr>
      <w:proofErr w:type="spellStart"/>
      <w:r w:rsidRPr="00C150AD">
        <w:rPr>
          <w:b/>
          <w:bCs/>
        </w:rPr>
        <w:t>ii</w:t>
      </w:r>
      <w:proofErr w:type="spellEnd"/>
      <w:r w:rsidRPr="00C150AD">
        <w:rPr>
          <w:b/>
          <w:bCs/>
        </w:rPr>
        <w:t>) Relativně nízká úroveň diverzifikace zemědělských podniků</w:t>
      </w:r>
    </w:p>
    <w:p w14:paraId="34A5FE09" w14:textId="77777777" w:rsidR="00013338" w:rsidRPr="00B97FA6" w:rsidRDefault="00013338" w:rsidP="00013338">
      <w:pPr>
        <w:ind w:firstLine="426"/>
        <w:contextualSpacing/>
      </w:pPr>
      <w:r w:rsidRPr="00B97FA6">
        <w:t xml:space="preserve">V roce 2013 diverzifikovalo svou činnost průměrně 15,6 % zemědělských podniků v EU </w:t>
      </w:r>
      <w:r w:rsidRPr="00E87A90">
        <w:t>(</w:t>
      </w:r>
      <w:r w:rsidR="00E87A90" w:rsidRPr="00E87A90">
        <w:t xml:space="preserve">Obrázek </w:t>
      </w:r>
      <w:r w:rsidR="00776DDB">
        <w:t>7.</w:t>
      </w:r>
      <w:r w:rsidR="00E87A90" w:rsidRPr="00E87A90">
        <w:t>3.8</w:t>
      </w:r>
      <w:r w:rsidRPr="00E87A90">
        <w:t>). Situace</w:t>
      </w:r>
      <w:r w:rsidRPr="00B97FA6">
        <w:t xml:space="preserve"> je v</w:t>
      </w:r>
      <w:r w:rsidR="00151BE0" w:rsidRPr="00B97FA6">
        <w:t xml:space="preserve"> jednotlivých </w:t>
      </w:r>
      <w:r w:rsidRPr="00B97FA6">
        <w:t xml:space="preserve">členských státech </w:t>
      </w:r>
      <w:r w:rsidR="00151BE0" w:rsidRPr="00B97FA6">
        <w:t>velmi rozdílná</w:t>
      </w:r>
      <w:r w:rsidRPr="00B97FA6">
        <w:t xml:space="preserve">: v Portugalsku, Lotyšsku, Rumunsku, Polsku, </w:t>
      </w:r>
      <w:r w:rsidRPr="00B97FA6">
        <w:rPr>
          <w:color w:val="000000" w:themeColor="text1"/>
        </w:rPr>
        <w:t xml:space="preserve">Řecku, Španělsku, Bulharsku, Litvě, Kypru a na Maltě je tento podíl nižší než 5 %, v Dánsku dosahuje až 60,1 %, v Rakousku 51,7 %, ve Švédsku 37, 3 %, v Německu 33 % a Lucembursku 30,3 %. V České republice diverzifikovalo v roce 2016 </w:t>
      </w:r>
      <w:r w:rsidR="005A2B50" w:rsidRPr="00B97FA6">
        <w:rPr>
          <w:color w:val="000000" w:themeColor="text1"/>
        </w:rPr>
        <w:t>1</w:t>
      </w:r>
      <w:r w:rsidR="005A2B50">
        <w:rPr>
          <w:color w:val="000000" w:themeColor="text1"/>
        </w:rPr>
        <w:t>2</w:t>
      </w:r>
      <w:r w:rsidRPr="00B97FA6">
        <w:rPr>
          <w:color w:val="000000" w:themeColor="text1"/>
        </w:rPr>
        <w:t xml:space="preserve">,6 % podniků, což je o 3 % </w:t>
      </w:r>
      <w:r w:rsidR="00FC1BD8">
        <w:rPr>
          <w:color w:val="000000" w:themeColor="text1"/>
        </w:rPr>
        <w:t>méně</w:t>
      </w:r>
      <w:r w:rsidRPr="00B97FA6">
        <w:rPr>
          <w:color w:val="000000" w:themeColor="text1"/>
        </w:rPr>
        <w:t>, než je průměr EU (15,6 %).</w:t>
      </w:r>
      <w:r w:rsidRPr="00B97FA6">
        <w:rPr>
          <w:rFonts w:eastAsiaTheme="minorEastAsia"/>
          <w:color w:val="000000" w:themeColor="text1"/>
        </w:rPr>
        <w:t xml:space="preserve"> Podíl ostatní produkce na celkové zemědělské produkci, jakožto ukazateli stupně diverzifikace, se u podniků FADN meziročně mírně zvýšil na 12,6 % v roce 2016, výraznějším tempem roste úroveň u právnických osob (</w:t>
      </w:r>
      <w:r w:rsidRPr="00E87A90">
        <w:rPr>
          <w:color w:val="000000" w:themeColor="text1"/>
        </w:rPr>
        <w:t xml:space="preserve">Obrázek </w:t>
      </w:r>
      <w:r w:rsidR="00776DDB">
        <w:rPr>
          <w:color w:val="000000" w:themeColor="text1"/>
        </w:rPr>
        <w:t>7.</w:t>
      </w:r>
      <w:r w:rsidRPr="00E87A90">
        <w:rPr>
          <w:color w:val="000000" w:themeColor="text1"/>
        </w:rPr>
        <w:t>3.9</w:t>
      </w:r>
      <w:r w:rsidRPr="00E87A90">
        <w:rPr>
          <w:rFonts w:eastAsiaTheme="minorEastAsia"/>
          <w:color w:val="000000" w:themeColor="text1"/>
        </w:rPr>
        <w:t>).</w:t>
      </w:r>
      <w:r w:rsidRPr="00B97FA6">
        <w:rPr>
          <w:rFonts w:eastAsiaTheme="minorEastAsia"/>
          <w:color w:val="000000" w:themeColor="text1"/>
        </w:rPr>
        <w:t xml:space="preserve"> Hodnota ostatní produkce narostla v roce 2016 na 4634 Kč/ha, od r. 2014 o zhruba o 500 Kč/ha. Nejvýraznější podíl na ostatní produkci má prodej zemědělských služeb (zhruba 25 %), agroturistika zhruba 3 %, OZE zhruba 11 %. Rozdílnosti panují mezi jednotlivými kategoriemi podniku (podle velikosti, větší podniky provozující více OZE, menší podniky se zaměřením více na agroturistiku, ale i podle lokalizace podniku v méně příznivých oblastech pro hospodaření, </w:t>
      </w:r>
      <w:r w:rsidRPr="00AF156D">
        <w:rPr>
          <w:rFonts w:eastAsiaTheme="minorEastAsia"/>
          <w:color w:val="000000" w:themeColor="text1"/>
        </w:rPr>
        <w:t xml:space="preserve">viz. </w:t>
      </w:r>
      <w:r w:rsidRPr="00AF156D">
        <w:rPr>
          <w:color w:val="000000" w:themeColor="text1"/>
        </w:rPr>
        <w:t xml:space="preserve">Obrázky </w:t>
      </w:r>
      <w:r w:rsidR="00776DDB">
        <w:rPr>
          <w:color w:val="000000" w:themeColor="text1"/>
        </w:rPr>
        <w:t>7.</w:t>
      </w:r>
      <w:r w:rsidRPr="00AF156D">
        <w:rPr>
          <w:color w:val="000000" w:themeColor="text1"/>
        </w:rPr>
        <w:t>3.</w:t>
      </w:r>
      <w:r w:rsidR="00AF156D">
        <w:rPr>
          <w:color w:val="000000" w:themeColor="text1"/>
        </w:rPr>
        <w:t>10–</w:t>
      </w:r>
      <w:r w:rsidR="00776DDB">
        <w:rPr>
          <w:color w:val="000000" w:themeColor="text1"/>
        </w:rPr>
        <w:t>7.</w:t>
      </w:r>
      <w:r w:rsidR="00AF156D">
        <w:rPr>
          <w:color w:val="000000" w:themeColor="text1"/>
        </w:rPr>
        <w:t>3.15</w:t>
      </w:r>
      <w:r w:rsidRPr="00AF156D">
        <w:rPr>
          <w:rFonts w:eastAsiaTheme="minorEastAsia"/>
          <w:color w:val="000000" w:themeColor="text1"/>
        </w:rPr>
        <w:t>).</w:t>
      </w:r>
    </w:p>
    <w:p w14:paraId="5F0F7BE1" w14:textId="77777777" w:rsidR="00013338" w:rsidRDefault="00013338" w:rsidP="00013338">
      <w:pPr>
        <w:contextualSpacing/>
        <w:rPr>
          <w:b/>
        </w:rPr>
      </w:pPr>
    </w:p>
    <w:p w14:paraId="7010540E" w14:textId="77777777" w:rsidR="00013338" w:rsidRPr="004B694B" w:rsidRDefault="00013338">
      <w:pPr>
        <w:ind w:firstLine="0"/>
        <w:contextualSpacing/>
        <w:rPr>
          <w:b/>
          <w:bCs/>
        </w:rPr>
      </w:pPr>
      <w:proofErr w:type="spellStart"/>
      <w:r w:rsidRPr="00C150AD">
        <w:rPr>
          <w:b/>
          <w:bCs/>
        </w:rPr>
        <w:t>iii</w:t>
      </w:r>
      <w:proofErr w:type="spellEnd"/>
      <w:r w:rsidRPr="00C150AD">
        <w:rPr>
          <w:b/>
          <w:bCs/>
        </w:rPr>
        <w:t>) Nižší občanská a technická vybavenost venkova</w:t>
      </w:r>
    </w:p>
    <w:p w14:paraId="3D759DD0" w14:textId="77777777" w:rsidR="00013338" w:rsidRDefault="56AE15A7" w:rsidP="004B694B">
      <w:pPr>
        <w:contextualSpacing/>
      </w:pPr>
      <w:r>
        <w:t>U malých obcí je prakticky nereálné, aby splnily podmínky ekonomické efektivnosti pro získání dotace z národních zdrojů (pro technické a jiné vybavení obce).</w:t>
      </w:r>
      <w:r w:rsidR="536F3C03">
        <w:t xml:space="preserve"> </w:t>
      </w:r>
    </w:p>
    <w:p w14:paraId="643410CC" w14:textId="77777777" w:rsidR="536F3C03" w:rsidRDefault="536F3C03" w:rsidP="004B694B">
      <w:pPr>
        <w:ind w:firstLine="426"/>
      </w:pPr>
    </w:p>
    <w:p w14:paraId="3C7552F4" w14:textId="77777777" w:rsidR="00013338" w:rsidRDefault="00013338" w:rsidP="00013338">
      <w:pPr>
        <w:ind w:firstLine="426"/>
        <w:contextualSpacing/>
      </w:pPr>
      <w:r>
        <w:lastRenderedPageBreak/>
        <w:t>Problém chybějících chodníků a místních komunikací uvedlo jako palčivý nejvíce obcí a dalo mu nejvyšší stupeň důležitosti v analýze potřeb obcí a měst tvořené Svazem měst a obcí v roce 2018</w:t>
      </w:r>
      <w:r w:rsidR="00333B6D">
        <w:t>.</w:t>
      </w:r>
    </w:p>
    <w:p w14:paraId="7BFC233E" w14:textId="77777777" w:rsidR="00013338" w:rsidRDefault="00013338" w:rsidP="00013338">
      <w:pPr>
        <w:ind w:firstLine="426"/>
        <w:contextualSpacing/>
      </w:pPr>
      <w:r>
        <w:t>Problém s</w:t>
      </w:r>
      <w:r w:rsidR="00286262">
        <w:t> </w:t>
      </w:r>
      <w:r>
        <w:t xml:space="preserve">nakládáním </w:t>
      </w:r>
      <w:r w:rsidR="00286262">
        <w:t>s</w:t>
      </w:r>
      <w:r>
        <w:t xml:space="preserve"> </w:t>
      </w:r>
      <w:r w:rsidR="00286262">
        <w:t xml:space="preserve">odpady </w:t>
      </w:r>
      <w:r>
        <w:t xml:space="preserve">v malých obcích a připojení na kanalizaci, případně vybavenost obcí ČOV ohodnotily obce známkou 3,4, přičemž 5 je nejvyšší potřeba problém řešit (SMO, 2018). </w:t>
      </w:r>
      <w:r w:rsidR="00EB5B81" w:rsidRPr="00863F92">
        <w:t>Podíl odděleně sbíraných složek, jako je papír, sklo či plasty, činil v</w:t>
      </w:r>
      <w:r w:rsidR="00EB5B81">
        <w:t xml:space="preserve"> převážně venkovských oblastech v průměru 15,6 %, což je o 0,8 p. b. více, než v oblastech převážně městských a zároveň o 1 p. b. více, než je republikový průměr (14,6 %). </w:t>
      </w:r>
      <w:r w:rsidR="00106569">
        <w:t xml:space="preserve">Od roku 2009 dochází </w:t>
      </w:r>
      <w:r w:rsidR="00F15DED">
        <w:t xml:space="preserve">v ČR </w:t>
      </w:r>
      <w:r w:rsidR="00106569">
        <w:t>k postupnému mírnému poklesu podílu komunálních odpadů odstraněných skládkováním a to z 64 % v roce 2009 na 45 % v roce 2016.</w:t>
      </w:r>
      <w:r w:rsidR="0014651D">
        <w:rPr>
          <w:rStyle w:val="Znakapoznpodarou"/>
        </w:rPr>
        <w:footnoteReference w:id="2"/>
      </w:r>
      <w:r>
        <w:t xml:space="preserve"> </w:t>
      </w:r>
      <w:r w:rsidR="00F15DED">
        <w:t xml:space="preserve">K roku 2020 by měl tento podíl klesnout na 30 %. </w:t>
      </w:r>
      <w:r>
        <w:t>Chybějící kanalizace a veřejné vodovody jsou problémem u nejmenších obcí (do 500 obyv.)</w:t>
      </w:r>
      <w:r w:rsidR="00E1578A">
        <w:t>,</w:t>
      </w:r>
      <w:r w:rsidR="009C3A02">
        <w:t xml:space="preserve"> případně obcí, kde v posledních dekádách došlo k výraznému nárůstu počtu obyvatel, avšak infrastruktura je původní, tedy není odpovídající zaznamenanému nárůstu počtu obyvatel. </w:t>
      </w:r>
      <w:r>
        <w:t>Voda ze studní nemusí kvalitou odpovídat parametrům pitné vody, dotýká se jí problém sucha, v zemědělských oblastech se do vody dostávají pesticidy. V České republice je na kanalizaci napojeno 75 % obcí do 2 tis. obyv. Venkovských obcí vybavených kanalizací s napojením na ČOV je 48 %. Možnost připojení k veřejnému vodovodu mají domy v 87 % obcí s obyvateli do 2 tis. a na plyn je připojeno necelých 60 % těchto obcí.</w:t>
      </w:r>
    </w:p>
    <w:p w14:paraId="12E1021A" w14:textId="77777777" w:rsidR="00013338" w:rsidRDefault="00013338" w:rsidP="000C6EEA">
      <w:pPr>
        <w:ind w:firstLine="426"/>
        <w:contextualSpacing/>
      </w:pPr>
      <w:r>
        <w:t>Připojení k vysokorychlostnímu internetu je problémem v nejmenších obcích a na periferiích. Obce ho v analýze potřeb označily taktéž známkou 3,4 z 5 jako potřebu, která je potřeba řešit (SMO, 2018).</w:t>
      </w:r>
      <w:r w:rsidR="000C6EEA">
        <w:t xml:space="preserve"> </w:t>
      </w:r>
      <w:r w:rsidR="000C6EEA" w:rsidRPr="00E7049A">
        <w:t xml:space="preserve">V převážně venkovských a smíšených venkovských oblastech je nižší penetrace NGA přípojkami (umožňujících poskytovaní služeb vysokorychlostního internetu – o rychlosti 30 </w:t>
      </w:r>
      <w:proofErr w:type="spellStart"/>
      <w:r w:rsidR="000C6EEA" w:rsidRPr="00E7049A">
        <w:t>Mbit</w:t>
      </w:r>
      <w:proofErr w:type="spellEnd"/>
      <w:r w:rsidR="000C6EEA" w:rsidRPr="00E7049A">
        <w:t>/s a více) než v oblastech městských (cca 72 % v oblastech venkovských a smíšených; 79,1 % v oblastech městských</w:t>
      </w:r>
      <w:r w:rsidR="000C6EEA" w:rsidRPr="00AF156D">
        <w:t>), viz Obr. 5.</w:t>
      </w:r>
      <w:r w:rsidR="006B5167">
        <w:t>4</w:t>
      </w:r>
      <w:r w:rsidR="000C6EEA" w:rsidRPr="00AF156D">
        <w:t>. I v případě mobilních sítí jsou na tom venkovské a smíšené regiony hůře, než regiony městské (pokrytí LTE internetem všemi třemi operátory je v regionech venkovských a smíšených cca 94 %, zatímco v regionech městských až cca 99 % – viz Obr. 5.</w:t>
      </w:r>
      <w:r w:rsidR="006B5167">
        <w:t>3</w:t>
      </w:r>
      <w:r w:rsidR="000C6EEA" w:rsidRPr="00AF156D">
        <w:t>).</w:t>
      </w:r>
    </w:p>
    <w:p w14:paraId="5D1A6D98" w14:textId="77777777" w:rsidR="00013338" w:rsidRDefault="00013338" w:rsidP="00013338">
      <w:pPr>
        <w:ind w:firstLine="426"/>
        <w:contextualSpacing/>
      </w:pPr>
      <w:r>
        <w:t>Téměř polovina obcí do 3 tis. obyvatel není o víkendech obsluhována veřejnou dopravou. V Karlovarském a Jihočeském kraji</w:t>
      </w:r>
      <w:r w:rsidR="002D0E56">
        <w:t xml:space="preserve"> v některých lokalitách</w:t>
      </w:r>
      <w:r>
        <w:t xml:space="preserve"> </w:t>
      </w:r>
      <w:r w:rsidR="004C672D">
        <w:t>chybí</w:t>
      </w:r>
      <w:r>
        <w:t xml:space="preserve"> železnice </w:t>
      </w:r>
      <w:r w:rsidR="00D462CE">
        <w:t>(především hlavní tahy)</w:t>
      </w:r>
      <w:r>
        <w:t xml:space="preserve"> a neexistují silniční alternativy (MD ČR 2017 – SRR problémová analýza). Nejhůře s veřejnou dopravou je na tom Plzeňský kraj, Jihočeský kraj a kraj Vysočina. S nedostupností obce často souvisí další problémy týkající se chybějící vybavenosti obcí, kvůli ní dochází k omezování dopravy (není </w:t>
      </w:r>
      <w:r w:rsidR="0096380F">
        <w:t xml:space="preserve">důvod </w:t>
      </w:r>
      <w:r>
        <w:t xml:space="preserve">do těchto obcí jezdit), s tím souvisí rušení linek, snižování počtu spojů. </w:t>
      </w:r>
      <w:r w:rsidR="006534E6">
        <w:t>Řada obcí má potenciál v rozvoji cestovního ruchu, který je ovšem zpomalován špatnou dopravní dostupností, zejména pak o víkendech a státních svátcích.</w:t>
      </w:r>
    </w:p>
    <w:p w14:paraId="59EB4B5D" w14:textId="77777777" w:rsidR="00F30B9A" w:rsidRDefault="00A63986" w:rsidP="00013338">
      <w:pPr>
        <w:rPr>
          <w:spacing w:val="6"/>
          <w:szCs w:val="24"/>
        </w:rPr>
      </w:pPr>
      <w:r w:rsidRPr="0060489F">
        <w:rPr>
          <w:rStyle w:val="Hypertextovodkaz"/>
          <w:color w:val="auto"/>
          <w:szCs w:val="24"/>
          <w:u w:val="none"/>
        </w:rPr>
        <w:lastRenderedPageBreak/>
        <w:t>V roce 2007 podle vyhledávací studie pro lokalizace brownfields bylo identifikováno 2355 lokalit s plochou větší než 1 ha</w:t>
      </w:r>
      <w:r w:rsidR="00F30B9A" w:rsidRPr="0060489F">
        <w:rPr>
          <w:rStyle w:val="Hypertextovodkaz"/>
          <w:color w:val="auto"/>
          <w:szCs w:val="24"/>
          <w:u w:val="none"/>
        </w:rPr>
        <w:t>, z toho 34,9 % zemědělského původu</w:t>
      </w:r>
      <w:r w:rsidRPr="0060489F">
        <w:rPr>
          <w:rStyle w:val="Hypertextovodkaz"/>
          <w:color w:val="auto"/>
          <w:szCs w:val="24"/>
          <w:u w:val="none"/>
        </w:rPr>
        <w:t xml:space="preserve">. </w:t>
      </w:r>
      <w:r w:rsidRPr="0060489F">
        <w:rPr>
          <w:szCs w:val="24"/>
        </w:rPr>
        <w:t xml:space="preserve">Dle </w:t>
      </w:r>
      <w:r w:rsidR="001D11EF">
        <w:rPr>
          <w:szCs w:val="24"/>
        </w:rPr>
        <w:t xml:space="preserve">agentury </w:t>
      </w:r>
      <w:proofErr w:type="spellStart"/>
      <w:r w:rsidR="001D11EF">
        <w:rPr>
          <w:szCs w:val="24"/>
        </w:rPr>
        <w:t>CzechInvest</w:t>
      </w:r>
      <w:proofErr w:type="spellEnd"/>
      <w:r w:rsidR="001D11EF">
        <w:rPr>
          <w:szCs w:val="24"/>
        </w:rPr>
        <w:t xml:space="preserve"> (2007) ležela</w:t>
      </w:r>
      <w:r w:rsidRPr="001D11EF">
        <w:rPr>
          <w:szCs w:val="24"/>
        </w:rPr>
        <w:t xml:space="preserve"> téměř polovina (48,6 %) všech zaznamenaných lokal</w:t>
      </w:r>
      <w:r w:rsidR="001D11EF" w:rsidRPr="001D11EF">
        <w:rPr>
          <w:szCs w:val="24"/>
        </w:rPr>
        <w:t>it v obcích do 2 000 obyvatel</w:t>
      </w:r>
      <w:r w:rsidR="00F80863">
        <w:rPr>
          <w:szCs w:val="24"/>
        </w:rPr>
        <w:t xml:space="preserve"> (Skála a kol, 2012)</w:t>
      </w:r>
      <w:r w:rsidR="001D11EF" w:rsidRPr="001D11EF">
        <w:rPr>
          <w:szCs w:val="24"/>
        </w:rPr>
        <w:t>.</w:t>
      </w:r>
      <w:r w:rsidR="001D11EF" w:rsidRPr="001D11EF">
        <w:rPr>
          <w:rStyle w:val="Znakapoznpodarou"/>
          <w:szCs w:val="24"/>
        </w:rPr>
        <w:footnoteReference w:id="3"/>
      </w:r>
      <w:r w:rsidR="001D11EF" w:rsidRPr="001D11EF">
        <w:rPr>
          <w:szCs w:val="24"/>
        </w:rPr>
        <w:t xml:space="preserve"> </w:t>
      </w:r>
      <w:r w:rsidR="001D11EF" w:rsidRPr="001D11EF">
        <w:rPr>
          <w:spacing w:val="6"/>
          <w:szCs w:val="24"/>
        </w:rPr>
        <w:t xml:space="preserve">Národní databáze brownfieldů v současné době eviduje na 3 500 lokalit, z nichž </w:t>
      </w:r>
      <w:r w:rsidR="001D11EF">
        <w:rPr>
          <w:spacing w:val="6"/>
          <w:szCs w:val="24"/>
        </w:rPr>
        <w:t xml:space="preserve">je </w:t>
      </w:r>
      <w:r w:rsidR="001D11EF" w:rsidRPr="001D11EF">
        <w:rPr>
          <w:spacing w:val="6"/>
          <w:szCs w:val="24"/>
        </w:rPr>
        <w:t>více než 450 nabízeno investorům.</w:t>
      </w:r>
      <w:r w:rsidR="001D11EF" w:rsidRPr="001D11EF">
        <w:rPr>
          <w:rStyle w:val="Znakapoznpodarou"/>
          <w:spacing w:val="6"/>
          <w:szCs w:val="24"/>
        </w:rPr>
        <w:footnoteReference w:id="4"/>
      </w:r>
      <w:r w:rsidR="00F30B9A">
        <w:rPr>
          <w:spacing w:val="6"/>
          <w:szCs w:val="24"/>
        </w:rPr>
        <w:t xml:space="preserve"> V rámci inventarizační studie bylo identifikováno 1925 lokalit zemědělského původu s předpoklady velmi pravděp</w:t>
      </w:r>
      <w:r w:rsidR="00697295">
        <w:rPr>
          <w:spacing w:val="6"/>
          <w:szCs w:val="24"/>
        </w:rPr>
        <w:t>odobné existence brownfieldu (</w:t>
      </w:r>
      <w:r w:rsidR="0052707D">
        <w:rPr>
          <w:spacing w:val="6"/>
          <w:szCs w:val="24"/>
        </w:rPr>
        <w:t>VUMOP</w:t>
      </w:r>
      <w:r w:rsidR="00697295">
        <w:rPr>
          <w:spacing w:val="6"/>
          <w:szCs w:val="24"/>
        </w:rPr>
        <w:t>,</w:t>
      </w:r>
      <w:r w:rsidR="0052707D">
        <w:rPr>
          <w:spacing w:val="6"/>
          <w:szCs w:val="24"/>
        </w:rPr>
        <w:t xml:space="preserve"> </w:t>
      </w:r>
      <w:r w:rsidR="00697295">
        <w:rPr>
          <w:spacing w:val="6"/>
          <w:szCs w:val="24"/>
        </w:rPr>
        <w:t>2018</w:t>
      </w:r>
      <w:r w:rsidR="00F30B9A">
        <w:rPr>
          <w:spacing w:val="6"/>
          <w:szCs w:val="24"/>
        </w:rPr>
        <w:t>).</w:t>
      </w:r>
    </w:p>
    <w:p w14:paraId="32B7253F" w14:textId="77777777" w:rsidR="0060489F" w:rsidRDefault="0060489F" w:rsidP="00013338"/>
    <w:p w14:paraId="371CC265" w14:textId="77777777" w:rsidR="00013338" w:rsidRPr="004B694B" w:rsidRDefault="00013338">
      <w:pPr>
        <w:ind w:firstLine="0"/>
        <w:contextualSpacing/>
        <w:rPr>
          <w:b/>
          <w:bCs/>
        </w:rPr>
      </w:pPr>
      <w:proofErr w:type="spellStart"/>
      <w:r w:rsidRPr="00C150AD">
        <w:rPr>
          <w:b/>
          <w:bCs/>
        </w:rPr>
        <w:t>iv</w:t>
      </w:r>
      <w:proofErr w:type="spellEnd"/>
      <w:r w:rsidRPr="00C150AD">
        <w:rPr>
          <w:b/>
          <w:bCs/>
        </w:rPr>
        <w:t xml:space="preserve">) Výskyt chudoby </w:t>
      </w:r>
      <w:r w:rsidR="00E040A2">
        <w:rPr>
          <w:b/>
          <w:bCs/>
        </w:rPr>
        <w:t xml:space="preserve">a sociálního vyloučení </w:t>
      </w:r>
      <w:r w:rsidRPr="00C150AD">
        <w:rPr>
          <w:b/>
          <w:bCs/>
        </w:rPr>
        <w:t>ve venkovských lokalitách</w:t>
      </w:r>
    </w:p>
    <w:p w14:paraId="655A74BB" w14:textId="77777777" w:rsidR="004E296E" w:rsidRDefault="00013338" w:rsidP="004D513D">
      <w:pPr>
        <w:ind w:firstLine="425"/>
      </w:pPr>
      <w:r>
        <w:t xml:space="preserve">Podle souhrnných indikátorů podíl lidí ohrožených chudobou dlouhodobě klesá. Přesto je zde problém určitých oblastí, kde je mnohem více chudých nebo sociálně </w:t>
      </w:r>
      <w:r w:rsidR="003C3192">
        <w:t xml:space="preserve">vyloučených </w:t>
      </w:r>
      <w:r>
        <w:t>obyvatel než v jiných regionech. Analýza sociálně vyloučených lokalit z roku 2015</w:t>
      </w:r>
      <w:r>
        <w:rPr>
          <w:rStyle w:val="Znakapoznpodarou"/>
        </w:rPr>
        <w:footnoteReference w:id="5"/>
      </w:r>
      <w:r>
        <w:t xml:space="preserve"> odhaduje počet sociálně vyloučených obyvatel na 95 000 až 115 000 osob. Sociálně vyloučené lokality, kterých bylo zjištěno 606, se nacházejí ve všech krajích, nejvíce však v Karlovarském a Moravskoslezském kraji. </w:t>
      </w:r>
      <w:r w:rsidR="00FD7556" w:rsidRPr="00956993">
        <w:t>Analýza sociálně vyloučených lokalit ČR (2015) rovněž poukazuje na to, že obecně roste počet vyloučených lokalit, ale snižuje se průměrný počet obyvatel žijících v každé z nich. V sociálně vyloučených lokalitách přibývá seniorů a zároveň narůstá počet lokalit, kde většinu obyvatel netvoří Romové. Nejčastěji v nich bydlí chudí a často nezaměstnaní lidé (průměrně 80–85%) s nízkým vzděláním (většina obyvatel pouze se základním vzděláním). Nezaměstnanost je vyšší v etnicky jednolitých lokalitách a na venkově, kde je nedostatek pracovních míst. Sociálně vyloučené lokality se přesouvají do menších obcí s </w:t>
      </w:r>
      <w:r w:rsidR="0008407F" w:rsidRPr="00956993">
        <w:t>počte</w:t>
      </w:r>
      <w:r w:rsidR="0008407F">
        <w:t>m</w:t>
      </w:r>
      <w:r w:rsidR="00FD7556" w:rsidRPr="00956993">
        <w:t xml:space="preserve"> obyvatel do 5000, a přestože tyto obce tvoří téměř polovinu ze všech obcí, ve kterých </w:t>
      </w:r>
      <w:r w:rsidR="0008407F">
        <w:t xml:space="preserve">se </w:t>
      </w:r>
      <w:r w:rsidR="00FD7556" w:rsidRPr="00956993">
        <w:t>sociálně vyloučené lokality vyskytují, počet sociálně vyloučených obyvatel v nich činí pouze 13 % ze všech sociálně vyloučených obyvatel. Většina se soustřeďuje ve větších sídlech s více jak 20 001 obyvateli.</w:t>
      </w:r>
    </w:p>
    <w:p w14:paraId="5A3D142E" w14:textId="77777777" w:rsidR="004E296E" w:rsidRDefault="004E296E">
      <w:pPr>
        <w:spacing w:before="0" w:after="160" w:line="259" w:lineRule="auto"/>
        <w:ind w:firstLine="0"/>
        <w:jc w:val="left"/>
      </w:pPr>
      <w:r>
        <w:br w:type="page"/>
      </w:r>
    </w:p>
    <w:p w14:paraId="743C1847" w14:textId="77777777" w:rsidR="00F245B1" w:rsidRDefault="00E4113A" w:rsidP="00EA5AF2">
      <w:pPr>
        <w:pStyle w:val="Nadpis1"/>
        <w:numPr>
          <w:ilvl w:val="0"/>
          <w:numId w:val="2"/>
        </w:numPr>
        <w:ind w:left="426" w:hanging="357"/>
      </w:pPr>
      <w:bookmarkStart w:id="23" w:name="_Toc519518207"/>
      <w:bookmarkStart w:id="24" w:name="_Toc519518313"/>
      <w:bookmarkStart w:id="25" w:name="_Toc519581823"/>
      <w:bookmarkStart w:id="26" w:name="_Toc525823162"/>
      <w:bookmarkStart w:id="27" w:name="_Toc525825201"/>
      <w:r>
        <w:lastRenderedPageBreak/>
        <w:t>SWOT analýza – jak si stojí jednotlivé důležité stránky sektoru vůči odpovídajícím cílům a jejich naplňování?</w:t>
      </w:r>
      <w:bookmarkEnd w:id="23"/>
      <w:bookmarkEnd w:id="24"/>
      <w:bookmarkEnd w:id="25"/>
      <w:bookmarkEnd w:id="26"/>
      <w:bookmarkEnd w:id="27"/>
    </w:p>
    <w:p w14:paraId="407C4764" w14:textId="77777777" w:rsidR="00E911F7" w:rsidRDefault="00E911F7" w:rsidP="00E911F7">
      <w:pPr>
        <w:spacing w:before="0" w:after="160" w:line="259" w:lineRule="auto"/>
        <w:ind w:firstLine="0"/>
        <w:rPr>
          <w:rFonts w:ascii="Calibri" w:eastAsia="Calibri" w:hAnsi="Calibri"/>
          <w:b/>
          <w:sz w:val="22"/>
          <w:szCs w:val="22"/>
          <w:lang w:eastAsia="en-US"/>
        </w:rPr>
      </w:pPr>
    </w:p>
    <w:p w14:paraId="7ACB9ADF" w14:textId="77777777" w:rsidR="00744776" w:rsidRPr="00784784" w:rsidRDefault="56AE15A7" w:rsidP="56AE15A7">
      <w:pPr>
        <w:spacing w:before="0" w:after="160" w:line="259" w:lineRule="auto"/>
        <w:ind w:firstLine="0"/>
        <w:rPr>
          <w:rFonts w:ascii="Calibri" w:eastAsia="Calibri" w:hAnsi="Calibri" w:cs="Calibri"/>
          <w:b/>
          <w:bCs/>
          <w:sz w:val="22"/>
          <w:szCs w:val="22"/>
          <w:lang w:eastAsia="en-US"/>
        </w:rPr>
      </w:pPr>
      <w:bookmarkStart w:id="28" w:name="_Toc519518208"/>
      <w:bookmarkStart w:id="29" w:name="_Toc519518314"/>
      <w:bookmarkStart w:id="30" w:name="_Toc519581824"/>
      <w:r w:rsidRPr="56AE15A7">
        <w:rPr>
          <w:rFonts w:ascii="Calibri" w:eastAsia="Calibri" w:hAnsi="Calibri" w:cs="Calibri"/>
          <w:b/>
          <w:bCs/>
          <w:sz w:val="22"/>
          <w:szCs w:val="22"/>
          <w:lang w:eastAsia="en-US"/>
        </w:rPr>
        <w:t xml:space="preserve">Hranice pro SWOT: </w:t>
      </w:r>
    </w:p>
    <w:p w14:paraId="70014B27" w14:textId="77777777" w:rsidR="00744776" w:rsidRPr="00784784" w:rsidRDefault="00744776" w:rsidP="68ED4599">
      <w:pPr>
        <w:rPr>
          <w:szCs w:val="24"/>
        </w:rPr>
      </w:pPr>
      <w:r w:rsidRPr="00C150AD">
        <w:t xml:space="preserve">Hranicemi systému pro tvorbu </w:t>
      </w:r>
      <w:r w:rsidRPr="006F013F">
        <w:rPr>
          <w:b/>
        </w:rPr>
        <w:t>SWOT je</w:t>
      </w:r>
      <w:r w:rsidR="00A40663" w:rsidRPr="006F013F">
        <w:rPr>
          <w:b/>
        </w:rPr>
        <w:t xml:space="preserve"> ta</w:t>
      </w:r>
      <w:r w:rsidRPr="006F013F">
        <w:rPr>
          <w:b/>
        </w:rPr>
        <w:t xml:space="preserve"> část venkova ČR, kterou </w:t>
      </w:r>
      <w:r w:rsidR="00A40663" w:rsidRPr="006F013F">
        <w:rPr>
          <w:b/>
        </w:rPr>
        <w:t>můžeme</w:t>
      </w:r>
      <w:r w:rsidRPr="006F013F">
        <w:rPr>
          <w:b/>
        </w:rPr>
        <w:t xml:space="preserve"> ovlivnit politikou SZP</w:t>
      </w:r>
      <w:r w:rsidRPr="00C150AD">
        <w:t xml:space="preserve">, konkrétně se jedná o: </w:t>
      </w:r>
      <w:r w:rsidRPr="00E34D45">
        <w:t>území zemědělské a lesní půdy; území a společnost ovlivněn</w:t>
      </w:r>
      <w:r w:rsidR="00C84471" w:rsidRPr="00841BEA">
        <w:t>é</w:t>
      </w:r>
      <w:r w:rsidRPr="00841BEA">
        <w:t xml:space="preserve"> aktivitami podniků v sektoru (zemědělství, lesnictví a potravinářství); území a obyvatelstvo ovlivněné činností MAS (iniciativou LEADER/CLLD). </w:t>
      </w:r>
    </w:p>
    <w:p w14:paraId="7CAD17F7" w14:textId="77777777" w:rsidR="00744776" w:rsidRDefault="00884A5E" w:rsidP="00744776">
      <w:pPr>
        <w:ind w:firstLine="0"/>
        <w:contextualSpacing/>
        <w:rPr>
          <w:rFonts w:eastAsia="Calibri"/>
        </w:rPr>
      </w:pPr>
      <w:r>
        <w:t xml:space="preserve">Pokud ve SWOT nebude SZP začleněna do vnitřního prostředí, tak </w:t>
      </w:r>
      <w:r w:rsidR="006C382F">
        <w:t>mohou</w:t>
      </w:r>
      <w:r>
        <w:t xml:space="preserve"> </w:t>
      </w:r>
      <w:r w:rsidR="004E296E">
        <w:t>identifikované slabé</w:t>
      </w:r>
      <w:r>
        <w:t xml:space="preserve"> a silné stránky venkova obsahovat i věci, na které nemáme </w:t>
      </w:r>
      <w:r w:rsidR="0060489F">
        <w:t>vliv,</w:t>
      </w:r>
      <w:r>
        <w:t xml:space="preserve"> a naopak v příležitostech a hrozbách budou body, které má </w:t>
      </w:r>
      <w:proofErr w:type="spellStart"/>
      <w:r>
        <w:t>MZe</w:t>
      </w:r>
      <w:proofErr w:type="spellEnd"/>
      <w:r>
        <w:t xml:space="preserve"> ve svých rukou.</w:t>
      </w:r>
    </w:p>
    <w:p w14:paraId="177D683A" w14:textId="77777777" w:rsidR="006C382F" w:rsidRDefault="006C382F" w:rsidP="00744776">
      <w:pPr>
        <w:ind w:firstLine="0"/>
        <w:contextualSpacing/>
        <w:rPr>
          <w:rFonts w:eastAsia="Calibri"/>
          <w:b/>
          <w:szCs w:val="24"/>
          <w:lang w:eastAsia="en-US"/>
        </w:rPr>
      </w:pPr>
    </w:p>
    <w:p w14:paraId="41143889" w14:textId="77777777" w:rsidR="00744776" w:rsidRPr="00125623" w:rsidRDefault="00744776" w:rsidP="00125623">
      <w:pPr>
        <w:ind w:firstLine="0"/>
        <w:contextualSpacing/>
        <w:rPr>
          <w:rFonts w:ascii="Calibri" w:eastAsia="Calibri" w:hAnsi="Calibri" w:cs="Calibri"/>
          <w:b/>
          <w:bCs/>
          <w:lang w:eastAsia="en-US"/>
        </w:rPr>
      </w:pPr>
      <w:r w:rsidRPr="004B694B">
        <w:rPr>
          <w:b/>
          <w:bCs/>
          <w:lang w:eastAsia="en-US"/>
        </w:rPr>
        <w:t>Silné stránky</w:t>
      </w:r>
      <w:r w:rsidR="00346853">
        <w:rPr>
          <w:b/>
          <w:bCs/>
          <w:lang w:eastAsia="en-US"/>
        </w:rPr>
        <w:t xml:space="preserve"> (S)</w:t>
      </w:r>
      <w:r w:rsidRPr="004B694B">
        <w:rPr>
          <w:b/>
          <w:bCs/>
          <w:lang w:eastAsia="en-US"/>
        </w:rPr>
        <w:t>:</w:t>
      </w:r>
    </w:p>
    <w:p w14:paraId="3FC9B3D7" w14:textId="77777777" w:rsidR="00744776" w:rsidRPr="00B97FA6" w:rsidRDefault="00744776" w:rsidP="00CC6BB3">
      <w:pPr>
        <w:numPr>
          <w:ilvl w:val="0"/>
          <w:numId w:val="9"/>
        </w:numPr>
        <w:contextualSpacing/>
        <w:rPr>
          <w:rFonts w:ascii="Calibri" w:eastAsia="Calibri" w:hAnsi="Calibri" w:cs="Calibri"/>
          <w:lang w:eastAsia="en-US"/>
        </w:rPr>
      </w:pPr>
      <w:r w:rsidRPr="00B97FA6">
        <w:rPr>
          <w:lang w:eastAsia="en-US"/>
        </w:rPr>
        <w:t>dobré předpoklady pro plnění rezidenční funkce venkova</w:t>
      </w:r>
    </w:p>
    <w:p w14:paraId="3805114D" w14:textId="77777777" w:rsidR="00744776" w:rsidRPr="00B97FA6" w:rsidRDefault="56AE15A7" w:rsidP="00CC6BB3">
      <w:pPr>
        <w:numPr>
          <w:ilvl w:val="0"/>
          <w:numId w:val="9"/>
        </w:numPr>
        <w:contextualSpacing/>
        <w:rPr>
          <w:rFonts w:ascii="Calibri" w:eastAsia="Calibri" w:hAnsi="Calibri" w:cs="Calibri"/>
          <w:lang w:eastAsia="en-US"/>
        </w:rPr>
      </w:pPr>
      <w:r w:rsidRPr="00B97FA6">
        <w:rPr>
          <w:lang w:eastAsia="en-US"/>
        </w:rPr>
        <w:t xml:space="preserve">agrární sektor mj. v souvislosti s generační obměnou nabízí </w:t>
      </w:r>
      <w:r w:rsidR="006F013F">
        <w:rPr>
          <w:lang w:eastAsia="en-US"/>
        </w:rPr>
        <w:t xml:space="preserve">často </w:t>
      </w:r>
      <w:r w:rsidRPr="00B97FA6">
        <w:rPr>
          <w:lang w:eastAsia="en-US"/>
        </w:rPr>
        <w:t>pracovní příležitosti pro venkovské obyvatelstvo</w:t>
      </w:r>
      <w:r w:rsidR="00A40663">
        <w:rPr>
          <w:lang w:eastAsia="en-US"/>
        </w:rPr>
        <w:t xml:space="preserve"> v místě bydliště</w:t>
      </w:r>
    </w:p>
    <w:p w14:paraId="35759AC7" w14:textId="77777777" w:rsidR="00744776" w:rsidRPr="00B97FA6" w:rsidRDefault="56AE15A7" w:rsidP="00CC6BB3">
      <w:pPr>
        <w:numPr>
          <w:ilvl w:val="0"/>
          <w:numId w:val="9"/>
        </w:numPr>
        <w:contextualSpacing/>
        <w:rPr>
          <w:rFonts w:ascii="Calibri" w:eastAsia="Calibri" w:hAnsi="Calibri" w:cs="Calibri"/>
          <w:lang w:eastAsia="en-US"/>
        </w:rPr>
      </w:pPr>
      <w:r w:rsidRPr="00B97FA6">
        <w:rPr>
          <w:lang w:eastAsia="en-US"/>
        </w:rPr>
        <w:t>v současnosti nižší podíl nezaměstnaných osob ve venkovských obcích než v průměru za města</w:t>
      </w:r>
      <w:r w:rsidRPr="00B97FA6">
        <w:rPr>
          <w:rFonts w:ascii="Calibri" w:eastAsia="Calibri" w:hAnsi="Calibri" w:cs="Calibri"/>
          <w:lang w:eastAsia="en-US"/>
        </w:rPr>
        <w:t xml:space="preserve"> </w:t>
      </w:r>
    </w:p>
    <w:p w14:paraId="7BBF9C08" w14:textId="77777777" w:rsidR="00744776" w:rsidRPr="004B694B" w:rsidRDefault="00BF61FE" w:rsidP="00CC6BB3">
      <w:pPr>
        <w:numPr>
          <w:ilvl w:val="0"/>
          <w:numId w:val="9"/>
        </w:numPr>
        <w:contextualSpacing/>
        <w:rPr>
          <w:rFonts w:ascii="Calibri" w:eastAsia="Calibri" w:hAnsi="Calibri" w:cs="Calibri"/>
          <w:b/>
          <w:bCs/>
          <w:lang w:eastAsia="en-US"/>
        </w:rPr>
      </w:pPr>
      <w:r>
        <w:rPr>
          <w:lang w:eastAsia="en-US"/>
        </w:rPr>
        <w:t xml:space="preserve">pozitivní </w:t>
      </w:r>
      <w:r w:rsidRPr="006F013F">
        <w:rPr>
          <w:b/>
          <w:lang w:eastAsia="en-US"/>
        </w:rPr>
        <w:t>trend</w:t>
      </w:r>
      <w:r>
        <w:rPr>
          <w:lang w:eastAsia="en-US"/>
        </w:rPr>
        <w:t xml:space="preserve"> vývoje </w:t>
      </w:r>
      <w:r w:rsidRPr="00B97FA6">
        <w:rPr>
          <w:lang w:eastAsia="en-US"/>
        </w:rPr>
        <w:t>výstavb</w:t>
      </w:r>
      <w:r>
        <w:rPr>
          <w:lang w:eastAsia="en-US"/>
        </w:rPr>
        <w:t>y</w:t>
      </w:r>
      <w:r w:rsidRPr="00B97FA6">
        <w:rPr>
          <w:lang w:eastAsia="en-US"/>
        </w:rPr>
        <w:t xml:space="preserve"> </w:t>
      </w:r>
      <w:r w:rsidR="00744776" w:rsidRPr="00B97FA6">
        <w:rPr>
          <w:lang w:eastAsia="en-US"/>
        </w:rPr>
        <w:t xml:space="preserve">místních kanalizací a ČOV a celkové zlepšení technické </w:t>
      </w:r>
      <w:r w:rsidR="00744776" w:rsidRPr="004B694B">
        <w:rPr>
          <w:lang w:eastAsia="en-US"/>
        </w:rPr>
        <w:t>vybavenosti v obcích ČR</w:t>
      </w:r>
      <w:r>
        <w:rPr>
          <w:lang w:eastAsia="en-US"/>
        </w:rPr>
        <w:t xml:space="preserve"> </w:t>
      </w:r>
      <w:r w:rsidRPr="002B508D">
        <w:rPr>
          <w:i/>
          <w:lang w:eastAsia="en-US"/>
        </w:rPr>
        <w:t xml:space="preserve">(ve slabých stránkách je </w:t>
      </w:r>
      <w:r>
        <w:rPr>
          <w:i/>
          <w:lang w:eastAsia="en-US"/>
        </w:rPr>
        <w:t>pak</w:t>
      </w:r>
      <w:r w:rsidRPr="002B508D">
        <w:rPr>
          <w:i/>
          <w:lang w:eastAsia="en-US"/>
        </w:rPr>
        <w:t xml:space="preserve"> uvedena nižší </w:t>
      </w:r>
      <w:r w:rsidRPr="002B508D">
        <w:rPr>
          <w:b/>
          <w:i/>
          <w:lang w:eastAsia="en-US"/>
        </w:rPr>
        <w:t>úroveň</w:t>
      </w:r>
      <w:r w:rsidRPr="002B508D">
        <w:rPr>
          <w:i/>
          <w:lang w:eastAsia="en-US"/>
        </w:rPr>
        <w:t xml:space="preserve"> vybavenosti, kterou by bylo možno zlepši</w:t>
      </w:r>
      <w:r>
        <w:rPr>
          <w:i/>
          <w:lang w:eastAsia="en-US"/>
        </w:rPr>
        <w:t>t</w:t>
      </w:r>
      <w:r w:rsidRPr="002B508D">
        <w:rPr>
          <w:i/>
          <w:lang w:eastAsia="en-US"/>
        </w:rPr>
        <w:t>).</w:t>
      </w:r>
    </w:p>
    <w:p w14:paraId="00D1D3A6" w14:textId="77777777" w:rsidR="00F103F0" w:rsidRPr="004B694B" w:rsidRDefault="003F4EF7" w:rsidP="00CC6BB3">
      <w:pPr>
        <w:numPr>
          <w:ilvl w:val="0"/>
          <w:numId w:val="9"/>
        </w:numPr>
        <w:contextualSpacing/>
        <w:rPr>
          <w:rFonts w:ascii="Calibri" w:eastAsia="Calibri" w:hAnsi="Calibri" w:cs="Calibri"/>
          <w:lang w:eastAsia="en-US"/>
        </w:rPr>
      </w:pPr>
      <w:r>
        <w:rPr>
          <w:lang w:eastAsia="en-US"/>
        </w:rPr>
        <w:t>zkušenosti spolupráce ve venkovském prostoru v rámci MAS, fungující LEADER</w:t>
      </w:r>
    </w:p>
    <w:p w14:paraId="0CB13AC9" w14:textId="77777777" w:rsidR="003F68C7" w:rsidRPr="004B694B" w:rsidRDefault="00406502" w:rsidP="00C57317">
      <w:pPr>
        <w:numPr>
          <w:ilvl w:val="0"/>
          <w:numId w:val="9"/>
        </w:numPr>
        <w:contextualSpacing/>
        <w:rPr>
          <w:rFonts w:ascii="Calibri" w:eastAsia="Calibri" w:hAnsi="Calibri" w:cs="Calibri"/>
          <w:lang w:eastAsia="en-US"/>
        </w:rPr>
      </w:pPr>
      <w:r>
        <w:rPr>
          <w:rFonts w:ascii="Calibri" w:eastAsia="Calibri" w:hAnsi="Calibri" w:cs="Calibri"/>
          <w:lang w:eastAsia="en-US"/>
        </w:rPr>
        <w:t>vyšší míra třídění odpadu ve venkovských oblastech</w:t>
      </w:r>
    </w:p>
    <w:p w14:paraId="0628DC55" w14:textId="77777777" w:rsidR="00744776" w:rsidRPr="00642752" w:rsidRDefault="00744776" w:rsidP="00744776">
      <w:pPr>
        <w:ind w:left="720" w:firstLine="0"/>
        <w:contextualSpacing/>
        <w:rPr>
          <w:rFonts w:eastAsia="Calibri"/>
          <w:b/>
          <w:szCs w:val="24"/>
          <w:lang w:eastAsia="en-US"/>
        </w:rPr>
      </w:pPr>
    </w:p>
    <w:p w14:paraId="68996768" w14:textId="77777777" w:rsidR="00744776" w:rsidRPr="004B694B" w:rsidRDefault="00744776">
      <w:pPr>
        <w:ind w:firstLine="0"/>
        <w:contextualSpacing/>
        <w:rPr>
          <w:rFonts w:ascii="Calibri" w:eastAsia="Calibri" w:hAnsi="Calibri" w:cs="Calibri"/>
          <w:lang w:eastAsia="en-US"/>
        </w:rPr>
      </w:pPr>
      <w:r w:rsidRPr="004B694B">
        <w:rPr>
          <w:b/>
          <w:bCs/>
          <w:lang w:eastAsia="en-US"/>
        </w:rPr>
        <w:t>Slabé stránky</w:t>
      </w:r>
      <w:r w:rsidR="00346853">
        <w:rPr>
          <w:b/>
          <w:bCs/>
          <w:lang w:eastAsia="en-US"/>
        </w:rPr>
        <w:t xml:space="preserve"> (W)</w:t>
      </w:r>
      <w:r w:rsidRPr="004B694B">
        <w:rPr>
          <w:b/>
          <w:bCs/>
          <w:lang w:eastAsia="en-US"/>
        </w:rPr>
        <w:t>:</w:t>
      </w:r>
      <w:r w:rsidRPr="004B694B">
        <w:rPr>
          <w:rFonts w:ascii="Calibri" w:eastAsia="Calibri" w:hAnsi="Calibri" w:cs="Calibri"/>
          <w:lang w:eastAsia="en-US"/>
        </w:rPr>
        <w:t xml:space="preserve"> </w:t>
      </w:r>
    </w:p>
    <w:p w14:paraId="6020DDA7" w14:textId="77777777" w:rsidR="00744776" w:rsidRPr="004B694B" w:rsidRDefault="00744776" w:rsidP="00CC6BB3">
      <w:pPr>
        <w:numPr>
          <w:ilvl w:val="0"/>
          <w:numId w:val="10"/>
        </w:numPr>
        <w:contextualSpacing/>
        <w:rPr>
          <w:rFonts w:ascii="Calibri" w:eastAsia="Calibri" w:hAnsi="Calibri" w:cs="Calibri"/>
          <w:lang w:eastAsia="en-US"/>
        </w:rPr>
      </w:pPr>
      <w:r w:rsidRPr="004B694B">
        <w:rPr>
          <w:lang w:eastAsia="en-US"/>
        </w:rPr>
        <w:t>nižší ochota zapojit podnik do diverzifikačních aktivit (a být podpořen z PRV</w:t>
      </w:r>
      <w:r w:rsidRPr="004B694B">
        <w:rPr>
          <w:rFonts w:ascii="Calibri" w:eastAsia="Calibri" w:hAnsi="Calibri" w:cs="Calibri"/>
          <w:lang w:eastAsia="en-US"/>
        </w:rPr>
        <w:t>)</w:t>
      </w:r>
    </w:p>
    <w:p w14:paraId="67E44228" w14:textId="77777777" w:rsidR="00744776" w:rsidRPr="00125623" w:rsidRDefault="00744776" w:rsidP="00125623">
      <w:pPr>
        <w:numPr>
          <w:ilvl w:val="0"/>
          <w:numId w:val="10"/>
        </w:numPr>
        <w:contextualSpacing/>
        <w:rPr>
          <w:rFonts w:ascii="Calibri" w:eastAsia="Calibri" w:hAnsi="Calibri" w:cs="Calibri"/>
          <w:lang w:eastAsia="en-US"/>
        </w:rPr>
      </w:pPr>
      <w:r w:rsidRPr="004B694B">
        <w:rPr>
          <w:lang w:eastAsia="en-US"/>
        </w:rPr>
        <w:t xml:space="preserve">nižší </w:t>
      </w:r>
      <w:r w:rsidR="00405822">
        <w:rPr>
          <w:lang w:eastAsia="en-US"/>
        </w:rPr>
        <w:t xml:space="preserve">úroveň </w:t>
      </w:r>
      <w:r w:rsidRPr="004B694B">
        <w:rPr>
          <w:lang w:eastAsia="en-US"/>
        </w:rPr>
        <w:t>technick</w:t>
      </w:r>
      <w:r w:rsidR="00405822">
        <w:rPr>
          <w:lang w:eastAsia="en-US"/>
        </w:rPr>
        <w:t>é</w:t>
      </w:r>
      <w:r w:rsidRPr="004B694B">
        <w:rPr>
          <w:lang w:eastAsia="en-US"/>
        </w:rPr>
        <w:t xml:space="preserve"> a občansk</w:t>
      </w:r>
      <w:r w:rsidR="00405822">
        <w:rPr>
          <w:lang w:eastAsia="en-US"/>
        </w:rPr>
        <w:t>é</w:t>
      </w:r>
      <w:r w:rsidRPr="004B694B">
        <w:rPr>
          <w:lang w:eastAsia="en-US"/>
        </w:rPr>
        <w:t xml:space="preserve"> vybavenost</w:t>
      </w:r>
      <w:r w:rsidR="00AD2674">
        <w:rPr>
          <w:lang w:eastAsia="en-US"/>
        </w:rPr>
        <w:t>i</w:t>
      </w:r>
      <w:r w:rsidRPr="004B694B">
        <w:rPr>
          <w:lang w:eastAsia="en-US"/>
        </w:rPr>
        <w:t xml:space="preserve"> zejména malých obcí do 500 obyvatel</w:t>
      </w:r>
      <w:r w:rsidR="00356FC6">
        <w:rPr>
          <w:lang w:eastAsia="en-US"/>
        </w:rPr>
        <w:t xml:space="preserve"> (chodníky a místní komunikace, rekonstrukce a revitalizace </w:t>
      </w:r>
      <w:r w:rsidR="006F013F">
        <w:rPr>
          <w:lang w:eastAsia="en-US"/>
        </w:rPr>
        <w:t>budov</w:t>
      </w:r>
      <w:r w:rsidR="00356FC6">
        <w:rPr>
          <w:lang w:eastAsia="en-US"/>
        </w:rPr>
        <w:t xml:space="preserve"> atp.)</w:t>
      </w:r>
    </w:p>
    <w:p w14:paraId="3ACAE75A" w14:textId="77777777" w:rsidR="000A4B9B" w:rsidRDefault="000A4B9B" w:rsidP="000A4B9B">
      <w:pPr>
        <w:numPr>
          <w:ilvl w:val="0"/>
          <w:numId w:val="10"/>
        </w:numPr>
        <w:contextualSpacing/>
      </w:pPr>
      <w:r>
        <w:t>nižší mzdová úroveň na venkově</w:t>
      </w:r>
    </w:p>
    <w:p w14:paraId="151A33FA" w14:textId="77777777" w:rsidR="000A4B9B" w:rsidRDefault="000A4B9B" w:rsidP="000A4B9B">
      <w:pPr>
        <w:numPr>
          <w:ilvl w:val="0"/>
          <w:numId w:val="10"/>
        </w:numPr>
        <w:contextualSpacing/>
      </w:pPr>
      <w:r>
        <w:t>nedostatek pracovních míst na venkově, především pak v menších obcích</w:t>
      </w:r>
    </w:p>
    <w:p w14:paraId="2948ADDA" w14:textId="77777777" w:rsidR="000A4B9B" w:rsidRDefault="000A4B9B" w:rsidP="000A4B9B">
      <w:pPr>
        <w:numPr>
          <w:ilvl w:val="0"/>
          <w:numId w:val="10"/>
        </w:numPr>
        <w:contextualSpacing/>
      </w:pPr>
      <w:r>
        <w:t>nižší úroveň prostupnosti venkovské krajiny</w:t>
      </w:r>
      <w:r w:rsidR="00C97D62">
        <w:t xml:space="preserve"> </w:t>
      </w:r>
      <w:r w:rsidR="00C97D62" w:rsidRPr="006F013F">
        <w:rPr>
          <w:i/>
        </w:rPr>
        <w:t>(infra</w:t>
      </w:r>
      <w:r w:rsidR="00A22F62" w:rsidRPr="00A22F62">
        <w:rPr>
          <w:i/>
        </w:rPr>
        <w:t xml:space="preserve">struktura, kterou </w:t>
      </w:r>
      <w:r w:rsidR="00AD2674">
        <w:rPr>
          <w:i/>
        </w:rPr>
        <w:t xml:space="preserve">se </w:t>
      </w:r>
      <w:r w:rsidR="00A22F62" w:rsidRPr="00A22F62">
        <w:rPr>
          <w:i/>
        </w:rPr>
        <w:t xml:space="preserve">řeší </w:t>
      </w:r>
      <w:r w:rsidR="00A22F62">
        <w:rPr>
          <w:i/>
        </w:rPr>
        <w:t>pozemkové úpravy</w:t>
      </w:r>
      <w:r w:rsidR="00C97D62" w:rsidRPr="006F013F">
        <w:rPr>
          <w:i/>
        </w:rPr>
        <w:t>)</w:t>
      </w:r>
    </w:p>
    <w:p w14:paraId="6442483A" w14:textId="77777777" w:rsidR="000A4B9B" w:rsidRDefault="000A4B9B" w:rsidP="000A4B9B">
      <w:pPr>
        <w:numPr>
          <w:ilvl w:val="0"/>
          <w:numId w:val="10"/>
        </w:numPr>
        <w:contextualSpacing/>
      </w:pPr>
      <w:r>
        <w:t>nižší úroveň ekonomické aktivity obyvatel na venkově, zejména pak u obcí do 200 obyvatel</w:t>
      </w:r>
    </w:p>
    <w:p w14:paraId="5DD9D693" w14:textId="77777777" w:rsidR="000A4B9B" w:rsidRDefault="000A4B9B" w:rsidP="000A4B9B">
      <w:pPr>
        <w:numPr>
          <w:ilvl w:val="0"/>
          <w:numId w:val="10"/>
        </w:numPr>
        <w:contextualSpacing/>
      </w:pPr>
      <w:r w:rsidRPr="56AE15A7">
        <w:rPr>
          <w:lang w:eastAsia="en-US"/>
        </w:rPr>
        <w:t>nedostatečně rozvinutý sektor služeb (nižší zaměstnanost ve službách, horší dostupnost služeb)</w:t>
      </w:r>
    </w:p>
    <w:p w14:paraId="0909A8C3" w14:textId="77777777" w:rsidR="006F5FDF" w:rsidRPr="00857548" w:rsidRDefault="002C5C5F" w:rsidP="000A4B9B">
      <w:pPr>
        <w:numPr>
          <w:ilvl w:val="0"/>
          <w:numId w:val="10"/>
        </w:numPr>
        <w:contextualSpacing/>
      </w:pPr>
      <w:r>
        <w:rPr>
          <w:lang w:eastAsia="en-US"/>
        </w:rPr>
        <w:lastRenderedPageBreak/>
        <w:t>existence</w:t>
      </w:r>
      <w:r w:rsidR="006F5FDF">
        <w:rPr>
          <w:lang w:eastAsia="en-US"/>
        </w:rPr>
        <w:t xml:space="preserve"> nevyužitých</w:t>
      </w:r>
      <w:r w:rsidR="00124CF2">
        <w:rPr>
          <w:lang w:eastAsia="en-US"/>
        </w:rPr>
        <w:t xml:space="preserve"> či opuštěných</w:t>
      </w:r>
      <w:r w:rsidR="006F5FDF">
        <w:rPr>
          <w:lang w:eastAsia="en-US"/>
        </w:rPr>
        <w:t xml:space="preserve"> nemovitostí na venkově (</w:t>
      </w:r>
      <w:r w:rsidR="009B0FE7">
        <w:rPr>
          <w:lang w:eastAsia="en-US"/>
        </w:rPr>
        <w:t xml:space="preserve">zemědělských </w:t>
      </w:r>
      <w:r w:rsidR="006F5FDF">
        <w:rPr>
          <w:lang w:eastAsia="en-US"/>
        </w:rPr>
        <w:t>brownfields)</w:t>
      </w:r>
    </w:p>
    <w:p w14:paraId="529BEEC5" w14:textId="77777777" w:rsidR="00744776" w:rsidRPr="00C57317" w:rsidRDefault="00744776" w:rsidP="00CC6BB3">
      <w:pPr>
        <w:numPr>
          <w:ilvl w:val="0"/>
          <w:numId w:val="10"/>
        </w:numPr>
        <w:contextualSpacing/>
        <w:rPr>
          <w:rFonts w:ascii="Calibri" w:eastAsia="Calibri" w:hAnsi="Calibri" w:cs="Calibri"/>
          <w:lang w:eastAsia="en-US"/>
        </w:rPr>
      </w:pPr>
      <w:r w:rsidRPr="004B694B">
        <w:rPr>
          <w:lang w:eastAsia="en-US"/>
        </w:rPr>
        <w:t>pomalá implementace některých opatření PRV (</w:t>
      </w:r>
      <w:proofErr w:type="gramStart"/>
      <w:r w:rsidR="006F013F">
        <w:rPr>
          <w:lang w:eastAsia="en-US"/>
        </w:rPr>
        <w:t>6B</w:t>
      </w:r>
      <w:proofErr w:type="gramEnd"/>
      <w:r w:rsidR="006F013F">
        <w:rPr>
          <w:lang w:eastAsia="en-US"/>
        </w:rPr>
        <w:t xml:space="preserve"> „Podpora místního rozvoje ve venkovských oblastech“</w:t>
      </w:r>
      <w:r w:rsidRPr="004B694B">
        <w:rPr>
          <w:lang w:eastAsia="en-US"/>
        </w:rPr>
        <w:t>)</w:t>
      </w:r>
    </w:p>
    <w:p w14:paraId="4323E2AB" w14:textId="77777777" w:rsidR="00F65D39" w:rsidRPr="00C57317" w:rsidRDefault="00F65D39" w:rsidP="00C57317">
      <w:pPr>
        <w:numPr>
          <w:ilvl w:val="0"/>
          <w:numId w:val="10"/>
        </w:numPr>
        <w:contextualSpacing/>
        <w:rPr>
          <w:rFonts w:ascii="Calibri" w:eastAsia="Calibri" w:hAnsi="Calibri" w:cs="Calibri"/>
          <w:lang w:eastAsia="en-US"/>
        </w:rPr>
      </w:pPr>
      <w:r>
        <w:t>Nedostatek volnočasových aktivit pro děti a mládež a sociálních služeb pro rodiny v nepříznivé sociální situaci</w:t>
      </w:r>
    </w:p>
    <w:p w14:paraId="52BB9190" w14:textId="77777777" w:rsidR="00040D89" w:rsidRDefault="00040D89">
      <w:pPr>
        <w:ind w:firstLine="0"/>
        <w:contextualSpacing/>
        <w:rPr>
          <w:b/>
          <w:bCs/>
          <w:lang w:eastAsia="en-US"/>
        </w:rPr>
      </w:pPr>
    </w:p>
    <w:p w14:paraId="00CC1A2E" w14:textId="77777777" w:rsidR="00744776" w:rsidRPr="004B694B" w:rsidRDefault="00744776">
      <w:pPr>
        <w:ind w:firstLine="0"/>
        <w:contextualSpacing/>
        <w:rPr>
          <w:rFonts w:ascii="Calibri" w:eastAsia="Calibri" w:hAnsi="Calibri" w:cs="Calibri"/>
          <w:b/>
          <w:bCs/>
          <w:lang w:eastAsia="en-US"/>
        </w:rPr>
      </w:pPr>
      <w:r w:rsidRPr="004B694B">
        <w:rPr>
          <w:b/>
          <w:bCs/>
          <w:lang w:eastAsia="en-US"/>
        </w:rPr>
        <w:t>Příležitosti</w:t>
      </w:r>
      <w:r w:rsidR="00346853">
        <w:rPr>
          <w:b/>
          <w:bCs/>
          <w:lang w:eastAsia="en-US"/>
        </w:rPr>
        <w:t xml:space="preserve"> (O)</w:t>
      </w:r>
      <w:r w:rsidRPr="004B694B">
        <w:rPr>
          <w:b/>
          <w:bCs/>
          <w:lang w:eastAsia="en-US"/>
        </w:rPr>
        <w:t>:</w:t>
      </w:r>
    </w:p>
    <w:p w14:paraId="31151A86" w14:textId="77777777" w:rsidR="00744776" w:rsidRPr="00125623" w:rsidRDefault="00744776" w:rsidP="00125623">
      <w:pPr>
        <w:numPr>
          <w:ilvl w:val="0"/>
          <w:numId w:val="12"/>
        </w:numPr>
        <w:contextualSpacing/>
        <w:rPr>
          <w:rFonts w:ascii="Calibri" w:eastAsia="Calibri" w:hAnsi="Calibri" w:cs="Calibri"/>
          <w:lang w:eastAsia="en-US"/>
        </w:rPr>
      </w:pPr>
      <w:r w:rsidRPr="004B694B">
        <w:rPr>
          <w:lang w:eastAsia="en-US"/>
        </w:rPr>
        <w:t>většina venkovských obcí vykazuje kladný celkový přírůstek obyvatelstva</w:t>
      </w:r>
      <w:r w:rsidR="00E81BE5">
        <w:rPr>
          <w:lang w:eastAsia="en-US"/>
        </w:rPr>
        <w:t xml:space="preserve">, </w:t>
      </w:r>
      <w:r w:rsidR="00E81BE5" w:rsidRPr="004B694B">
        <w:rPr>
          <w:lang w:eastAsia="en-US"/>
        </w:rPr>
        <w:t>příznivý demografický vývoj v příměstských venkovských obcích (počet obyvatel, věková a vzdělanostní struktura)</w:t>
      </w:r>
      <w:r w:rsidR="00A22F62">
        <w:rPr>
          <w:lang w:eastAsia="en-US"/>
        </w:rPr>
        <w:t xml:space="preserve"> </w:t>
      </w:r>
      <w:r w:rsidR="00A22F62" w:rsidRPr="002B508D">
        <w:rPr>
          <w:i/>
          <w:lang w:eastAsia="en-US"/>
        </w:rPr>
        <w:t>(nemáme ve svých rukou, nelze ovlivnit</w:t>
      </w:r>
      <w:r w:rsidR="00A22F62">
        <w:rPr>
          <w:i/>
          <w:lang w:eastAsia="en-US"/>
        </w:rPr>
        <w:t xml:space="preserve"> primárně</w:t>
      </w:r>
      <w:r w:rsidR="00A22F62" w:rsidRPr="002B508D">
        <w:rPr>
          <w:i/>
          <w:lang w:eastAsia="en-US"/>
        </w:rPr>
        <w:t xml:space="preserve"> přes SZP, považujeme tedy za vnější prostředí. Pokud bychom to považovali za silnou stránku, pak by byl předpoklad, že v rámci politiky venkova v SZP je možno tuto stránku ovlivnit a využít ji pro řešení slabých stránek. Takto to ale nevnímáme).</w:t>
      </w:r>
    </w:p>
    <w:p w14:paraId="11A748EC" w14:textId="77777777" w:rsidR="00744776" w:rsidRPr="00125623" w:rsidRDefault="00E81BE5" w:rsidP="00125623">
      <w:pPr>
        <w:numPr>
          <w:ilvl w:val="0"/>
          <w:numId w:val="12"/>
        </w:numPr>
        <w:contextualSpacing/>
        <w:rPr>
          <w:rFonts w:ascii="Calibri" w:eastAsia="Calibri" w:hAnsi="Calibri" w:cs="Calibri"/>
          <w:lang w:eastAsia="en-US"/>
        </w:rPr>
      </w:pPr>
      <w:r>
        <w:rPr>
          <w:lang w:eastAsia="en-US"/>
        </w:rPr>
        <w:t xml:space="preserve">zlepšení pokrytí vysokorychlostním internetem a s tím i související </w:t>
      </w:r>
      <w:r w:rsidR="00744776" w:rsidRPr="004B694B">
        <w:rPr>
          <w:lang w:eastAsia="en-US"/>
        </w:rPr>
        <w:t>rozvoj nových forem výkonu pracovních činností (např. práce z domova)</w:t>
      </w:r>
      <w:r w:rsidR="00185551">
        <w:rPr>
          <w:lang w:eastAsia="en-US"/>
        </w:rPr>
        <w:t xml:space="preserve"> </w:t>
      </w:r>
      <w:r w:rsidR="00185551" w:rsidRPr="002B508D">
        <w:rPr>
          <w:i/>
          <w:lang w:eastAsia="en-US"/>
        </w:rPr>
        <w:t>(trend</w:t>
      </w:r>
      <w:r w:rsidR="00185551">
        <w:rPr>
          <w:i/>
          <w:lang w:eastAsia="en-US"/>
        </w:rPr>
        <w:t xml:space="preserve"> vývoje</w:t>
      </w:r>
      <w:r w:rsidR="00185551" w:rsidRPr="002B508D">
        <w:rPr>
          <w:i/>
          <w:lang w:eastAsia="en-US"/>
        </w:rPr>
        <w:t xml:space="preserve"> pokrytí vysokorychlostním internetem je pozitivní, venkov má ovšem </w:t>
      </w:r>
      <w:r w:rsidR="00185551">
        <w:rPr>
          <w:i/>
          <w:lang w:eastAsia="en-US"/>
        </w:rPr>
        <w:t xml:space="preserve">úroveň </w:t>
      </w:r>
      <w:r w:rsidR="00185551" w:rsidRPr="002B508D">
        <w:rPr>
          <w:i/>
          <w:lang w:eastAsia="en-US"/>
        </w:rPr>
        <w:t>pokrytí nižší než městské oblasti – je považováno za příležitost, něco</w:t>
      </w:r>
      <w:r w:rsidR="00185551" w:rsidRPr="000F0009">
        <w:rPr>
          <w:i/>
          <w:lang w:eastAsia="en-US"/>
        </w:rPr>
        <w:t xml:space="preserve">, </w:t>
      </w:r>
      <w:r w:rsidR="00185551">
        <w:rPr>
          <w:i/>
          <w:lang w:eastAsia="en-US"/>
        </w:rPr>
        <w:t xml:space="preserve">co </w:t>
      </w:r>
      <w:r w:rsidR="00185551" w:rsidRPr="002B508D">
        <w:rPr>
          <w:i/>
          <w:lang w:eastAsia="en-US"/>
        </w:rPr>
        <w:t>nemáme z hlediska vlivu ve svých rukou)</w:t>
      </w:r>
    </w:p>
    <w:p w14:paraId="59A5343A" w14:textId="77777777" w:rsidR="00744776" w:rsidRPr="004B694B" w:rsidRDefault="00744776" w:rsidP="00CC6BB3">
      <w:pPr>
        <w:numPr>
          <w:ilvl w:val="0"/>
          <w:numId w:val="12"/>
        </w:numPr>
        <w:contextualSpacing/>
        <w:rPr>
          <w:rFonts w:ascii="Calibri" w:eastAsia="Calibri" w:hAnsi="Calibri" w:cs="Calibri"/>
          <w:lang w:eastAsia="en-US"/>
        </w:rPr>
      </w:pPr>
      <w:r w:rsidRPr="004B694B">
        <w:rPr>
          <w:lang w:eastAsia="en-US"/>
        </w:rPr>
        <w:t>využití dalších podpor mimo SZP pro rozvoj technické a občanské vybavenosti obcí</w:t>
      </w:r>
    </w:p>
    <w:p w14:paraId="31D176E4" w14:textId="77777777" w:rsidR="00744776" w:rsidRPr="004B694B" w:rsidRDefault="00744776" w:rsidP="00CC6BB3">
      <w:pPr>
        <w:numPr>
          <w:ilvl w:val="0"/>
          <w:numId w:val="12"/>
        </w:numPr>
        <w:contextualSpacing/>
        <w:rPr>
          <w:rFonts w:ascii="Calibri" w:eastAsia="Calibri" w:hAnsi="Calibri" w:cs="Calibri"/>
          <w:lang w:eastAsia="en-US"/>
        </w:rPr>
      </w:pPr>
      <w:r w:rsidRPr="004B694B">
        <w:rPr>
          <w:lang w:eastAsia="en-US"/>
        </w:rPr>
        <w:t>využití podpor (mimo podpor SZP) místních partnerství a spolupráce ve venkovském prostoru</w:t>
      </w:r>
    </w:p>
    <w:p w14:paraId="4BCAD481" w14:textId="77777777" w:rsidR="00744776" w:rsidRPr="004B694B" w:rsidRDefault="00744776" w:rsidP="00CC6BB3">
      <w:pPr>
        <w:numPr>
          <w:ilvl w:val="0"/>
          <w:numId w:val="12"/>
        </w:numPr>
        <w:contextualSpacing/>
        <w:rPr>
          <w:rFonts w:ascii="Calibri" w:eastAsia="Calibri" w:hAnsi="Calibri" w:cs="Calibri"/>
          <w:lang w:eastAsia="en-US"/>
        </w:rPr>
      </w:pPr>
      <w:r w:rsidRPr="004B694B">
        <w:rPr>
          <w:lang w:eastAsia="en-US"/>
        </w:rPr>
        <w:t>využití podpor (mimo podpor SZP) pro spuštění a rozvoj diverzifikace podniku (zvýšení stability podniku)</w:t>
      </w:r>
    </w:p>
    <w:p w14:paraId="3F47443C" w14:textId="77777777" w:rsidR="00744776" w:rsidRPr="004B694B" w:rsidRDefault="00744776" w:rsidP="00CC6BB3">
      <w:pPr>
        <w:numPr>
          <w:ilvl w:val="0"/>
          <w:numId w:val="12"/>
        </w:numPr>
        <w:contextualSpacing/>
        <w:rPr>
          <w:rFonts w:ascii="Calibri" w:eastAsia="Calibri" w:hAnsi="Calibri" w:cs="Calibri"/>
          <w:lang w:eastAsia="en-US"/>
        </w:rPr>
      </w:pPr>
      <w:r w:rsidRPr="004B694B">
        <w:rPr>
          <w:lang w:eastAsia="en-US"/>
        </w:rPr>
        <w:t xml:space="preserve">lepší stav komunikací a dopravní dostupnosti obcí v ČR (silnice vyšších tříd, dálnice, železniční koridory) </w:t>
      </w:r>
    </w:p>
    <w:p w14:paraId="2C1196CD" w14:textId="77777777" w:rsidR="00744776" w:rsidRPr="004B694B" w:rsidRDefault="00744776" w:rsidP="00CC6BB3">
      <w:pPr>
        <w:numPr>
          <w:ilvl w:val="0"/>
          <w:numId w:val="12"/>
        </w:numPr>
        <w:contextualSpacing/>
        <w:rPr>
          <w:rFonts w:ascii="Calibri" w:eastAsia="Calibri" w:hAnsi="Calibri" w:cs="Calibri"/>
          <w:lang w:eastAsia="en-US"/>
        </w:rPr>
      </w:pPr>
      <w:r w:rsidRPr="004B694B">
        <w:rPr>
          <w:lang w:eastAsia="en-US"/>
        </w:rPr>
        <w:t>podpora podnikání na venkově jako posílení stability osídlení venkova a prevence ohrožení chudobou (podpory mimo SZP</w:t>
      </w:r>
      <w:r w:rsidRPr="004B694B">
        <w:rPr>
          <w:rFonts w:ascii="Calibri" w:eastAsia="Calibri" w:hAnsi="Calibri" w:cs="Calibri"/>
          <w:lang w:eastAsia="en-US"/>
        </w:rPr>
        <w:t>)</w:t>
      </w:r>
      <w:r w:rsidRPr="004B694B">
        <w:rPr>
          <w:lang w:eastAsia="en-US"/>
        </w:rPr>
        <w:t>, příležitost pro obce i MAS</w:t>
      </w:r>
    </w:p>
    <w:p w14:paraId="39D30A9E" w14:textId="77777777" w:rsidR="00744776" w:rsidRPr="00DE38BF" w:rsidRDefault="00DE38BF" w:rsidP="00DE38BF">
      <w:pPr>
        <w:pStyle w:val="Odstavecseseznamem"/>
        <w:numPr>
          <w:ilvl w:val="0"/>
          <w:numId w:val="12"/>
        </w:numPr>
        <w:rPr>
          <w:rFonts w:eastAsia="Calibri"/>
          <w:szCs w:val="24"/>
          <w:lang w:eastAsia="en-US"/>
        </w:rPr>
      </w:pPr>
      <w:r>
        <w:rPr>
          <w:rFonts w:eastAsia="Calibri"/>
          <w:lang w:eastAsia="en-US"/>
        </w:rPr>
        <w:t>r</w:t>
      </w:r>
      <w:r w:rsidR="00AD2674" w:rsidRPr="00DE38BF">
        <w:rPr>
          <w:rFonts w:eastAsia="Calibri"/>
          <w:lang w:eastAsia="en-US"/>
        </w:rPr>
        <w:t xml:space="preserve">ozvoj venkovského cestovního ruchu a </w:t>
      </w:r>
      <w:proofErr w:type="spellStart"/>
      <w:r w:rsidR="00AD2674" w:rsidRPr="00DE38BF">
        <w:rPr>
          <w:rFonts w:eastAsia="Calibri"/>
          <w:lang w:eastAsia="en-US"/>
        </w:rPr>
        <w:t>agroturismu</w:t>
      </w:r>
      <w:proofErr w:type="spellEnd"/>
      <w:r w:rsidR="00AD2674" w:rsidRPr="00DE38BF">
        <w:rPr>
          <w:rFonts w:eastAsia="Calibri"/>
          <w:lang w:eastAsia="en-US"/>
        </w:rPr>
        <w:t xml:space="preserve"> jako nástroje pro diverzifikaci a oživení venkova</w:t>
      </w:r>
    </w:p>
    <w:p w14:paraId="704B288F" w14:textId="77777777" w:rsidR="00AD2674" w:rsidRPr="00642752" w:rsidRDefault="00AD2674" w:rsidP="00744776">
      <w:pPr>
        <w:ind w:left="720" w:firstLine="0"/>
        <w:contextualSpacing/>
        <w:rPr>
          <w:rFonts w:eastAsia="Calibri"/>
          <w:szCs w:val="24"/>
          <w:lang w:eastAsia="en-US"/>
        </w:rPr>
      </w:pPr>
    </w:p>
    <w:p w14:paraId="0E5FFC00" w14:textId="77777777" w:rsidR="00744776" w:rsidRPr="004B694B" w:rsidRDefault="00744776">
      <w:pPr>
        <w:ind w:firstLine="0"/>
        <w:contextualSpacing/>
        <w:rPr>
          <w:rFonts w:ascii="Calibri" w:eastAsia="Calibri" w:hAnsi="Calibri" w:cs="Calibri"/>
          <w:b/>
          <w:bCs/>
          <w:lang w:eastAsia="en-US"/>
        </w:rPr>
      </w:pPr>
      <w:r w:rsidRPr="004B694B">
        <w:rPr>
          <w:b/>
          <w:bCs/>
          <w:lang w:eastAsia="en-US"/>
        </w:rPr>
        <w:t>Hrozby</w:t>
      </w:r>
      <w:r w:rsidR="00346853">
        <w:rPr>
          <w:b/>
          <w:bCs/>
          <w:lang w:eastAsia="en-US"/>
        </w:rPr>
        <w:t xml:space="preserve"> (T)</w:t>
      </w:r>
      <w:r w:rsidRPr="004B694B">
        <w:rPr>
          <w:b/>
          <w:bCs/>
          <w:lang w:eastAsia="en-US"/>
        </w:rPr>
        <w:t>:</w:t>
      </w:r>
    </w:p>
    <w:p w14:paraId="13533DD5" w14:textId="77777777" w:rsidR="00744776" w:rsidRPr="004B694B" w:rsidRDefault="00744776" w:rsidP="00CC6BB3">
      <w:pPr>
        <w:numPr>
          <w:ilvl w:val="0"/>
          <w:numId w:val="11"/>
        </w:numPr>
        <w:contextualSpacing/>
        <w:rPr>
          <w:rFonts w:ascii="Calibri" w:eastAsia="Calibri" w:hAnsi="Calibri" w:cs="Calibri"/>
          <w:lang w:eastAsia="en-US"/>
        </w:rPr>
      </w:pPr>
      <w:r w:rsidRPr="004B694B">
        <w:rPr>
          <w:lang w:eastAsia="en-US"/>
        </w:rPr>
        <w:t>stárnutí populace ČR (nejen na venkově, ale obecně)</w:t>
      </w:r>
      <w:r w:rsidR="00447EC8">
        <w:rPr>
          <w:lang w:eastAsia="en-US"/>
        </w:rPr>
        <w:t>, nepříznivá věková struktura</w:t>
      </w:r>
      <w:r w:rsidR="006F5FDF">
        <w:rPr>
          <w:lang w:eastAsia="en-US"/>
        </w:rPr>
        <w:t>, odliv mladých lidí z venkova</w:t>
      </w:r>
    </w:p>
    <w:p w14:paraId="7B77BFD6" w14:textId="77777777" w:rsidR="00744776" w:rsidRPr="00346853" w:rsidRDefault="00C752F8" w:rsidP="00346853">
      <w:pPr>
        <w:numPr>
          <w:ilvl w:val="0"/>
          <w:numId w:val="11"/>
        </w:numPr>
        <w:contextualSpacing/>
        <w:rPr>
          <w:rFonts w:ascii="Calibri" w:eastAsia="Calibri" w:hAnsi="Calibri" w:cs="Calibri"/>
          <w:lang w:eastAsia="en-US"/>
        </w:rPr>
      </w:pPr>
      <w:r>
        <w:rPr>
          <w:lang w:eastAsia="en-US"/>
        </w:rPr>
        <w:t>zaostávání</w:t>
      </w:r>
      <w:r w:rsidR="00744776" w:rsidRPr="004B694B">
        <w:rPr>
          <w:lang w:eastAsia="en-US"/>
        </w:rPr>
        <w:t xml:space="preserve"> vzdělanostní struktury na venkově – odliv vzdělaných a vysoce kvalifikovaných pracovních sil do měst (včetně odlivu z lokalit ohrožených chudobou)</w:t>
      </w:r>
    </w:p>
    <w:p w14:paraId="3C075C12" w14:textId="77777777" w:rsidR="00744776" w:rsidRPr="004B694B" w:rsidRDefault="00744776" w:rsidP="00CC6BB3">
      <w:pPr>
        <w:numPr>
          <w:ilvl w:val="0"/>
          <w:numId w:val="11"/>
        </w:numPr>
        <w:contextualSpacing/>
        <w:rPr>
          <w:rFonts w:ascii="Calibri" w:eastAsia="Calibri" w:hAnsi="Calibri" w:cs="Calibri"/>
          <w:lang w:eastAsia="en-US"/>
        </w:rPr>
      </w:pPr>
      <w:r w:rsidRPr="004B694B">
        <w:rPr>
          <w:lang w:eastAsia="en-US"/>
        </w:rPr>
        <w:t>špatná dopravní obslužnost malých a odlehlých obcí</w:t>
      </w:r>
    </w:p>
    <w:p w14:paraId="0163E49A" w14:textId="77777777" w:rsidR="00744776" w:rsidRPr="004B694B" w:rsidRDefault="00744776" w:rsidP="00CC6BB3">
      <w:pPr>
        <w:numPr>
          <w:ilvl w:val="0"/>
          <w:numId w:val="11"/>
        </w:numPr>
        <w:contextualSpacing/>
        <w:rPr>
          <w:rFonts w:ascii="Calibri" w:eastAsia="Calibri" w:hAnsi="Calibri" w:cs="Calibri"/>
          <w:lang w:eastAsia="en-US"/>
        </w:rPr>
      </w:pPr>
      <w:r w:rsidRPr="004B694B">
        <w:rPr>
          <w:lang w:eastAsia="en-US"/>
        </w:rPr>
        <w:t>nárůst sociálně vyloučených lokalit na venkově</w:t>
      </w:r>
    </w:p>
    <w:p w14:paraId="7045950D" w14:textId="77777777" w:rsidR="00744776" w:rsidRPr="004B694B" w:rsidRDefault="00744776" w:rsidP="00CC6BB3">
      <w:pPr>
        <w:numPr>
          <w:ilvl w:val="0"/>
          <w:numId w:val="11"/>
        </w:numPr>
        <w:contextualSpacing/>
        <w:rPr>
          <w:rFonts w:ascii="Calibri" w:eastAsia="Calibri" w:hAnsi="Calibri" w:cs="Calibri"/>
          <w:lang w:eastAsia="en-US"/>
        </w:rPr>
      </w:pPr>
      <w:proofErr w:type="spellStart"/>
      <w:r w:rsidRPr="004B694B">
        <w:rPr>
          <w:lang w:eastAsia="en-US"/>
        </w:rPr>
        <w:lastRenderedPageBreak/>
        <w:t>relokalizace</w:t>
      </w:r>
      <w:proofErr w:type="spellEnd"/>
      <w:r w:rsidRPr="004B694B">
        <w:rPr>
          <w:lang w:eastAsia="en-US"/>
        </w:rPr>
        <w:t xml:space="preserve"> podnikatelských aktivit negativně ovlivňujících životní prostředí a rezidenční funkci z měst na venkov</w:t>
      </w:r>
    </w:p>
    <w:p w14:paraId="3873FAE7" w14:textId="77777777" w:rsidR="00744776" w:rsidRPr="004B694B" w:rsidRDefault="00C64991" w:rsidP="00CC6BB3">
      <w:pPr>
        <w:numPr>
          <w:ilvl w:val="0"/>
          <w:numId w:val="11"/>
        </w:numPr>
        <w:contextualSpacing/>
        <w:rPr>
          <w:rFonts w:ascii="Calibri" w:eastAsia="Calibri" w:hAnsi="Calibri" w:cs="Calibri"/>
          <w:lang w:eastAsia="en-US"/>
        </w:rPr>
      </w:pPr>
      <w:r>
        <w:rPr>
          <w:lang w:eastAsia="en-US"/>
        </w:rPr>
        <w:t xml:space="preserve">obecně vysoká </w:t>
      </w:r>
      <w:r w:rsidR="00744776" w:rsidRPr="004B694B">
        <w:rPr>
          <w:lang w:eastAsia="en-US"/>
        </w:rPr>
        <w:t xml:space="preserve">administrativní náročnost pro získání podpor </w:t>
      </w:r>
    </w:p>
    <w:p w14:paraId="546D3394" w14:textId="77777777" w:rsidR="00744776" w:rsidRPr="004B694B" w:rsidRDefault="00C64991" w:rsidP="00CC6BB3">
      <w:pPr>
        <w:numPr>
          <w:ilvl w:val="0"/>
          <w:numId w:val="11"/>
        </w:numPr>
        <w:contextualSpacing/>
        <w:rPr>
          <w:rFonts w:ascii="Calibri" w:eastAsia="Calibri" w:hAnsi="Calibri" w:cs="Calibri"/>
          <w:lang w:eastAsia="en-US"/>
        </w:rPr>
      </w:pPr>
      <w:r>
        <w:rPr>
          <w:lang w:eastAsia="en-US"/>
        </w:rPr>
        <w:t>omezení</w:t>
      </w:r>
      <w:r w:rsidRPr="004B694B">
        <w:rPr>
          <w:lang w:eastAsia="en-US"/>
        </w:rPr>
        <w:t xml:space="preserve"> </w:t>
      </w:r>
      <w:r w:rsidR="00744776" w:rsidRPr="004B694B">
        <w:rPr>
          <w:lang w:eastAsia="en-US"/>
        </w:rPr>
        <w:t xml:space="preserve">podpor veřejných zdrojů (např. fondy EU) </w:t>
      </w:r>
    </w:p>
    <w:p w14:paraId="7C608F6D" w14:textId="77777777" w:rsidR="0060489F" w:rsidRDefault="0060489F">
      <w:pPr>
        <w:spacing w:before="0" w:after="160" w:line="259" w:lineRule="auto"/>
        <w:ind w:firstLine="0"/>
        <w:jc w:val="left"/>
        <w:rPr>
          <w:rFonts w:ascii="Calibri" w:eastAsia="Calibri" w:hAnsi="Calibri"/>
          <w:sz w:val="22"/>
          <w:szCs w:val="22"/>
          <w:lang w:eastAsia="en-US"/>
        </w:rPr>
      </w:pPr>
      <w:r>
        <w:rPr>
          <w:rFonts w:ascii="Calibri" w:eastAsia="Calibri" w:hAnsi="Calibri"/>
          <w:sz w:val="22"/>
          <w:szCs w:val="22"/>
          <w:lang w:eastAsia="en-US"/>
        </w:rPr>
        <w:br w:type="page"/>
      </w:r>
    </w:p>
    <w:p w14:paraId="1F6B408F" w14:textId="77777777" w:rsidR="00040D89" w:rsidRDefault="00040D89" w:rsidP="0060489F">
      <w:pPr>
        <w:pStyle w:val="Nadpis1"/>
        <w:numPr>
          <w:ilvl w:val="0"/>
          <w:numId w:val="2"/>
        </w:numPr>
        <w:ind w:left="426"/>
      </w:pPr>
      <w:bookmarkStart w:id="31" w:name="_Toc525823163"/>
      <w:bookmarkStart w:id="32" w:name="_Toc525825202"/>
      <w:r>
        <w:rPr>
          <w:lang w:val="cs-CZ"/>
        </w:rPr>
        <w:lastRenderedPageBreak/>
        <w:t>Stanovení potřeb a jejich zdůvodnění</w:t>
      </w:r>
      <w:bookmarkEnd w:id="31"/>
      <w:bookmarkEnd w:id="32"/>
    </w:p>
    <w:p w14:paraId="70988071" w14:textId="77777777" w:rsidR="00040D89" w:rsidRDefault="00040D89" w:rsidP="00040D89">
      <w:pPr>
        <w:ind w:firstLine="0"/>
        <w:rPr>
          <w:b/>
        </w:rPr>
      </w:pPr>
    </w:p>
    <w:p w14:paraId="25846EBB" w14:textId="77777777" w:rsidR="00040D89" w:rsidRPr="0060489F" w:rsidRDefault="00040D89" w:rsidP="00040D89">
      <w:pPr>
        <w:ind w:firstLine="0"/>
        <w:rPr>
          <w:b/>
          <w:u w:val="single"/>
        </w:rPr>
      </w:pPr>
      <w:r w:rsidRPr="0060489F">
        <w:rPr>
          <w:b/>
          <w:u w:val="single"/>
        </w:rPr>
        <w:t>Potřeba 1</w:t>
      </w:r>
    </w:p>
    <w:p w14:paraId="6498C330" w14:textId="77777777" w:rsidR="00040D89" w:rsidRPr="00864495" w:rsidRDefault="00234E80" w:rsidP="00346853">
      <w:pPr>
        <w:ind w:firstLine="0"/>
        <w:rPr>
          <w:b/>
        </w:rPr>
      </w:pPr>
      <w:r>
        <w:rPr>
          <w:b/>
        </w:rPr>
        <w:t>Zvýšení a stabilizace</w:t>
      </w:r>
      <w:r w:rsidR="00040D89">
        <w:rPr>
          <w:b/>
        </w:rPr>
        <w:t xml:space="preserve"> podnikatelských aktivit</w:t>
      </w:r>
      <w:r w:rsidR="00040D89" w:rsidRPr="00864495">
        <w:rPr>
          <w:b/>
        </w:rPr>
        <w:t xml:space="preserve"> na venkově</w:t>
      </w:r>
      <w:r w:rsidR="0081343C">
        <w:rPr>
          <w:b/>
        </w:rPr>
        <w:t xml:space="preserve"> s ohledem na udržitelný rozvoj venkovského prostředí</w:t>
      </w:r>
    </w:p>
    <w:p w14:paraId="5384FEAC" w14:textId="77777777" w:rsidR="00040D89" w:rsidRDefault="00040D89" w:rsidP="00040D89">
      <w:r>
        <w:t>Zdůvodnění</w:t>
      </w:r>
    </w:p>
    <w:p w14:paraId="302AFE74" w14:textId="77777777" w:rsidR="00040D89" w:rsidRDefault="00040D89" w:rsidP="00040D89">
      <w:r>
        <w:t>V posledních letech docházelo k tvorbě nových pracovních míst ve městech i na venkově, nicméně i tak zůstává na venkově nižší nabídka volných pracovních míst a vyšší počet dosažitelných uchazečů na jedno volné pracovní místo (zejména pak v nejmenších obcí</w:t>
      </w:r>
      <w:r w:rsidR="00AD2674">
        <w:t>ch</w:t>
      </w:r>
      <w:r>
        <w:t xml:space="preserve"> do 99 obyvatel je to 5,4; u kategorie 100-199 obyvatel je hodnota 3,5, u kategorie 200-999 obyvatel pak v průměru 2,35). I při nízké nezaměstnanosti tak ekonomicky aktivní obyvatelstvo především z nejmenších venkovských obcí dojíždí za prací do větších sídel (měst). </w:t>
      </w:r>
      <w:r w:rsidR="000B11C5">
        <w:t>Dalším důvodem je nižší mzdová úroveň ve venkovských oblastech.</w:t>
      </w:r>
      <w:r w:rsidR="003D6D98">
        <w:t xml:space="preserve"> Ve venkovských oblastech je také horší kvalifikační struktura.</w:t>
      </w:r>
      <w:r w:rsidR="000B11C5">
        <w:t xml:space="preserve"> </w:t>
      </w:r>
      <w:r>
        <w:t>Potřeba zvýšení (rozšíření stávajících) podnikatelských aktivit v místě se ukazuje jako žádoucí pro jeho oživení.</w:t>
      </w:r>
    </w:p>
    <w:p w14:paraId="7C70662E" w14:textId="77777777" w:rsidR="00040D89" w:rsidRDefault="00040D89" w:rsidP="00040D89">
      <w:r>
        <w:t xml:space="preserve">V ČR existuje stále nízká úroveň diverzifikace zemědělských podniků (12,6 % v roce 2016), což je nižší než průměr EU a nižší než některé členské země, které vykazují hodnoty vyšší než 50 % (Dánsko, Rakousko). Diverzifikace a s tím spojená příjmová </w:t>
      </w:r>
      <w:proofErr w:type="spellStart"/>
      <w:r>
        <w:t>vícezdrojovost</w:t>
      </w:r>
      <w:proofErr w:type="spellEnd"/>
      <w:r>
        <w:t xml:space="preserve"> podporuje nejen zvýšení stability příjmu a snížení rizika podnikání, ale akceleruje i vznik nových pracovních míst na venkově, které nemusí přímo souviset se zemědělstvím (agroturistika, obnovitelné zdroje energie, služby atp.)</w:t>
      </w:r>
      <w:r w:rsidR="00B41081">
        <w:t>. Na venkově dále zůstává řada</w:t>
      </w:r>
      <w:r w:rsidR="0043761F">
        <w:t xml:space="preserve"> zemědělských </w:t>
      </w:r>
      <w:r w:rsidR="00346853">
        <w:t>brownfields</w:t>
      </w:r>
      <w:r w:rsidR="0043761F">
        <w:t>, které by mohly být revitalizovány a využity pro rozvoj podnikatelských aktivit na venkově</w:t>
      </w:r>
      <w:r w:rsidR="009E369D">
        <w:t xml:space="preserve"> (nejen těch zemědělských).</w:t>
      </w:r>
      <w:r>
        <w:t xml:space="preserve"> </w:t>
      </w:r>
    </w:p>
    <w:p w14:paraId="7F0CDBD5" w14:textId="77777777" w:rsidR="00E91561" w:rsidRDefault="00040D89" w:rsidP="00DE38BF">
      <w:pPr>
        <w:rPr>
          <w:b/>
        </w:rPr>
      </w:pPr>
      <w:r>
        <w:t xml:space="preserve">Nedílnou součástí tohoto procesu je také </w:t>
      </w:r>
      <w:r w:rsidR="008E69CA">
        <w:t xml:space="preserve">další zvyšování </w:t>
      </w:r>
      <w:r>
        <w:t>podpor</w:t>
      </w:r>
      <w:r w:rsidR="008E69CA">
        <w:t>y</w:t>
      </w:r>
      <w:r>
        <w:t xml:space="preserve"> digitálního pokrytí, tak aby některé pozice, dosud vyžadující dojíždění do měst, mohly být dislokovány na venkov.</w:t>
      </w:r>
      <w:r w:rsidR="00E91561">
        <w:t xml:space="preserve"> </w:t>
      </w:r>
      <w:r w:rsidR="00E91561" w:rsidRPr="00447EC8">
        <w:t>Podporou práce z domova a inteligentní změnou procesů souvisejících s digitalizací společnosti radikálně omezit nutnost každodenního dojíždění do práce, dosáhnout úsporu času a nákladů pro zaměstnavatele i zaměstnance a výraznou redukcí potřeby dopravy přispět k její udržitelnosti a ke snížení škodlivých emisí, přispívat k udržení rovnoměrného osídlení území a zabránit vysídlování venkova.</w:t>
      </w:r>
      <w:r w:rsidR="00E91561">
        <w:rPr>
          <w:b/>
        </w:rPr>
        <w:t xml:space="preserve"> </w:t>
      </w:r>
    </w:p>
    <w:p w14:paraId="2B5A7497" w14:textId="77777777" w:rsidR="00E91561" w:rsidRDefault="00E91561" w:rsidP="00DE38BF">
      <w:pPr>
        <w:ind w:firstLine="0"/>
      </w:pPr>
      <w:r>
        <w:t xml:space="preserve">Významná část dopravní zátěže území je způsobena každodenní nutností dojíždění do práce. To má kromě nákladů a neproduktivního času na straně zaměstnavatelů i zaměstnanců za následek zvyšování dopravní hustoty a produkce škodlivých emisí včetně skleníkových plynů. Tato skutečnost zároveň s potřebou zajištění dostupnosti práce dále přispívá ke zvyšování nerovnoměrností v osídlení území v důsledku stěhování obyvatel do metropolí a jejich nejbližšího okolí se všemi negativními důsledky, které z toho vyplývají. </w:t>
      </w:r>
    </w:p>
    <w:p w14:paraId="48378239" w14:textId="77777777" w:rsidR="00040D89" w:rsidRPr="00E91561" w:rsidRDefault="00040D89" w:rsidP="00040D89"/>
    <w:p w14:paraId="148B957C" w14:textId="77777777" w:rsidR="00040D89" w:rsidRDefault="00040D89" w:rsidP="00040D89">
      <w:pPr>
        <w:rPr>
          <w:b/>
        </w:rPr>
      </w:pPr>
      <w:r w:rsidRPr="00346853">
        <w:rPr>
          <w:b/>
        </w:rPr>
        <w:lastRenderedPageBreak/>
        <w:t>Zdůvodnění podle kritérií (1-5 bodů, 5=nejdůležitější):</w:t>
      </w:r>
    </w:p>
    <w:p w14:paraId="49F2622E" w14:textId="77777777" w:rsidR="00040D89" w:rsidRPr="001B5F29" w:rsidRDefault="00040D89" w:rsidP="00040D89">
      <w:pPr>
        <w:rPr>
          <w:u w:val="single"/>
        </w:rPr>
      </w:pPr>
      <w:r w:rsidRPr="001B5F29">
        <w:rPr>
          <w:u w:val="single"/>
        </w:rPr>
        <w:t>Kritérium 1 „Podíl ploch/podniků, kterých se problém týká“</w:t>
      </w:r>
    </w:p>
    <w:p w14:paraId="72AD5806" w14:textId="77777777" w:rsidR="00040D89" w:rsidRDefault="00040D89" w:rsidP="00040D89">
      <w:pPr>
        <w:rPr>
          <w:b/>
        </w:rPr>
      </w:pPr>
      <w:r w:rsidRPr="00EC3321">
        <w:rPr>
          <w:b/>
        </w:rPr>
        <w:t>4 body</w:t>
      </w:r>
    </w:p>
    <w:p w14:paraId="7F16CBCC" w14:textId="77777777" w:rsidR="00040D89" w:rsidRDefault="00040D89" w:rsidP="00040D89">
      <w:r>
        <w:t>Nízká úroveň diverzifikace, vysoký počet dosažitelných uchazečů o práci na jedno volné pracovní místo ve venkovských obcích</w:t>
      </w:r>
      <w:r w:rsidR="008D35FD">
        <w:t>, obecně nižší mzdová úroveň na venkově</w:t>
      </w:r>
      <w:r w:rsidR="0081343C">
        <w:t>, bývalé průmyslové a zemědělské výrobní areály (brownfields)</w:t>
      </w:r>
    </w:p>
    <w:p w14:paraId="2895476C" w14:textId="77777777" w:rsidR="00040D89" w:rsidRDefault="00040D89" w:rsidP="00040D89"/>
    <w:p w14:paraId="01E1CCE2" w14:textId="77777777" w:rsidR="00040D89" w:rsidRPr="001B5F29" w:rsidRDefault="00040D89" w:rsidP="00040D89">
      <w:pPr>
        <w:rPr>
          <w:u w:val="single"/>
        </w:rPr>
      </w:pPr>
      <w:r w:rsidRPr="001B5F29">
        <w:rPr>
          <w:u w:val="single"/>
        </w:rPr>
        <w:t>Kritérium 2 „Závažnost problému“</w:t>
      </w:r>
    </w:p>
    <w:p w14:paraId="4E7DBAFD" w14:textId="77777777" w:rsidR="00040D89" w:rsidRDefault="00040D89" w:rsidP="00040D89">
      <w:pPr>
        <w:rPr>
          <w:b/>
        </w:rPr>
      </w:pPr>
      <w:r>
        <w:rPr>
          <w:b/>
        </w:rPr>
        <w:t>3</w:t>
      </w:r>
      <w:r w:rsidRPr="00EC3321">
        <w:rPr>
          <w:b/>
        </w:rPr>
        <w:t xml:space="preserve"> body</w:t>
      </w:r>
    </w:p>
    <w:p w14:paraId="487B614A" w14:textId="77777777" w:rsidR="00040D89" w:rsidRDefault="00040D89" w:rsidP="00040D89">
      <w:r>
        <w:t>Zejména v malých obcích do 99 obyvatel je více než 5 uchazečů na 1 volné pracovní místo (ale i v současné době v roce 2018 jsou si tito obyvatelé schopni nalézt práci mimo své bydliště), oživení venkova by ale prospělo, kdyby se více aktivit odehrávalo přímo v místě. Míra diverzifikace je u českých zemědělských podniků nízká (12,6 %).</w:t>
      </w:r>
      <w:r w:rsidR="00D121AA">
        <w:t xml:space="preserve"> Převážně venkovské regiony vykazovaly v průměru o 8 tis. Kč/měsíc nižší průměrné mzdy než regiony převážně městské.</w:t>
      </w:r>
      <w:r>
        <w:t xml:space="preserve"> </w:t>
      </w:r>
      <w:r w:rsidR="0081343C">
        <w:t xml:space="preserve">Náklady na rozvoj podnikatelských aktivit jsou na venkově ekonomicky </w:t>
      </w:r>
      <w:r w:rsidR="00F83661">
        <w:t>únosnější</w:t>
      </w:r>
      <w:r w:rsidR="0081343C">
        <w:t xml:space="preserve"> než ve městě. Celá řada brownfields přestavuje potenciální prostory pro rozvoj podnikatelských aktivit, revitalizací brownfields zároveň dojde ke zlepšení prostředí obcí.</w:t>
      </w:r>
    </w:p>
    <w:p w14:paraId="40503B82" w14:textId="77777777" w:rsidR="00040D89" w:rsidRDefault="00040D89" w:rsidP="00040D89">
      <w:pPr>
        <w:rPr>
          <w:u w:val="single"/>
        </w:rPr>
      </w:pPr>
    </w:p>
    <w:p w14:paraId="6107CC15" w14:textId="77777777" w:rsidR="00040D89" w:rsidRPr="001B5F29" w:rsidRDefault="00040D89" w:rsidP="00040D89">
      <w:pPr>
        <w:rPr>
          <w:u w:val="single"/>
        </w:rPr>
      </w:pPr>
      <w:r w:rsidRPr="001B5F29">
        <w:rPr>
          <w:u w:val="single"/>
        </w:rPr>
        <w:t>Kritérium 3 „Veřejný zájem“</w:t>
      </w:r>
    </w:p>
    <w:p w14:paraId="032D2404" w14:textId="77777777" w:rsidR="00040D89" w:rsidRDefault="00040D89" w:rsidP="00040D89">
      <w:pPr>
        <w:rPr>
          <w:b/>
        </w:rPr>
      </w:pPr>
      <w:r>
        <w:rPr>
          <w:b/>
        </w:rPr>
        <w:t>4</w:t>
      </w:r>
      <w:r w:rsidRPr="001B5F29">
        <w:rPr>
          <w:b/>
        </w:rPr>
        <w:t xml:space="preserve"> body</w:t>
      </w:r>
    </w:p>
    <w:p w14:paraId="75CB4D85" w14:textId="77777777" w:rsidR="00040D89" w:rsidRDefault="00040D89" w:rsidP="00040D89">
      <w:r>
        <w:t>Ve veřejném zájmu je stabilizovat venkovské osídlení</w:t>
      </w:r>
      <w:r w:rsidR="0081343C">
        <w:t xml:space="preserve">, pokud možno iniciovat vznik podmínek, které pozitivně ovlivní rozhodování stávajících či potenciálních residentů, aby žili a pracovali na venkově. </w:t>
      </w:r>
      <w:r w:rsidR="009E2E85">
        <w:t>V</w:t>
      </w:r>
      <w:r>
        <w:t xml:space="preserve">eřejný zájem lze </w:t>
      </w:r>
      <w:r w:rsidR="009E2E85">
        <w:t xml:space="preserve">rovněž </w:t>
      </w:r>
      <w:r>
        <w:t>spatřovat v oživení nejen odlehlých venkovských míst</w:t>
      </w:r>
      <w:r w:rsidR="009E2E85">
        <w:t>, rozvoj pracovních příležitostí, potažmo revitalizace obcí a opuštěných areálů může nepřímo napomoci k oživení či nastartování komunitního života v obcích</w:t>
      </w:r>
      <w:r>
        <w:t xml:space="preserve">. Veřejným zájmem je rovněž poskytování služeb pro místní obyvatele venkova a </w:t>
      </w:r>
      <w:r w:rsidR="004868A6">
        <w:t>trvalá udržitelnost přírody a jejich ekosystémů</w:t>
      </w:r>
      <w:r>
        <w:t>, zdravý způsob života (venkovská turistika apod.).</w:t>
      </w:r>
    </w:p>
    <w:p w14:paraId="1369DDA2" w14:textId="77777777" w:rsidR="0015433A" w:rsidRPr="009B10FF" w:rsidRDefault="00F51E88" w:rsidP="00040D89">
      <w:pPr>
        <w:rPr>
          <w:b/>
        </w:rPr>
      </w:pPr>
      <w:r w:rsidRPr="009B10FF">
        <w:rPr>
          <w:b/>
          <w:caps/>
        </w:rPr>
        <w:t>POČET BODů</w:t>
      </w:r>
      <w:r w:rsidRPr="009B10FF">
        <w:rPr>
          <w:b/>
        </w:rPr>
        <w:t xml:space="preserve"> (vážený průměr) = 73</w:t>
      </w:r>
      <w:r w:rsidR="009B10FF" w:rsidRPr="009B10FF">
        <w:rPr>
          <w:b/>
        </w:rPr>
        <w:t xml:space="preserve"> (ze 100)</w:t>
      </w:r>
    </w:p>
    <w:p w14:paraId="5F685310" w14:textId="77777777" w:rsidR="0060489F" w:rsidRDefault="0060489F" w:rsidP="00040D89">
      <w:pPr>
        <w:ind w:firstLine="0"/>
        <w:rPr>
          <w:b/>
        </w:rPr>
      </w:pPr>
    </w:p>
    <w:p w14:paraId="40476408" w14:textId="77777777" w:rsidR="00040D89" w:rsidRPr="0060489F" w:rsidRDefault="00040D89" w:rsidP="00040D89">
      <w:pPr>
        <w:ind w:firstLine="0"/>
        <w:rPr>
          <w:b/>
          <w:u w:val="single"/>
        </w:rPr>
      </w:pPr>
      <w:r w:rsidRPr="0060489F">
        <w:rPr>
          <w:b/>
          <w:u w:val="single"/>
        </w:rPr>
        <w:t>Potřeba 2</w:t>
      </w:r>
    </w:p>
    <w:p w14:paraId="0DD54ADF" w14:textId="77777777" w:rsidR="00040D89" w:rsidRPr="00044901" w:rsidRDefault="00040D89" w:rsidP="00346853">
      <w:pPr>
        <w:ind w:firstLine="0"/>
        <w:rPr>
          <w:b/>
        </w:rPr>
      </w:pPr>
      <w:r w:rsidRPr="00044901">
        <w:rPr>
          <w:b/>
        </w:rPr>
        <w:t>Zlepšit úroveň vybavenosti venkova</w:t>
      </w:r>
    </w:p>
    <w:p w14:paraId="4AA5F6D2" w14:textId="77777777" w:rsidR="00040D89" w:rsidRDefault="00040D89" w:rsidP="00040D89">
      <w:r>
        <w:t>Zdůvodnění</w:t>
      </w:r>
    </w:p>
    <w:p w14:paraId="5BFABDC3" w14:textId="77777777" w:rsidR="00040D89" w:rsidRDefault="00040D89" w:rsidP="00040D89">
      <w:r>
        <w:t xml:space="preserve">V ČR je na kanalizaci napojeno 75 % obcí do 2 tis. obyvatel, na ČOV 48 %. Možnost připojení k veřejnému vodovodu mají domy v 87 % obcích do 2 tis. obyvatel. Z šetření Svazu měst a obcí (2018) vyplývá, že nejvíce obcí do 2 tis. obyvatel uvedlo jako problém špatný stav pozemních komunikací a špatný stav nebo chybějící chodníky (průměr za sledované obce 4,5 </w:t>
      </w:r>
      <w:r>
        <w:lastRenderedPageBreak/>
        <w:t xml:space="preserve">bodů na škále 1-5, přičemž 5 vyjadřuje největší důležitost potřeby). Dále obce do 2 tis. obyvatel uvedly potřeby zjednodušení převodu státního majetku (4,0 bodů), potřeby rekonstrukce a revitalizace veřejných budov (3,9 bodů), nakládání s odpady (3,7), potřeby ČOV a kanalizace (3,6), potřeby polních cest a stromořadí (3,6), dostupnost lékařské péče (3,5), investiční náklady do volnočasových zařízení (3,4), vysokorychlostní internet (3,4) a první desítku potřeby k financování u obcí do 2 tis. obyvatel uzavírají sociální služby (3,3). Téměř polovina obcí do 3 tis. obyvatel není o víkendech obsluhována veřejnou dopravou (nejvíce postižen je Plzeňský kraj, Jihočeský kraj a kraj Vysočina). V převážně venkovských a smíšených venkovských oblastech je nižší penetrace NGA přípojkami (umožňujících poskytování služeb vysokorychlostního internetu o rychlosti 30 </w:t>
      </w:r>
      <w:proofErr w:type="spellStart"/>
      <w:r>
        <w:t>Mbit</w:t>
      </w:r>
      <w:proofErr w:type="spellEnd"/>
      <w:r>
        <w:t xml:space="preserve">/s a více) než v oblastech městských (cca 72 % v oblastech venkovských a smíšených; 79,1 % v oblastech městských). </w:t>
      </w:r>
      <w:r w:rsidR="004A5277">
        <w:t>Ze šetření MAS (2018) vyplynulo, že je na venkově nedostatek volnočasových aktivit pro děti a mládež a sociálních služeb pro rodiny v nepříznivé sociální situaci.</w:t>
      </w:r>
    </w:p>
    <w:p w14:paraId="3D4EDC20" w14:textId="77777777" w:rsidR="00040D89" w:rsidRDefault="00040D89" w:rsidP="00040D89"/>
    <w:p w14:paraId="155F7BE3" w14:textId="77777777" w:rsidR="00346853" w:rsidRDefault="00346853" w:rsidP="00346853">
      <w:pPr>
        <w:rPr>
          <w:b/>
        </w:rPr>
      </w:pPr>
      <w:r w:rsidRPr="00346853">
        <w:rPr>
          <w:b/>
        </w:rPr>
        <w:t>Zdůvodnění podle kritérií (1-5 bodů, 5=nejdůležitější):</w:t>
      </w:r>
    </w:p>
    <w:p w14:paraId="0B207927" w14:textId="77777777" w:rsidR="00040D89" w:rsidRPr="001B5F29" w:rsidRDefault="00040D89" w:rsidP="00040D89">
      <w:pPr>
        <w:rPr>
          <w:u w:val="single"/>
        </w:rPr>
      </w:pPr>
      <w:r w:rsidRPr="001B5F29">
        <w:rPr>
          <w:u w:val="single"/>
        </w:rPr>
        <w:t>Kritérium 1 „Podíl ploch/podniků, kterých se problém týká“</w:t>
      </w:r>
    </w:p>
    <w:p w14:paraId="77D47DCB" w14:textId="77777777" w:rsidR="00040D89" w:rsidRDefault="00040D89" w:rsidP="00040D89">
      <w:pPr>
        <w:rPr>
          <w:b/>
        </w:rPr>
      </w:pPr>
      <w:r>
        <w:rPr>
          <w:b/>
        </w:rPr>
        <w:t>3</w:t>
      </w:r>
      <w:r w:rsidRPr="001B5F29">
        <w:rPr>
          <w:b/>
        </w:rPr>
        <w:t xml:space="preserve"> body</w:t>
      </w:r>
    </w:p>
    <w:p w14:paraId="2DEAD087" w14:textId="77777777" w:rsidR="00040D89" w:rsidRDefault="00040D89" w:rsidP="00040D89">
      <w:r>
        <w:t xml:space="preserve">U kanalizací se problém týká 25 % obcí do 2 tis. obyvatel, u veřejných vodovodů 13 % obcí do 2 tis. obyvatel, u napojení na ČOV je problém silnější (chybí u 52 % obcí do 2 tis. obyvatel). Téměř 50 % obcí do 3 tis. obyvatel není přes víkend obsluhována veřejnou dopravou). Z šetření </w:t>
      </w:r>
      <w:r w:rsidR="005E6C4F">
        <w:t xml:space="preserve">SMO </w:t>
      </w:r>
      <w:r>
        <w:t>(2018) vyplývá potřeba řešit především špatný stav pozemních komunikací nebo chybějící chodníky</w:t>
      </w:r>
      <w:r w:rsidR="007A7059">
        <w:t>, revitalizaci a rekonstrukci veřejných budov, nakládání s odpady či potřebu polních cest a stromořadí</w:t>
      </w:r>
      <w:r>
        <w:t>.</w:t>
      </w:r>
      <w:r w:rsidR="00C7205A">
        <w:t xml:space="preserve"> Ve venkovských oblastech je zaznamenána vyšší míra třídění odpadu ve srovnání s průměrem ČR,</w:t>
      </w:r>
      <w:r w:rsidR="00F15DED">
        <w:t xml:space="preserve"> i tak je obecně podíl skládkování relativně vysoký (v ČR 45 % v roce 2016). Do roku 2020 by měl tento podíl klesnout na 30 %</w:t>
      </w:r>
      <w:r w:rsidR="00EA654B">
        <w:t>, což vyvine další tlak na lepší hospodaření s odpady na venkově (a nejen na venkově).</w:t>
      </w:r>
    </w:p>
    <w:p w14:paraId="244EA795" w14:textId="77777777" w:rsidR="00040D89" w:rsidRDefault="00040D89" w:rsidP="00040D89"/>
    <w:p w14:paraId="787FBF1D" w14:textId="77777777" w:rsidR="00040D89" w:rsidRPr="001B5F29" w:rsidRDefault="00040D89" w:rsidP="00040D89">
      <w:pPr>
        <w:rPr>
          <w:u w:val="single"/>
        </w:rPr>
      </w:pPr>
      <w:r w:rsidRPr="001B5F29">
        <w:rPr>
          <w:u w:val="single"/>
        </w:rPr>
        <w:t>Kritérium 2 „Závažnost problému“</w:t>
      </w:r>
    </w:p>
    <w:p w14:paraId="57D3C062" w14:textId="77777777" w:rsidR="00040D89" w:rsidRDefault="00040D89" w:rsidP="00040D89">
      <w:pPr>
        <w:rPr>
          <w:b/>
        </w:rPr>
      </w:pPr>
      <w:r w:rsidRPr="001B5F29">
        <w:rPr>
          <w:b/>
        </w:rPr>
        <w:t>3 body</w:t>
      </w:r>
    </w:p>
    <w:p w14:paraId="71884B63" w14:textId="77777777" w:rsidR="00040D89" w:rsidRDefault="00040D89" w:rsidP="00040D89">
      <w:r>
        <w:t>Špatný stav pozemních komunikací považuje za velmi vážný problém většina venkovských obcí (šetření MPO, 2018). Napojení na ČOV chybí většině obcí do 2 tis. obyvatel. Vysokorychlostním internetem s nadpoloviční penetrací sídelních jednotek sítěmi NGA není pokryto zhruba 30 % území venkovských regionů.</w:t>
      </w:r>
    </w:p>
    <w:p w14:paraId="14C1025D" w14:textId="77777777" w:rsidR="00346853" w:rsidRDefault="00346853" w:rsidP="00040D89"/>
    <w:p w14:paraId="4B8464C1" w14:textId="77777777" w:rsidR="00346853" w:rsidRDefault="00346853" w:rsidP="00040D89"/>
    <w:p w14:paraId="311A1815" w14:textId="77777777" w:rsidR="00346853" w:rsidRDefault="00346853" w:rsidP="00040D89"/>
    <w:p w14:paraId="511A9A8B" w14:textId="77777777" w:rsidR="00040D89" w:rsidRPr="001B5F29" w:rsidRDefault="00040D89" w:rsidP="00040D89">
      <w:pPr>
        <w:rPr>
          <w:u w:val="single"/>
        </w:rPr>
      </w:pPr>
      <w:r w:rsidRPr="001B5F29">
        <w:rPr>
          <w:u w:val="single"/>
        </w:rPr>
        <w:lastRenderedPageBreak/>
        <w:t>Kritérium 3 „Veřejný zájem“</w:t>
      </w:r>
    </w:p>
    <w:p w14:paraId="04A7BA30" w14:textId="77777777" w:rsidR="00040D89" w:rsidRDefault="00040D89" w:rsidP="00040D89">
      <w:pPr>
        <w:rPr>
          <w:b/>
        </w:rPr>
      </w:pPr>
      <w:r>
        <w:rPr>
          <w:b/>
        </w:rPr>
        <w:t>4</w:t>
      </w:r>
      <w:r w:rsidRPr="001B5F29">
        <w:rPr>
          <w:b/>
        </w:rPr>
        <w:t xml:space="preserve"> body</w:t>
      </w:r>
    </w:p>
    <w:p w14:paraId="319E884C" w14:textId="77777777" w:rsidR="00040D89" w:rsidRDefault="00040D89" w:rsidP="00040D89">
      <w:r>
        <w:t xml:space="preserve">Ve veřejném zájmu je stabilizovat venkovské osídlení. Podpora vybavenosti pomůže oživení venkova a zatraktivnění dané lokality. Lepší infrastruktura s sebou nese i vyšší šanci na rozvoj podnikatelských aktivit. </w:t>
      </w:r>
    </w:p>
    <w:p w14:paraId="29DFA2AD" w14:textId="77777777" w:rsidR="009B10FF" w:rsidRPr="009B10FF" w:rsidRDefault="009B10FF" w:rsidP="009B10FF">
      <w:pPr>
        <w:rPr>
          <w:b/>
        </w:rPr>
      </w:pPr>
      <w:r w:rsidRPr="009B10FF">
        <w:rPr>
          <w:b/>
          <w:caps/>
        </w:rPr>
        <w:t>POČET BODů</w:t>
      </w:r>
      <w:r w:rsidRPr="009B10FF">
        <w:rPr>
          <w:b/>
        </w:rPr>
        <w:t xml:space="preserve"> (vážený průměr) = </w:t>
      </w:r>
      <w:r>
        <w:rPr>
          <w:b/>
        </w:rPr>
        <w:t>65</w:t>
      </w:r>
      <w:r w:rsidRPr="009B10FF">
        <w:rPr>
          <w:b/>
        </w:rPr>
        <w:t xml:space="preserve"> (ze 100)</w:t>
      </w:r>
    </w:p>
    <w:p w14:paraId="0370A33D" w14:textId="77777777" w:rsidR="009103AD" w:rsidRDefault="009103AD" w:rsidP="00040D89"/>
    <w:p w14:paraId="13330D37" w14:textId="77777777" w:rsidR="004114DF" w:rsidRPr="00346853" w:rsidRDefault="004114DF" w:rsidP="00040D89">
      <w:pPr>
        <w:rPr>
          <w:b/>
        </w:rPr>
      </w:pPr>
      <w:r w:rsidRPr="00346853">
        <w:rPr>
          <w:b/>
        </w:rPr>
        <w:t>Možné intervence</w:t>
      </w:r>
      <w:r w:rsidR="00887D8F" w:rsidRPr="00346853">
        <w:rPr>
          <w:b/>
        </w:rPr>
        <w:t xml:space="preserve"> – např. článek 69</w:t>
      </w:r>
      <w:r w:rsidRPr="00346853">
        <w:rPr>
          <w:b/>
        </w:rPr>
        <w:t>:</w:t>
      </w:r>
    </w:p>
    <w:p w14:paraId="288EB758" w14:textId="77777777" w:rsidR="004114DF" w:rsidRPr="00346853" w:rsidRDefault="004114DF" w:rsidP="00A65202">
      <w:pPr>
        <w:pStyle w:val="Point1"/>
        <w:numPr>
          <w:ilvl w:val="0"/>
          <w:numId w:val="59"/>
        </w:numPr>
        <w:rPr>
          <w:noProof/>
        </w:rPr>
      </w:pPr>
      <w:r w:rsidRPr="00346853">
        <w:rPr>
          <w:noProof/>
        </w:rPr>
        <w:t xml:space="preserve">založení činnosti mladých zemědělců, kteří splňují podmínky uvedené v definici v čl. 4 odst. 1 písm. e); </w:t>
      </w:r>
    </w:p>
    <w:p w14:paraId="061C85F0" w14:textId="77777777" w:rsidR="004114DF" w:rsidRPr="00346853" w:rsidRDefault="004114DF" w:rsidP="00A65202">
      <w:pPr>
        <w:pStyle w:val="Point1"/>
        <w:numPr>
          <w:ilvl w:val="0"/>
          <w:numId w:val="59"/>
        </w:numPr>
        <w:rPr>
          <w:noProof/>
        </w:rPr>
      </w:pPr>
      <w:r w:rsidRPr="00346853">
        <w:rPr>
          <w:noProof/>
        </w:rPr>
        <w:t>založení venkovské podnikatelské činnosti spojené se zemědělstvím a lesnictvím nebo diverzifikací příjmů domácností zemědělců;</w:t>
      </w:r>
    </w:p>
    <w:p w14:paraId="0F4AE8EF" w14:textId="77777777" w:rsidR="004114DF" w:rsidRPr="00346853" w:rsidRDefault="004114DF" w:rsidP="00A65202">
      <w:pPr>
        <w:pStyle w:val="Point1"/>
        <w:numPr>
          <w:ilvl w:val="0"/>
          <w:numId w:val="59"/>
        </w:numPr>
        <w:rPr>
          <w:noProof/>
        </w:rPr>
      </w:pPr>
      <w:r w:rsidRPr="00346853">
        <w:rPr>
          <w:noProof/>
        </w:rPr>
        <w:t>založení podnikatelské činnosti s nezemědělskou aktivitou ve venkovských oblastech jako součást strategie místního rozvoje.</w:t>
      </w:r>
    </w:p>
    <w:p w14:paraId="47D6DAC3" w14:textId="77777777" w:rsidR="004114DF" w:rsidRPr="00346853" w:rsidRDefault="004114DF" w:rsidP="00040D89"/>
    <w:p w14:paraId="18933EB0" w14:textId="77777777" w:rsidR="00887D8F" w:rsidRPr="00346853" w:rsidRDefault="00887D8F" w:rsidP="00887D8F">
      <w:pPr>
        <w:rPr>
          <w:b/>
        </w:rPr>
      </w:pPr>
      <w:r w:rsidRPr="00346853">
        <w:rPr>
          <w:b/>
        </w:rPr>
        <w:t>Možné intervence – např. článek 71:</w:t>
      </w:r>
    </w:p>
    <w:p w14:paraId="63D8A33A" w14:textId="77777777" w:rsidR="00887D8F" w:rsidRDefault="00887D8F" w:rsidP="00040D89">
      <w:r w:rsidRPr="00346853">
        <w:rPr>
          <w:noProof/>
        </w:rPr>
        <w:t>Členské státy mohou udělit podporu na spolupráci</w:t>
      </w:r>
      <w:r>
        <w:rPr>
          <w:noProof/>
        </w:rPr>
        <w:t xml:space="preserve"> za podmínek stanovených v tomto článku a na základě dalších údajů uvedených v jejich strategickém plánu SZP, a to za účelem přípravy a realizace projektů operační skupiny evropského inovačního partnerství v oblasti zemědělské produktivity a udržitelnosti podle článku 114 a v rámci iniciativy LEADER, označované jako komunitně vedený místní rozvoj v článku 25 nařízení (EU) [nařízení o společných ustanoveních], a za účelem propagace systémů jakosti, organizací producentů nebo seskupení producentů či jiných forem spolupráce.</w:t>
      </w:r>
    </w:p>
    <w:p w14:paraId="08FAD83E" w14:textId="77777777" w:rsidR="00887D8F" w:rsidRDefault="00887D8F">
      <w:pPr>
        <w:spacing w:before="0" w:after="160" w:line="259" w:lineRule="auto"/>
        <w:ind w:firstLine="0"/>
        <w:jc w:val="left"/>
        <w:rPr>
          <w:rFonts w:ascii="Arial" w:hAnsi="Arial"/>
          <w:b/>
          <w:caps/>
          <w:kern w:val="28"/>
          <w:sz w:val="28"/>
          <w:szCs w:val="20"/>
          <w:lang w:eastAsia="x-none"/>
        </w:rPr>
      </w:pPr>
      <w:r>
        <w:rPr>
          <w:rFonts w:ascii="Arial" w:hAnsi="Arial"/>
          <w:b/>
          <w:caps/>
          <w:kern w:val="28"/>
          <w:sz w:val="28"/>
          <w:szCs w:val="20"/>
          <w:lang w:eastAsia="x-none"/>
        </w:rPr>
        <w:br w:type="page"/>
      </w:r>
    </w:p>
    <w:p w14:paraId="1A4672C8" w14:textId="77777777" w:rsidR="00E326BC" w:rsidRDefault="00E326BC" w:rsidP="00EA5AF2">
      <w:pPr>
        <w:pStyle w:val="Nadpis1"/>
        <w:numPr>
          <w:ilvl w:val="0"/>
          <w:numId w:val="2"/>
        </w:numPr>
        <w:ind w:left="426" w:hanging="357"/>
      </w:pPr>
      <w:bookmarkStart w:id="33" w:name="_Toc525823164"/>
      <w:bookmarkStart w:id="34" w:name="_Toc525825203"/>
      <w:r w:rsidRPr="004C5521">
        <w:lastRenderedPageBreak/>
        <w:t>Reference</w:t>
      </w:r>
      <w:bookmarkEnd w:id="28"/>
      <w:bookmarkEnd w:id="29"/>
      <w:bookmarkEnd w:id="30"/>
      <w:bookmarkEnd w:id="33"/>
      <w:bookmarkEnd w:id="34"/>
    </w:p>
    <w:p w14:paraId="1BAE153C" w14:textId="77777777" w:rsidR="004C5521" w:rsidRDefault="004C5521" w:rsidP="004C5521">
      <w:pPr>
        <w:ind w:left="426" w:hanging="426"/>
        <w:jc w:val="left"/>
        <w:rPr>
          <w:rFonts w:asciiTheme="minorHAnsi" w:hAnsiTheme="minorHAnsi" w:cstheme="minorHAnsi"/>
          <w:sz w:val="22"/>
          <w:szCs w:val="22"/>
        </w:rPr>
      </w:pPr>
    </w:p>
    <w:p w14:paraId="00716994" w14:textId="77777777" w:rsidR="00DD3F04" w:rsidRPr="00DD3F04" w:rsidRDefault="00C93DE6" w:rsidP="00EA0302">
      <w:pPr>
        <w:spacing w:line="276" w:lineRule="auto"/>
        <w:ind w:left="426" w:hanging="426"/>
        <w:jc w:val="left"/>
        <w:rPr>
          <w:szCs w:val="24"/>
        </w:rPr>
      </w:pPr>
      <w:r w:rsidRPr="00C150AD">
        <w:t>ČADA</w:t>
      </w:r>
      <w:r w:rsidR="00DD3F04" w:rsidRPr="00841BEA">
        <w:t>, K. 2015. Analýza sociálně vyloučených lokalit ČR. GAC a spol.</w:t>
      </w:r>
    </w:p>
    <w:p w14:paraId="19EC10E2" w14:textId="77777777" w:rsidR="00522EA0" w:rsidRPr="00522EA0" w:rsidRDefault="00F80863" w:rsidP="00EA0302">
      <w:pPr>
        <w:spacing w:before="0" w:line="276" w:lineRule="auto"/>
        <w:ind w:firstLine="0"/>
        <w:jc w:val="left"/>
        <w:rPr>
          <w:color w:val="212063"/>
          <w:szCs w:val="24"/>
        </w:rPr>
      </w:pPr>
      <w:r>
        <w:t xml:space="preserve">BROWNFIELDY </w:t>
      </w:r>
      <w:r w:rsidRPr="00F80863">
        <w:rPr>
          <w:color w:val="333333"/>
          <w:szCs w:val="24"/>
          <w:shd w:val="clear" w:color="auto" w:fill="FFFFFF"/>
        </w:rPr>
        <w:t>[online].</w:t>
      </w:r>
      <w:r>
        <w:rPr>
          <w:color w:val="333333"/>
          <w:szCs w:val="24"/>
          <w:shd w:val="clear" w:color="auto" w:fill="FFFFFF"/>
        </w:rPr>
        <w:t xml:space="preserve"> </w:t>
      </w:r>
      <w:r w:rsidRPr="00F80863">
        <w:rPr>
          <w:color w:val="333333"/>
          <w:szCs w:val="24"/>
          <w:shd w:val="clear" w:color="auto" w:fill="FFFFFF"/>
        </w:rPr>
        <w:t>2018 [cit. 2018-09-26].</w:t>
      </w:r>
      <w:r>
        <w:rPr>
          <w:color w:val="333333"/>
          <w:szCs w:val="24"/>
          <w:shd w:val="clear" w:color="auto" w:fill="FFFFFF"/>
        </w:rPr>
        <w:t xml:space="preserve"> </w:t>
      </w:r>
      <w:r w:rsidRPr="00F80863">
        <w:rPr>
          <w:color w:val="333333"/>
          <w:szCs w:val="24"/>
          <w:shd w:val="clear" w:color="auto" w:fill="FFFFFF"/>
        </w:rPr>
        <w:t xml:space="preserve">Dostupné z: </w:t>
      </w:r>
      <w:hyperlink r:id="rId13" w:history="1">
        <w:r w:rsidRPr="00F80863">
          <w:rPr>
            <w:rStyle w:val="Hypertextovodkaz"/>
            <w:szCs w:val="24"/>
            <w:shd w:val="clear" w:color="auto" w:fill="FFFFFF"/>
          </w:rPr>
          <w:t>https://www.czechinvest.org/cz/Sluzby-pro-municipality/Nemovitosti-pro</w:t>
        </w:r>
      </w:hyperlink>
      <w:r w:rsidRPr="00F80863">
        <w:rPr>
          <w:color w:val="333333"/>
          <w:szCs w:val="24"/>
          <w:shd w:val="clear" w:color="auto" w:fill="FFFFFF"/>
        </w:rPr>
        <w:t xml:space="preserve"> </w:t>
      </w:r>
      <w:proofErr w:type="spellStart"/>
      <w:r w:rsidRPr="00F80863">
        <w:rPr>
          <w:color w:val="333333"/>
          <w:szCs w:val="24"/>
          <w:shd w:val="clear" w:color="auto" w:fill="FFFFFF"/>
        </w:rPr>
        <w:t>podnikatelske-ucely</w:t>
      </w:r>
      <w:proofErr w:type="spellEnd"/>
      <w:r w:rsidRPr="00F80863">
        <w:rPr>
          <w:color w:val="333333"/>
          <w:szCs w:val="24"/>
          <w:shd w:val="clear" w:color="auto" w:fill="FFFFFF"/>
        </w:rPr>
        <w:t>/</w:t>
      </w:r>
      <w:proofErr w:type="spellStart"/>
      <w:r w:rsidRPr="00F80863">
        <w:rPr>
          <w:color w:val="333333"/>
          <w:szCs w:val="24"/>
          <w:shd w:val="clear" w:color="auto" w:fill="FFFFFF"/>
        </w:rPr>
        <w:t>Brownfieldy</w:t>
      </w:r>
      <w:r w:rsidR="00522EA0">
        <w:rPr>
          <w:color w:val="212063"/>
          <w:szCs w:val="24"/>
        </w:rPr>
        <w:t>CENIA</w:t>
      </w:r>
      <w:proofErr w:type="spellEnd"/>
      <w:r w:rsidR="00522EA0" w:rsidRPr="00522EA0">
        <w:rPr>
          <w:color w:val="212063"/>
          <w:szCs w:val="24"/>
        </w:rPr>
        <w:t xml:space="preserve"> (2016).</w:t>
      </w:r>
      <w:r w:rsidR="00522EA0" w:rsidRPr="00522EA0">
        <w:rPr>
          <w:iCs/>
          <w:color w:val="212063"/>
          <w:szCs w:val="24"/>
        </w:rPr>
        <w:t xml:space="preserve"> Zpráva o životním prostředí České republiky.</w:t>
      </w:r>
      <w:r w:rsidR="00522EA0" w:rsidRPr="00522EA0">
        <w:rPr>
          <w:color w:val="212063"/>
          <w:szCs w:val="24"/>
        </w:rPr>
        <w:t xml:space="preserve"> Praha: Ministerstvo životního </w:t>
      </w:r>
      <w:r w:rsidR="00522EA0" w:rsidRPr="00EA0302">
        <w:rPr>
          <w:color w:val="212063"/>
          <w:szCs w:val="24"/>
        </w:rPr>
        <w:t>prostředí ČR.</w:t>
      </w:r>
      <w:r w:rsidR="00EA0302">
        <w:rPr>
          <w:color w:val="212063"/>
          <w:szCs w:val="24"/>
        </w:rPr>
        <w:t xml:space="preserve"> Dostupné z: </w:t>
      </w:r>
      <w:r w:rsidR="00EA0302">
        <w:rPr>
          <w:color w:val="212063"/>
          <w:szCs w:val="24"/>
        </w:rPr>
        <w:tab/>
      </w:r>
      <w:hyperlink r:id="rId14" w:history="1">
        <w:r w:rsidR="00EA0302" w:rsidRPr="00665900">
          <w:rPr>
            <w:rStyle w:val="Hypertextovodkaz"/>
            <w:szCs w:val="24"/>
          </w:rPr>
          <w:t>https://www.mzp.cz/C1257458002F0DC7/cz/zpravy_o_stavu_zivotniho_</w:t>
        </w:r>
      </w:hyperlink>
      <w:r w:rsidR="00EA0302">
        <w:rPr>
          <w:szCs w:val="24"/>
        </w:rPr>
        <w:tab/>
      </w:r>
      <w:proofErr w:type="spellStart"/>
      <w:r w:rsidR="00EA0302" w:rsidRPr="00EA0302">
        <w:rPr>
          <w:szCs w:val="24"/>
        </w:rPr>
        <w:t>prostredi_publikace</w:t>
      </w:r>
      <w:proofErr w:type="spellEnd"/>
      <w:r w:rsidR="00EA0302" w:rsidRPr="00EA0302">
        <w:rPr>
          <w:szCs w:val="24"/>
        </w:rPr>
        <w:t>/$FILE/SOPSZP-Zprava_ZP_CR_2016-20171211.pdf</w:t>
      </w:r>
    </w:p>
    <w:p w14:paraId="105077D6" w14:textId="77777777" w:rsidR="004C5521" w:rsidRPr="00642752" w:rsidRDefault="004C5521" w:rsidP="00EA0302">
      <w:pPr>
        <w:spacing w:line="276" w:lineRule="auto"/>
        <w:ind w:left="426" w:hanging="426"/>
        <w:jc w:val="left"/>
        <w:rPr>
          <w:szCs w:val="24"/>
        </w:rPr>
      </w:pPr>
      <w:r w:rsidRPr="00C150AD">
        <w:t xml:space="preserve">EKOTOXA, IREAS (2016). Ex post hodnocení Programu rozvoje </w:t>
      </w:r>
      <w:r w:rsidRPr="00841BEA">
        <w:t>venkova za období 2007-2013. Závěrečná zpráva.</w:t>
      </w:r>
    </w:p>
    <w:p w14:paraId="7A120187" w14:textId="77777777" w:rsidR="008A6E9B" w:rsidRDefault="004C5521" w:rsidP="00EA0302">
      <w:pPr>
        <w:spacing w:line="276" w:lineRule="auto"/>
        <w:ind w:left="426" w:hanging="426"/>
        <w:jc w:val="left"/>
      </w:pPr>
      <w:r w:rsidRPr="00C150AD">
        <w:t>NAVIGA 4, EVALUATION ADVISORY CE (2018). Průběžné hodnocení k 31. 12. 2017. Hodnocení Programu rozvoje venkova na období 2014-2020.</w:t>
      </w:r>
    </w:p>
    <w:p w14:paraId="1FD183C1" w14:textId="77777777" w:rsidR="005D749A" w:rsidRDefault="008A6E9B" w:rsidP="00EA0302">
      <w:pPr>
        <w:spacing w:line="276" w:lineRule="auto"/>
        <w:ind w:left="426" w:hanging="426"/>
        <w:jc w:val="left"/>
        <w:rPr>
          <w:szCs w:val="24"/>
        </w:rPr>
      </w:pPr>
      <w:r>
        <w:rPr>
          <w:szCs w:val="24"/>
        </w:rPr>
        <w:t xml:space="preserve">NS MAS ČR (9/2018). Průzkum potřeb v sociální oblasti ve venkovském </w:t>
      </w:r>
      <w:proofErr w:type="spellStart"/>
      <w:proofErr w:type="gramStart"/>
      <w:r>
        <w:rPr>
          <w:szCs w:val="24"/>
        </w:rPr>
        <w:t>prostředí.</w:t>
      </w:r>
      <w:r w:rsidR="005D749A" w:rsidRPr="00C150AD">
        <w:t>Ministerstvo</w:t>
      </w:r>
      <w:proofErr w:type="spellEnd"/>
      <w:proofErr w:type="gramEnd"/>
      <w:r w:rsidR="005D749A" w:rsidRPr="00C150AD">
        <w:t xml:space="preserve"> pro místní rozvoj (2018). Národní koncepce realizace politiky so</w:t>
      </w:r>
      <w:r w:rsidR="005D749A" w:rsidRPr="00841BEA">
        <w:t>udržnosti v ČR po roce 2020</w:t>
      </w:r>
      <w:r w:rsidR="00BA1F1C" w:rsidRPr="004B694B">
        <w:t>.</w:t>
      </w:r>
      <w:r w:rsidR="005D749A" w:rsidRPr="004B694B">
        <w:t>Verze květen 2018</w:t>
      </w:r>
      <w:r w:rsidR="00BA1F1C" w:rsidRPr="004B694B">
        <w:t>. Praha</w:t>
      </w:r>
    </w:p>
    <w:p w14:paraId="43B84DF7" w14:textId="77777777" w:rsidR="00283837" w:rsidRDefault="00283837" w:rsidP="00EA0302">
      <w:pPr>
        <w:spacing w:before="0" w:line="276" w:lineRule="auto"/>
        <w:ind w:left="426" w:hanging="426"/>
        <w:jc w:val="left"/>
        <w:rPr>
          <w:szCs w:val="24"/>
        </w:rPr>
      </w:pPr>
      <w:r w:rsidRPr="00C150AD">
        <w:t>Národní koncepce realizace kohezní politiky pro roce 2020: návrhy karet tematických podoblastí: podpora sociálního začleňování, boj s chudobou a systém péče o zdraví – interní materiál</w:t>
      </w:r>
    </w:p>
    <w:p w14:paraId="1093E82E" w14:textId="77777777" w:rsidR="004B6D80" w:rsidRDefault="004B6D80" w:rsidP="00EA0302">
      <w:pPr>
        <w:spacing w:before="0" w:line="276" w:lineRule="auto"/>
        <w:ind w:left="426" w:hanging="426"/>
        <w:jc w:val="left"/>
        <w:rPr>
          <w:szCs w:val="24"/>
        </w:rPr>
      </w:pPr>
      <w:r w:rsidRPr="00C150AD">
        <w:t>Ministerstvo pro m</w:t>
      </w:r>
      <w:r w:rsidRPr="00841BEA">
        <w:t>ístní rozvoj (2018). Komunitně vedený místní rozvoj (CLL</w:t>
      </w:r>
      <w:r w:rsidRPr="004B694B">
        <w:t xml:space="preserve">D): v programovém období 2014–2020 – rozvoj ve všech oblastech. </w:t>
      </w:r>
    </w:p>
    <w:p w14:paraId="153EF252" w14:textId="77777777" w:rsidR="00BF2B1D" w:rsidRDefault="00BF2B1D" w:rsidP="00EA0302">
      <w:pPr>
        <w:spacing w:line="276" w:lineRule="auto"/>
        <w:ind w:left="567" w:hanging="567"/>
      </w:pPr>
      <w:proofErr w:type="spellStart"/>
      <w:r>
        <w:t>MZe</w:t>
      </w:r>
      <w:proofErr w:type="spellEnd"/>
      <w:r>
        <w:t xml:space="preserve"> (2017). Podpora obslužnosti venkova</w:t>
      </w:r>
    </w:p>
    <w:p w14:paraId="2AE303D0" w14:textId="77777777" w:rsidR="00BF2B1D" w:rsidRDefault="008815BD" w:rsidP="00EA0302">
      <w:pPr>
        <w:spacing w:before="0" w:line="276" w:lineRule="auto"/>
        <w:ind w:left="426" w:hanging="426"/>
        <w:jc w:val="left"/>
        <w:rPr>
          <w:szCs w:val="24"/>
        </w:rPr>
      </w:pPr>
      <w:proofErr w:type="spellStart"/>
      <w:r w:rsidRPr="00C150AD">
        <w:t>MZe</w:t>
      </w:r>
      <w:proofErr w:type="spellEnd"/>
      <w:r w:rsidRPr="00C150AD">
        <w:t xml:space="preserve"> (2018). Zpráva o stavu zemědělství za rok 2017</w:t>
      </w:r>
    </w:p>
    <w:p w14:paraId="62161C1A" w14:textId="77777777" w:rsidR="00F80863" w:rsidRDefault="00F80863" w:rsidP="00EA0302">
      <w:pPr>
        <w:spacing w:before="0" w:after="160" w:line="276" w:lineRule="auto"/>
        <w:ind w:firstLine="0"/>
        <w:jc w:val="left"/>
      </w:pPr>
      <w:r>
        <w:t xml:space="preserve">SKÁLA, J., VÁCHA, R., ČECHMÁNKOVÁ, J., HORVÁTHOVÁ, V. 2012. Zemědělské brownfieldy v České republice. Urbanismus a územní rozvoj, ročník XV, č. 6. Dostupné z: </w:t>
      </w:r>
      <w:hyperlink r:id="rId15" w:history="1">
        <w:r w:rsidRPr="00A06414">
          <w:rPr>
            <w:rStyle w:val="Hypertextovodkaz"/>
          </w:rPr>
          <w:t>https://www.uur.cz/images/5-publikacni-cinnost-a-knihovna/casopis/2012/2012-06/03_zemedelske.pdf</w:t>
        </w:r>
      </w:hyperlink>
      <w:r>
        <w:t>.</w:t>
      </w:r>
      <w:bookmarkStart w:id="35" w:name="_Toc519518209"/>
      <w:bookmarkStart w:id="36" w:name="_Toc519518315"/>
      <w:bookmarkStart w:id="37" w:name="_Toc519581825"/>
      <w:r w:rsidR="00341FA2">
        <w:t>SMO (2018). Analýza potřeb měst a obcí – financování 2018</w:t>
      </w:r>
    </w:p>
    <w:p w14:paraId="0540ED9C" w14:textId="77777777" w:rsidR="00697295" w:rsidRDefault="003459CE" w:rsidP="00EA0302">
      <w:pPr>
        <w:spacing w:before="0" w:after="160" w:line="276" w:lineRule="auto"/>
        <w:ind w:firstLine="0"/>
        <w:jc w:val="left"/>
      </w:pPr>
      <w:r>
        <w:t>VUMOP</w:t>
      </w:r>
      <w:r w:rsidR="00697295">
        <w:t xml:space="preserve"> (</w:t>
      </w:r>
      <w:r w:rsidR="00101A51">
        <w:t>září</w:t>
      </w:r>
      <w:r w:rsidR="00697295">
        <w:t xml:space="preserve">, 2018). Inventarizace lokalit zemědělských brownfields v České republice. </w:t>
      </w:r>
    </w:p>
    <w:p w14:paraId="26E83D2F" w14:textId="77777777" w:rsidR="00522EA0" w:rsidRPr="00522EA0" w:rsidRDefault="00522EA0" w:rsidP="00522EA0">
      <w:pPr>
        <w:pBdr>
          <w:bottom w:val="single" w:sz="6" w:space="1" w:color="auto"/>
        </w:pBdr>
        <w:spacing w:before="0" w:line="240" w:lineRule="auto"/>
        <w:ind w:firstLine="0"/>
        <w:jc w:val="center"/>
        <w:rPr>
          <w:rFonts w:ascii="Arial" w:hAnsi="Arial" w:cs="Arial"/>
          <w:vanish/>
          <w:sz w:val="16"/>
          <w:szCs w:val="16"/>
        </w:rPr>
      </w:pPr>
      <w:r w:rsidRPr="00522EA0">
        <w:rPr>
          <w:rFonts w:ascii="Arial" w:hAnsi="Arial" w:cs="Arial"/>
          <w:vanish/>
          <w:sz w:val="16"/>
          <w:szCs w:val="16"/>
        </w:rPr>
        <w:t>Začátek formuláře</w:t>
      </w:r>
    </w:p>
    <w:p w14:paraId="368000CD" w14:textId="77777777" w:rsidR="00522EA0" w:rsidRDefault="00522EA0">
      <w:pPr>
        <w:spacing w:before="0" w:after="160" w:line="259" w:lineRule="auto"/>
        <w:ind w:firstLine="0"/>
        <w:jc w:val="left"/>
      </w:pPr>
    </w:p>
    <w:p w14:paraId="67AB924F" w14:textId="77777777" w:rsidR="00AB66BD" w:rsidRDefault="00AB66BD">
      <w:pPr>
        <w:spacing w:before="0" w:after="160" w:line="259" w:lineRule="auto"/>
        <w:ind w:firstLine="0"/>
        <w:jc w:val="left"/>
      </w:pPr>
      <w:r>
        <w:br w:type="page"/>
      </w:r>
    </w:p>
    <w:p w14:paraId="3C18D8BC" w14:textId="77777777" w:rsidR="00143820" w:rsidRPr="004B694B" w:rsidRDefault="007E6095" w:rsidP="00EA5AF2">
      <w:pPr>
        <w:pStyle w:val="Nadpis1"/>
        <w:numPr>
          <w:ilvl w:val="0"/>
          <w:numId w:val="2"/>
        </w:numPr>
        <w:ind w:left="397" w:hanging="397"/>
        <w:rPr>
          <w:rFonts w:eastAsia="Arial" w:cs="Arial"/>
        </w:rPr>
      </w:pPr>
      <w:bookmarkStart w:id="38" w:name="_Toc525823165"/>
      <w:bookmarkStart w:id="39" w:name="_Toc525825204"/>
      <w:r>
        <w:rPr>
          <w:lang w:val="cs-CZ"/>
        </w:rPr>
        <w:lastRenderedPageBreak/>
        <w:t>Příloha</w:t>
      </w:r>
      <w:bookmarkEnd w:id="35"/>
      <w:bookmarkEnd w:id="36"/>
      <w:r>
        <w:rPr>
          <w:lang w:val="cs-CZ"/>
        </w:rPr>
        <w:t xml:space="preserve"> </w:t>
      </w:r>
      <w:r w:rsidR="00E23550">
        <w:rPr>
          <w:lang w:val="cs-CZ"/>
        </w:rPr>
        <w:t xml:space="preserve">– </w:t>
      </w:r>
      <w:r w:rsidR="00143820" w:rsidRPr="00C150AD">
        <w:t>Analýza</w:t>
      </w:r>
      <w:r w:rsidR="00E23550" w:rsidRPr="004B694B">
        <w:rPr>
          <w:rFonts w:eastAsia="Arial" w:cs="Arial"/>
          <w:lang w:val="cs-CZ"/>
        </w:rPr>
        <w:t xml:space="preserve"> </w:t>
      </w:r>
      <w:r w:rsidR="00143820" w:rsidRPr="004B694B">
        <w:t>situace podle tematických oblastí</w:t>
      </w:r>
      <w:bookmarkEnd w:id="37"/>
      <w:bookmarkEnd w:id="38"/>
      <w:bookmarkEnd w:id="39"/>
    </w:p>
    <w:p w14:paraId="203F7DB0" w14:textId="77777777" w:rsidR="00143820" w:rsidRDefault="00143820" w:rsidP="00143820"/>
    <w:sdt>
      <w:sdtPr>
        <w:rPr>
          <w:rFonts w:asciiTheme="minorHAnsi" w:eastAsiaTheme="minorHAnsi" w:hAnsiTheme="minorHAnsi" w:cstheme="minorBidi"/>
          <w:b/>
          <w:color w:val="auto"/>
          <w:sz w:val="22"/>
          <w:szCs w:val="22"/>
          <w:lang w:eastAsia="en-US"/>
        </w:rPr>
        <w:id w:val="-2102169444"/>
        <w:docPartObj>
          <w:docPartGallery w:val="Table of Contents"/>
          <w:docPartUnique/>
        </w:docPartObj>
      </w:sdtPr>
      <w:sdtEndPr>
        <w:rPr>
          <w:rFonts w:ascii="Times New Roman" w:eastAsia="Times New Roman" w:hAnsi="Times New Roman" w:cs="Times New Roman"/>
          <w:b w:val="0"/>
          <w:sz w:val="24"/>
          <w:szCs w:val="23"/>
          <w:lang w:eastAsia="cs-CZ"/>
        </w:rPr>
      </w:sdtEndPr>
      <w:sdtContent>
        <w:p w14:paraId="3EC5972A" w14:textId="77777777" w:rsidR="00143820" w:rsidRPr="004B694B" w:rsidRDefault="00143820">
          <w:pPr>
            <w:pStyle w:val="Nadpisobsahu"/>
            <w:ind w:firstLine="284"/>
            <w:jc w:val="both"/>
            <w:rPr>
              <w:rFonts w:ascii="Arial" w:eastAsia="Arial" w:hAnsi="Arial" w:cs="Arial"/>
              <w:b/>
              <w:bCs/>
              <w:caps/>
              <w:color w:val="auto"/>
              <w:sz w:val="28"/>
              <w:szCs w:val="28"/>
            </w:rPr>
          </w:pPr>
          <w:r w:rsidRPr="004B694B">
            <w:rPr>
              <w:rFonts w:ascii="Arial" w:eastAsia="Arial" w:hAnsi="Arial" w:cs="Arial"/>
              <w:b/>
              <w:bCs/>
              <w:caps/>
              <w:color w:val="auto"/>
              <w:sz w:val="28"/>
              <w:szCs w:val="28"/>
            </w:rPr>
            <w:t>Obsah</w:t>
          </w:r>
        </w:p>
        <w:p w14:paraId="3D44F203" w14:textId="77777777" w:rsidR="0060489F" w:rsidRDefault="00143820" w:rsidP="00346853">
          <w:pPr>
            <w:pStyle w:val="Obsah1"/>
            <w:rPr>
              <w:rFonts w:eastAsiaTheme="minorEastAsia" w:cstheme="minorBidi"/>
              <w:noProof/>
              <w:sz w:val="22"/>
              <w:szCs w:val="22"/>
            </w:rPr>
          </w:pPr>
          <w:r w:rsidRPr="00EE3C77">
            <w:fldChar w:fldCharType="begin"/>
          </w:r>
          <w:r w:rsidRPr="00EE3C77">
            <w:instrText xml:space="preserve"> TOC \o "1-3" \h \z \u </w:instrText>
          </w:r>
          <w:r w:rsidRPr="00EE3C77">
            <w:fldChar w:fldCharType="separate"/>
          </w:r>
        </w:p>
        <w:p w14:paraId="19052912" w14:textId="77777777" w:rsidR="0060489F" w:rsidRDefault="00166272" w:rsidP="00346853">
          <w:pPr>
            <w:pStyle w:val="Obsah1"/>
            <w:rPr>
              <w:rFonts w:asciiTheme="minorHAnsi" w:eastAsiaTheme="minorEastAsia" w:hAnsiTheme="minorHAnsi" w:cstheme="minorBidi"/>
              <w:noProof/>
              <w:sz w:val="22"/>
              <w:szCs w:val="22"/>
            </w:rPr>
          </w:pPr>
          <w:hyperlink w:anchor="_Toc525823166" w:history="1">
            <w:r w:rsidR="0060489F" w:rsidRPr="006D758C">
              <w:rPr>
                <w:rStyle w:val="Hypertextovodkaz"/>
                <w:noProof/>
              </w:rPr>
              <w:t>7.1</w:t>
            </w:r>
            <w:r w:rsidR="00346853">
              <w:rPr>
                <w:rStyle w:val="Hypertextovodkaz"/>
                <w:noProof/>
              </w:rPr>
              <w:t xml:space="preserve"> </w:t>
            </w:r>
            <w:r w:rsidR="0060489F" w:rsidRPr="006D758C">
              <w:rPr>
                <w:rStyle w:val="Hypertextovodkaz"/>
                <w:noProof/>
              </w:rPr>
              <w:t>Úvod</w:t>
            </w:r>
            <w:r w:rsidR="0060489F">
              <w:rPr>
                <w:noProof/>
                <w:webHidden/>
              </w:rPr>
              <w:tab/>
            </w:r>
            <w:r w:rsidR="0060489F">
              <w:rPr>
                <w:noProof/>
                <w:webHidden/>
              </w:rPr>
              <w:fldChar w:fldCharType="begin"/>
            </w:r>
            <w:r w:rsidR="0060489F">
              <w:rPr>
                <w:noProof/>
                <w:webHidden/>
              </w:rPr>
              <w:instrText xml:space="preserve"> PAGEREF _Toc525823166 \h </w:instrText>
            </w:r>
            <w:r w:rsidR="0060489F">
              <w:rPr>
                <w:noProof/>
                <w:webHidden/>
              </w:rPr>
            </w:r>
            <w:r w:rsidR="0060489F">
              <w:rPr>
                <w:noProof/>
                <w:webHidden/>
              </w:rPr>
              <w:fldChar w:fldCharType="separate"/>
            </w:r>
            <w:r w:rsidR="00346853">
              <w:rPr>
                <w:noProof/>
                <w:webHidden/>
              </w:rPr>
              <w:t>21</w:t>
            </w:r>
            <w:r w:rsidR="0060489F">
              <w:rPr>
                <w:noProof/>
                <w:webHidden/>
              </w:rPr>
              <w:fldChar w:fldCharType="end"/>
            </w:r>
          </w:hyperlink>
        </w:p>
        <w:p w14:paraId="7605520E" w14:textId="77777777" w:rsidR="0060489F" w:rsidRDefault="00166272" w:rsidP="00346853">
          <w:pPr>
            <w:pStyle w:val="Obsah1"/>
            <w:rPr>
              <w:rFonts w:asciiTheme="minorHAnsi" w:eastAsiaTheme="minorEastAsia" w:hAnsiTheme="minorHAnsi" w:cstheme="minorBidi"/>
              <w:noProof/>
              <w:sz w:val="22"/>
              <w:szCs w:val="22"/>
            </w:rPr>
          </w:pPr>
          <w:hyperlink w:anchor="_Toc525823167" w:history="1">
            <w:r w:rsidR="0060489F" w:rsidRPr="006D758C">
              <w:rPr>
                <w:rStyle w:val="Hypertextovodkaz"/>
                <w:noProof/>
              </w:rPr>
              <w:t>7.2</w:t>
            </w:r>
            <w:r w:rsidR="00346853">
              <w:rPr>
                <w:rStyle w:val="Hypertextovodkaz"/>
                <w:noProof/>
              </w:rPr>
              <w:t xml:space="preserve"> </w:t>
            </w:r>
            <w:r w:rsidR="0060489F" w:rsidRPr="006D758C">
              <w:rPr>
                <w:rStyle w:val="Hypertextovodkaz"/>
                <w:noProof/>
              </w:rPr>
              <w:t>Obyvatelstvo</w:t>
            </w:r>
            <w:r w:rsidR="0060489F">
              <w:rPr>
                <w:noProof/>
                <w:webHidden/>
              </w:rPr>
              <w:tab/>
            </w:r>
            <w:r w:rsidR="0060489F">
              <w:rPr>
                <w:noProof/>
                <w:webHidden/>
              </w:rPr>
              <w:fldChar w:fldCharType="begin"/>
            </w:r>
            <w:r w:rsidR="0060489F">
              <w:rPr>
                <w:noProof/>
                <w:webHidden/>
              </w:rPr>
              <w:instrText xml:space="preserve"> PAGEREF _Toc525823167 \h </w:instrText>
            </w:r>
            <w:r w:rsidR="0060489F">
              <w:rPr>
                <w:noProof/>
                <w:webHidden/>
              </w:rPr>
            </w:r>
            <w:r w:rsidR="0060489F">
              <w:rPr>
                <w:noProof/>
                <w:webHidden/>
              </w:rPr>
              <w:fldChar w:fldCharType="separate"/>
            </w:r>
            <w:r w:rsidR="00346853">
              <w:rPr>
                <w:noProof/>
                <w:webHidden/>
              </w:rPr>
              <w:t>22</w:t>
            </w:r>
            <w:r w:rsidR="0060489F">
              <w:rPr>
                <w:noProof/>
                <w:webHidden/>
              </w:rPr>
              <w:fldChar w:fldCharType="end"/>
            </w:r>
          </w:hyperlink>
        </w:p>
        <w:p w14:paraId="4529DDF8" w14:textId="77777777" w:rsidR="0060489F" w:rsidRDefault="00166272" w:rsidP="00346853">
          <w:pPr>
            <w:pStyle w:val="Obsah1"/>
            <w:rPr>
              <w:rFonts w:asciiTheme="minorHAnsi" w:eastAsiaTheme="minorEastAsia" w:hAnsiTheme="minorHAnsi" w:cstheme="minorBidi"/>
              <w:noProof/>
              <w:sz w:val="22"/>
              <w:szCs w:val="22"/>
            </w:rPr>
          </w:pPr>
          <w:hyperlink w:anchor="_Toc525823168" w:history="1">
            <w:r w:rsidR="0060489F" w:rsidRPr="006D758C">
              <w:rPr>
                <w:rStyle w:val="Hypertextovodkaz"/>
                <w:noProof/>
              </w:rPr>
              <w:t>7.3</w:t>
            </w:r>
            <w:r w:rsidR="00346853">
              <w:rPr>
                <w:rStyle w:val="Hypertextovodkaz"/>
                <w:noProof/>
              </w:rPr>
              <w:t xml:space="preserve"> </w:t>
            </w:r>
            <w:r w:rsidR="0060489F" w:rsidRPr="006D758C">
              <w:rPr>
                <w:rStyle w:val="Hypertextovodkaz"/>
                <w:noProof/>
              </w:rPr>
              <w:t>Ekonomika a podnikatelská struktura ve vztahu k venkovu</w:t>
            </w:r>
            <w:r w:rsidR="0060489F">
              <w:rPr>
                <w:noProof/>
                <w:webHidden/>
              </w:rPr>
              <w:tab/>
            </w:r>
            <w:r w:rsidR="0060489F">
              <w:rPr>
                <w:noProof/>
                <w:webHidden/>
              </w:rPr>
              <w:fldChar w:fldCharType="begin"/>
            </w:r>
            <w:r w:rsidR="0060489F">
              <w:rPr>
                <w:noProof/>
                <w:webHidden/>
              </w:rPr>
              <w:instrText xml:space="preserve"> PAGEREF _Toc525823168 \h </w:instrText>
            </w:r>
            <w:r w:rsidR="0060489F">
              <w:rPr>
                <w:noProof/>
                <w:webHidden/>
              </w:rPr>
            </w:r>
            <w:r w:rsidR="0060489F">
              <w:rPr>
                <w:noProof/>
                <w:webHidden/>
              </w:rPr>
              <w:fldChar w:fldCharType="separate"/>
            </w:r>
            <w:r w:rsidR="00346853">
              <w:rPr>
                <w:noProof/>
                <w:webHidden/>
              </w:rPr>
              <w:t>29</w:t>
            </w:r>
            <w:r w:rsidR="0060489F">
              <w:rPr>
                <w:noProof/>
                <w:webHidden/>
              </w:rPr>
              <w:fldChar w:fldCharType="end"/>
            </w:r>
          </w:hyperlink>
        </w:p>
        <w:p w14:paraId="723548BC" w14:textId="77777777" w:rsidR="0060489F" w:rsidRDefault="00166272" w:rsidP="00346853">
          <w:pPr>
            <w:pStyle w:val="Obsah1"/>
            <w:rPr>
              <w:rFonts w:asciiTheme="minorHAnsi" w:eastAsiaTheme="minorEastAsia" w:hAnsiTheme="minorHAnsi" w:cstheme="minorBidi"/>
              <w:noProof/>
              <w:sz w:val="22"/>
              <w:szCs w:val="22"/>
            </w:rPr>
          </w:pPr>
          <w:hyperlink w:anchor="_Toc525823169" w:history="1">
            <w:r w:rsidR="0060489F" w:rsidRPr="006D758C">
              <w:rPr>
                <w:rStyle w:val="Hypertextovodkaz"/>
                <w:noProof/>
              </w:rPr>
              <w:t>7.4</w:t>
            </w:r>
            <w:r w:rsidR="00346853">
              <w:rPr>
                <w:rStyle w:val="Hypertextovodkaz"/>
                <w:noProof/>
              </w:rPr>
              <w:t xml:space="preserve"> </w:t>
            </w:r>
            <w:r w:rsidR="0060489F" w:rsidRPr="006D758C">
              <w:rPr>
                <w:rStyle w:val="Hypertextovodkaz"/>
                <w:noProof/>
              </w:rPr>
              <w:t>Zaměstnanost a příjmové postavení venkovské populace, ohrožení chudobou</w:t>
            </w:r>
            <w:r w:rsidR="0060489F">
              <w:rPr>
                <w:noProof/>
                <w:webHidden/>
              </w:rPr>
              <w:tab/>
            </w:r>
            <w:r w:rsidR="0060489F">
              <w:rPr>
                <w:noProof/>
                <w:webHidden/>
              </w:rPr>
              <w:fldChar w:fldCharType="begin"/>
            </w:r>
            <w:r w:rsidR="0060489F">
              <w:rPr>
                <w:noProof/>
                <w:webHidden/>
              </w:rPr>
              <w:instrText xml:space="preserve"> PAGEREF _Toc525823169 \h </w:instrText>
            </w:r>
            <w:r w:rsidR="0060489F">
              <w:rPr>
                <w:noProof/>
                <w:webHidden/>
              </w:rPr>
            </w:r>
            <w:r w:rsidR="0060489F">
              <w:rPr>
                <w:noProof/>
                <w:webHidden/>
              </w:rPr>
              <w:fldChar w:fldCharType="separate"/>
            </w:r>
            <w:r w:rsidR="00346853">
              <w:rPr>
                <w:noProof/>
                <w:webHidden/>
              </w:rPr>
              <w:t>42</w:t>
            </w:r>
            <w:r w:rsidR="0060489F">
              <w:rPr>
                <w:noProof/>
                <w:webHidden/>
              </w:rPr>
              <w:fldChar w:fldCharType="end"/>
            </w:r>
          </w:hyperlink>
        </w:p>
        <w:p w14:paraId="013445BE" w14:textId="77777777" w:rsidR="0060489F" w:rsidRDefault="00166272" w:rsidP="00346853">
          <w:pPr>
            <w:pStyle w:val="Obsah1"/>
            <w:rPr>
              <w:rFonts w:asciiTheme="minorHAnsi" w:eastAsiaTheme="minorEastAsia" w:hAnsiTheme="minorHAnsi" w:cstheme="minorBidi"/>
              <w:noProof/>
              <w:sz w:val="22"/>
              <w:szCs w:val="22"/>
            </w:rPr>
          </w:pPr>
          <w:hyperlink w:anchor="_Toc525823170" w:history="1">
            <w:r w:rsidR="0060489F" w:rsidRPr="006D758C">
              <w:rPr>
                <w:rStyle w:val="Hypertextovodkaz"/>
                <w:noProof/>
              </w:rPr>
              <w:t>7.5</w:t>
            </w:r>
            <w:r w:rsidR="00346853">
              <w:rPr>
                <w:rStyle w:val="Hypertextovodkaz"/>
                <w:noProof/>
              </w:rPr>
              <w:t xml:space="preserve"> </w:t>
            </w:r>
            <w:r w:rsidR="0060489F" w:rsidRPr="006D758C">
              <w:rPr>
                <w:rStyle w:val="Hypertextovodkaz"/>
                <w:noProof/>
              </w:rPr>
              <w:t>Vybavenost</w:t>
            </w:r>
            <w:r w:rsidR="0060489F">
              <w:rPr>
                <w:noProof/>
                <w:webHidden/>
              </w:rPr>
              <w:tab/>
            </w:r>
            <w:r w:rsidR="0060489F">
              <w:rPr>
                <w:noProof/>
                <w:webHidden/>
              </w:rPr>
              <w:fldChar w:fldCharType="begin"/>
            </w:r>
            <w:r w:rsidR="0060489F">
              <w:rPr>
                <w:noProof/>
                <w:webHidden/>
              </w:rPr>
              <w:instrText xml:space="preserve"> PAGEREF _Toc525823170 \h </w:instrText>
            </w:r>
            <w:r w:rsidR="0060489F">
              <w:rPr>
                <w:noProof/>
                <w:webHidden/>
              </w:rPr>
            </w:r>
            <w:r w:rsidR="0060489F">
              <w:rPr>
                <w:noProof/>
                <w:webHidden/>
              </w:rPr>
              <w:fldChar w:fldCharType="separate"/>
            </w:r>
            <w:r w:rsidR="00346853">
              <w:rPr>
                <w:noProof/>
                <w:webHidden/>
              </w:rPr>
              <w:t>60</w:t>
            </w:r>
            <w:r w:rsidR="0060489F">
              <w:rPr>
                <w:noProof/>
                <w:webHidden/>
              </w:rPr>
              <w:fldChar w:fldCharType="end"/>
            </w:r>
          </w:hyperlink>
        </w:p>
        <w:p w14:paraId="4D643DCC" w14:textId="77777777" w:rsidR="0060489F" w:rsidRDefault="00166272" w:rsidP="00346853">
          <w:pPr>
            <w:pStyle w:val="Obsah1"/>
            <w:rPr>
              <w:rFonts w:asciiTheme="minorHAnsi" w:eastAsiaTheme="minorEastAsia" w:hAnsiTheme="minorHAnsi" w:cstheme="minorBidi"/>
              <w:noProof/>
              <w:sz w:val="22"/>
              <w:szCs w:val="22"/>
            </w:rPr>
          </w:pPr>
          <w:hyperlink w:anchor="_Toc525823171" w:history="1">
            <w:r w:rsidR="0060489F" w:rsidRPr="006D758C">
              <w:rPr>
                <w:rStyle w:val="Hypertextovodkaz"/>
                <w:noProof/>
              </w:rPr>
              <w:t>7.6</w:t>
            </w:r>
            <w:r w:rsidR="00346853">
              <w:rPr>
                <w:rStyle w:val="Hypertextovodkaz"/>
                <w:noProof/>
              </w:rPr>
              <w:t xml:space="preserve"> </w:t>
            </w:r>
            <w:r w:rsidR="0060489F" w:rsidRPr="006D758C">
              <w:rPr>
                <w:rStyle w:val="Hypertextovodkaz"/>
                <w:noProof/>
              </w:rPr>
              <w:t>Reference</w:t>
            </w:r>
            <w:r w:rsidR="0060489F">
              <w:rPr>
                <w:noProof/>
                <w:webHidden/>
              </w:rPr>
              <w:tab/>
            </w:r>
            <w:r w:rsidR="0060489F">
              <w:rPr>
                <w:noProof/>
                <w:webHidden/>
              </w:rPr>
              <w:fldChar w:fldCharType="begin"/>
            </w:r>
            <w:r w:rsidR="0060489F">
              <w:rPr>
                <w:noProof/>
                <w:webHidden/>
              </w:rPr>
              <w:instrText xml:space="preserve"> PAGEREF _Toc525823171 \h </w:instrText>
            </w:r>
            <w:r w:rsidR="0060489F">
              <w:rPr>
                <w:noProof/>
                <w:webHidden/>
              </w:rPr>
            </w:r>
            <w:r w:rsidR="0060489F">
              <w:rPr>
                <w:noProof/>
                <w:webHidden/>
              </w:rPr>
              <w:fldChar w:fldCharType="separate"/>
            </w:r>
            <w:r w:rsidR="00346853">
              <w:rPr>
                <w:noProof/>
                <w:webHidden/>
              </w:rPr>
              <w:t>68</w:t>
            </w:r>
            <w:r w:rsidR="0060489F">
              <w:rPr>
                <w:noProof/>
                <w:webHidden/>
              </w:rPr>
              <w:fldChar w:fldCharType="end"/>
            </w:r>
          </w:hyperlink>
        </w:p>
        <w:p w14:paraId="19A3A8A9" w14:textId="77777777" w:rsidR="00143820" w:rsidRPr="00EE3C77" w:rsidRDefault="00143820" w:rsidP="00346853">
          <w:pPr>
            <w:pStyle w:val="Obsah1"/>
          </w:pPr>
          <w:r w:rsidRPr="00EE3C77">
            <w:fldChar w:fldCharType="end"/>
          </w:r>
        </w:p>
      </w:sdtContent>
    </w:sdt>
    <w:p w14:paraId="368A0967" w14:textId="77777777" w:rsidR="00FD385E" w:rsidRDefault="00FD385E">
      <w:pPr>
        <w:spacing w:before="0" w:after="160" w:line="259" w:lineRule="auto"/>
        <w:ind w:firstLine="0"/>
        <w:jc w:val="left"/>
      </w:pPr>
      <w:r>
        <w:br w:type="page"/>
      </w:r>
    </w:p>
    <w:p w14:paraId="68977C1F" w14:textId="77777777" w:rsidR="00143820" w:rsidRPr="00FE6E42" w:rsidRDefault="00143820" w:rsidP="0060489F">
      <w:pPr>
        <w:pStyle w:val="Nadpis1"/>
        <w:keepLines/>
        <w:numPr>
          <w:ilvl w:val="1"/>
          <w:numId w:val="60"/>
        </w:numPr>
        <w:spacing w:before="240" w:line="259" w:lineRule="auto"/>
        <w:jc w:val="both"/>
      </w:pPr>
      <w:bookmarkStart w:id="40" w:name="_Toc525823166"/>
      <w:bookmarkStart w:id="41" w:name="_Toc525825205"/>
      <w:r w:rsidRPr="00FE6E42">
        <w:lastRenderedPageBreak/>
        <w:t>Úvod</w:t>
      </w:r>
      <w:bookmarkEnd w:id="40"/>
      <w:bookmarkEnd w:id="41"/>
    </w:p>
    <w:p w14:paraId="1681AAF3" w14:textId="77777777" w:rsidR="00143820" w:rsidRPr="005407C9" w:rsidRDefault="00143820" w:rsidP="00143820"/>
    <w:p w14:paraId="0787DF28" w14:textId="77777777" w:rsidR="00143820" w:rsidRPr="00E96382" w:rsidRDefault="00143820" w:rsidP="00EB33F6">
      <w:r w:rsidRPr="00E96382">
        <w:t xml:space="preserve">Existuje více přístupů využívaných pro vymezování venkova. Venkovský prostor lze vymezovat na základě velikostní kategorie obcí (počtu trvale bydlících obyvatel), hustoty zalidnění, jiných znaků (např. charakteru sídel, vybavenosti obcí) či negativním vymezením jako protikladu k městu apod. </w:t>
      </w:r>
    </w:p>
    <w:p w14:paraId="0288C1D3" w14:textId="77777777" w:rsidR="00143820" w:rsidRPr="00E96382" w:rsidRDefault="00143820">
      <w:pPr>
        <w:rPr>
          <w:rFonts w:eastAsiaTheme="minorEastAsia"/>
        </w:rPr>
      </w:pPr>
      <w:r w:rsidRPr="00E96382">
        <w:t>Vzhledem k různé dostupnosti statistických dat (indikátorů) za jednotlivé územní celky (obec, okres, kraj, ČR) se v textu setkáme nejčastěji s vymezením venkova na úrovni obcí (za venkovské obce považovány obce do 2000 obyvatel, příp. dle typologie OECD obce s hustotou zalidnění do 150 obyvatel/km</w:t>
      </w:r>
      <w:r w:rsidRPr="00E96382">
        <w:rPr>
          <w:vertAlign w:val="superscript"/>
        </w:rPr>
        <w:t>2</w:t>
      </w:r>
      <w:r w:rsidRPr="00E96382">
        <w:t xml:space="preserve">) a krajů, kde vycházíme z nové městsko-venkovské typologie regionů NUTS 3 Evropské komise, která </w:t>
      </w:r>
      <w:r w:rsidRPr="00E96382">
        <w:rPr>
          <w:rFonts w:eastAsiaTheme="minorEastAsia"/>
        </w:rPr>
        <w:t>rozlišuje regiony na převážně městské, smíšené a převážně venkovské dle hustoty zalidnění na základě rastrových buněk. Podle této typologie patří mezi regiony převážně městské kraj Praha a Středočeský kraj a mezi regiony převážně venkovské kraje Plzeňský, Jihočeský, Vysočina, Pardubický, Olomoucký a Zlínský. Ostatní kraje Karlovarský, Ústecký, Liberecký, Královéhradecký, Jihomoravský a Moravskoslezský jsou smíšené</w:t>
      </w:r>
      <w:r w:rsidRPr="00E96382">
        <w:rPr>
          <w:rStyle w:val="Znakapoznpodarou"/>
          <w:rFonts w:eastAsiaTheme="minorEastAsia"/>
        </w:rPr>
        <w:footnoteReference w:id="6"/>
      </w:r>
      <w:r w:rsidRPr="00E96382">
        <w:rPr>
          <w:rFonts w:eastAsiaTheme="minorEastAsia"/>
        </w:rPr>
        <w:t>.</w:t>
      </w:r>
    </w:p>
    <w:p w14:paraId="53806948" w14:textId="77777777" w:rsidR="00143820" w:rsidRPr="00E96382" w:rsidRDefault="00143820" w:rsidP="00EB33F6">
      <w:r w:rsidRPr="00E96382">
        <w:t>Dle metodologie OECD tvořilo v roce 2017 venkovský prostor ČR na nejnižší administrativní úrovni (LAU 2) 5 360 obcí s hustotou zalidnění nižší než 150 obyvatel/km</w:t>
      </w:r>
      <w:r w:rsidRPr="00E96382">
        <w:rPr>
          <w:vertAlign w:val="superscript"/>
        </w:rPr>
        <w:t>2</w:t>
      </w:r>
      <w:r w:rsidRPr="00E96382">
        <w:t>, což představuje 85,7 % z celkového počtu obcí ČR, 81,7 % rozlohy státu, a žilo zde necelých 30 % obyvatelstva.</w:t>
      </w:r>
    </w:p>
    <w:p w14:paraId="0053E0C1" w14:textId="77777777" w:rsidR="00143820" w:rsidRDefault="00143820" w:rsidP="00EB33F6">
      <w:r w:rsidRPr="00E96382">
        <w:t>Dle tradičního vymezení venkovských obcí v ČR (jako obcí do 2 000 obyvatel) bylo v roce 2017 venkovských obcí 5 562, což představovalo téměř 89 % všech obcí ČR a 72,5 % rozlohy ČR. Žilo zde téměř 27 % obyvatel státu</w:t>
      </w:r>
      <w:r w:rsidRPr="001E0A58">
        <w:t xml:space="preserve">. </w:t>
      </w:r>
    </w:p>
    <w:p w14:paraId="2CE1FE51" w14:textId="77777777" w:rsidR="00EB720B" w:rsidRDefault="00EB720B">
      <w:pPr>
        <w:spacing w:before="0" w:after="160" w:line="259" w:lineRule="auto"/>
        <w:ind w:firstLine="0"/>
        <w:jc w:val="left"/>
      </w:pPr>
      <w:r>
        <w:br w:type="page"/>
      </w:r>
    </w:p>
    <w:p w14:paraId="74E637B9" w14:textId="77777777" w:rsidR="00143820" w:rsidRDefault="00143820" w:rsidP="0060489F">
      <w:pPr>
        <w:pStyle w:val="Nadpis1"/>
        <w:keepLines/>
        <w:numPr>
          <w:ilvl w:val="1"/>
          <w:numId w:val="60"/>
        </w:numPr>
        <w:spacing w:before="240" w:line="259" w:lineRule="auto"/>
        <w:jc w:val="both"/>
      </w:pPr>
      <w:bookmarkStart w:id="42" w:name="_Toc525823167"/>
      <w:bookmarkStart w:id="43" w:name="_Toc525825206"/>
      <w:r w:rsidRPr="00FE6E42">
        <w:lastRenderedPageBreak/>
        <w:t>Obyvatelstvo</w:t>
      </w:r>
      <w:bookmarkEnd w:id="42"/>
      <w:bookmarkEnd w:id="43"/>
    </w:p>
    <w:p w14:paraId="3EF4BBAE" w14:textId="77777777" w:rsidR="00143820" w:rsidRDefault="00143820" w:rsidP="00143820"/>
    <w:p w14:paraId="4DD0C545" w14:textId="77777777" w:rsidR="00143820" w:rsidRPr="0060489F" w:rsidRDefault="00143820" w:rsidP="006C650C">
      <w:pPr>
        <w:contextualSpacing/>
      </w:pPr>
      <w:r w:rsidRPr="0060489F">
        <w:t xml:space="preserve">Tabulka </w:t>
      </w:r>
      <w:r w:rsidR="0060489F" w:rsidRPr="0060489F">
        <w:t>7.</w:t>
      </w:r>
      <w:r w:rsidRPr="0060489F">
        <w:t xml:space="preserve">2.1 a pro názornost přiložený Obrázek </w:t>
      </w:r>
      <w:r w:rsidR="0060489F" w:rsidRPr="0060489F">
        <w:t>7.</w:t>
      </w:r>
      <w:r w:rsidRPr="0060489F">
        <w:t xml:space="preserve">2.1 poskytují přehled o vývoji početních stavů obyvatel ve velikostních kategoriích obcí (případné meziroční srovnání populačního vývoje v jednotlivých kategoriích venkovských obcí je zde však zkresleno posunem obcí mezi velikostními kategoriemi). K výrazným změnám v počtu obyvatel bydlících v jednotlivých velikostních kategoriích obcí v posledních letech nedochází – většina obyvatel venkova v roce 2017 žila v obcích s 500 a více obyvateli (70,8 %), podíl těchto obcí na celkovém obyvatelstvu venkova se postupně mírně zvyšuje. </w:t>
      </w:r>
    </w:p>
    <w:p w14:paraId="5D2CD7B5" w14:textId="77777777" w:rsidR="00143820" w:rsidRDefault="00143820" w:rsidP="006C650C">
      <w:pPr>
        <w:contextualSpacing/>
        <w:rPr>
          <w:rFonts w:asciiTheme="majorHAnsi" w:hAnsiTheme="majorHAnsi" w:cstheme="majorHAnsi"/>
          <w:b/>
          <w:bCs/>
        </w:rPr>
      </w:pPr>
    </w:p>
    <w:p w14:paraId="1C5C2D52" w14:textId="77777777" w:rsidR="00143820" w:rsidRPr="004B694B" w:rsidRDefault="00143820" w:rsidP="004B694B">
      <w:pPr>
        <w:pStyle w:val="Titulek"/>
        <w:spacing w:after="0"/>
        <w:ind w:firstLine="0"/>
        <w:rPr>
          <w:rFonts w:asciiTheme="minorHAnsi" w:eastAsiaTheme="minorEastAsia" w:hAnsiTheme="minorHAnsi" w:cstheme="minorBidi"/>
          <w:b/>
          <w:bCs/>
          <w:i w:val="0"/>
          <w:iCs w:val="0"/>
          <w:color w:val="auto"/>
          <w:sz w:val="22"/>
          <w:szCs w:val="22"/>
        </w:rPr>
      </w:pPr>
      <w:bookmarkStart w:id="44" w:name="_Toc522869005"/>
      <w:r w:rsidRPr="004B694B">
        <w:rPr>
          <w:rFonts w:asciiTheme="minorHAnsi" w:eastAsiaTheme="minorEastAsia" w:hAnsiTheme="minorHAnsi" w:cstheme="minorBidi"/>
          <w:b/>
          <w:bCs/>
          <w:i w:val="0"/>
          <w:iCs w:val="0"/>
          <w:color w:val="auto"/>
          <w:sz w:val="22"/>
          <w:szCs w:val="22"/>
        </w:rPr>
        <w:t xml:space="preserve">Tabulka </w:t>
      </w:r>
      <w:r w:rsidR="0060489F">
        <w:rPr>
          <w:rFonts w:asciiTheme="minorHAnsi" w:eastAsiaTheme="minorEastAsia" w:hAnsiTheme="minorHAnsi" w:cstheme="minorBidi"/>
          <w:b/>
          <w:bCs/>
          <w:i w:val="0"/>
          <w:iCs w:val="0"/>
          <w:color w:val="auto"/>
          <w:sz w:val="22"/>
          <w:szCs w:val="22"/>
        </w:rPr>
        <w:t>7.</w:t>
      </w:r>
      <w:r w:rsidR="00E34D45">
        <w:rPr>
          <w:rFonts w:asciiTheme="minorHAnsi" w:eastAsiaTheme="minorEastAsia" w:hAnsiTheme="minorHAnsi" w:cstheme="minorBidi"/>
          <w:b/>
          <w:bCs/>
          <w:i w:val="0"/>
          <w:iCs w:val="0"/>
          <w:color w:val="auto"/>
          <w:sz w:val="22"/>
          <w:szCs w:val="22"/>
        </w:rPr>
        <w:fldChar w:fldCharType="begin"/>
      </w:r>
      <w:r w:rsidR="00E34D45">
        <w:rPr>
          <w:rFonts w:asciiTheme="minorHAnsi" w:eastAsiaTheme="minorEastAsia" w:hAnsiTheme="minorHAnsi" w:cstheme="minorBidi"/>
          <w:b/>
          <w:bCs/>
          <w:i w:val="0"/>
          <w:iCs w:val="0"/>
          <w:color w:val="auto"/>
          <w:sz w:val="22"/>
          <w:szCs w:val="22"/>
        </w:rPr>
        <w:instrText xml:space="preserve"> STYLEREF 1 \s </w:instrText>
      </w:r>
      <w:r w:rsidR="00E34D45">
        <w:rPr>
          <w:rFonts w:asciiTheme="minorHAnsi" w:eastAsiaTheme="minorEastAsia" w:hAnsiTheme="minorHAnsi" w:cstheme="minorBidi"/>
          <w:b/>
          <w:bCs/>
          <w:i w:val="0"/>
          <w:iCs w:val="0"/>
          <w:color w:val="auto"/>
          <w:sz w:val="22"/>
          <w:szCs w:val="22"/>
        </w:rPr>
        <w:fldChar w:fldCharType="separate"/>
      </w:r>
      <w:r w:rsidR="00E34D45">
        <w:rPr>
          <w:rFonts w:asciiTheme="minorHAnsi" w:eastAsiaTheme="minorEastAsia" w:hAnsiTheme="minorHAnsi" w:cstheme="minorBidi"/>
          <w:b/>
          <w:bCs/>
          <w:i w:val="0"/>
          <w:iCs w:val="0"/>
          <w:noProof/>
          <w:color w:val="auto"/>
          <w:sz w:val="22"/>
          <w:szCs w:val="22"/>
        </w:rPr>
        <w:t>2</w:t>
      </w:r>
      <w:r w:rsidR="00E34D45">
        <w:rPr>
          <w:rFonts w:asciiTheme="minorHAnsi" w:eastAsiaTheme="minorEastAsia" w:hAnsiTheme="minorHAnsi" w:cstheme="minorBidi"/>
          <w:b/>
          <w:bCs/>
          <w:i w:val="0"/>
          <w:iCs w:val="0"/>
          <w:color w:val="auto"/>
          <w:sz w:val="22"/>
          <w:szCs w:val="22"/>
        </w:rPr>
        <w:fldChar w:fldCharType="end"/>
      </w:r>
      <w:r w:rsidR="00E34D45">
        <w:rPr>
          <w:rFonts w:asciiTheme="minorHAnsi" w:eastAsiaTheme="minorEastAsia" w:hAnsiTheme="minorHAnsi" w:cstheme="minorBidi"/>
          <w:b/>
          <w:bCs/>
          <w:i w:val="0"/>
          <w:iCs w:val="0"/>
          <w:color w:val="auto"/>
          <w:sz w:val="22"/>
          <w:szCs w:val="22"/>
        </w:rPr>
        <w:t>.</w:t>
      </w:r>
      <w:r w:rsidR="00E34D45">
        <w:rPr>
          <w:rFonts w:asciiTheme="minorHAnsi" w:eastAsiaTheme="minorEastAsia" w:hAnsiTheme="minorHAnsi" w:cstheme="minorBidi"/>
          <w:b/>
          <w:bCs/>
          <w:i w:val="0"/>
          <w:iCs w:val="0"/>
          <w:color w:val="auto"/>
          <w:sz w:val="22"/>
          <w:szCs w:val="22"/>
        </w:rPr>
        <w:fldChar w:fldCharType="begin"/>
      </w:r>
      <w:r w:rsidR="00E34D45">
        <w:rPr>
          <w:rFonts w:asciiTheme="minorHAnsi" w:eastAsiaTheme="minorEastAsia" w:hAnsiTheme="minorHAnsi" w:cstheme="minorBidi"/>
          <w:b/>
          <w:bCs/>
          <w:i w:val="0"/>
          <w:iCs w:val="0"/>
          <w:color w:val="auto"/>
          <w:sz w:val="22"/>
          <w:szCs w:val="22"/>
        </w:rPr>
        <w:instrText xml:space="preserve"> SEQ Tabulka \* ARABIC \s 1 </w:instrText>
      </w:r>
      <w:r w:rsidR="00E34D45">
        <w:rPr>
          <w:rFonts w:asciiTheme="minorHAnsi" w:eastAsiaTheme="minorEastAsia" w:hAnsiTheme="minorHAnsi" w:cstheme="minorBidi"/>
          <w:b/>
          <w:bCs/>
          <w:i w:val="0"/>
          <w:iCs w:val="0"/>
          <w:color w:val="auto"/>
          <w:sz w:val="22"/>
          <w:szCs w:val="22"/>
        </w:rPr>
        <w:fldChar w:fldCharType="separate"/>
      </w:r>
      <w:r w:rsidR="00E34D45">
        <w:rPr>
          <w:rFonts w:asciiTheme="minorHAnsi" w:eastAsiaTheme="minorEastAsia" w:hAnsiTheme="minorHAnsi" w:cstheme="minorBidi"/>
          <w:b/>
          <w:bCs/>
          <w:i w:val="0"/>
          <w:iCs w:val="0"/>
          <w:noProof/>
          <w:color w:val="auto"/>
          <w:sz w:val="22"/>
          <w:szCs w:val="22"/>
        </w:rPr>
        <w:t>1</w:t>
      </w:r>
      <w:r w:rsidR="00E34D45">
        <w:rPr>
          <w:rFonts w:asciiTheme="minorHAnsi" w:eastAsiaTheme="minorEastAsia" w:hAnsiTheme="minorHAnsi" w:cstheme="minorBidi"/>
          <w:b/>
          <w:bCs/>
          <w:i w:val="0"/>
          <w:iCs w:val="0"/>
          <w:color w:val="auto"/>
          <w:sz w:val="22"/>
          <w:szCs w:val="22"/>
        </w:rPr>
        <w:fldChar w:fldCharType="end"/>
      </w:r>
      <w:r w:rsidRPr="004B694B">
        <w:rPr>
          <w:rFonts w:asciiTheme="minorHAnsi" w:eastAsiaTheme="minorEastAsia" w:hAnsiTheme="minorHAnsi" w:cstheme="minorBidi"/>
          <w:b/>
          <w:bCs/>
          <w:i w:val="0"/>
          <w:iCs w:val="0"/>
          <w:color w:val="auto"/>
          <w:sz w:val="22"/>
          <w:szCs w:val="22"/>
        </w:rPr>
        <w:t>: Počet venkovských obcí a obyvatel podle velikostních kategorií obcí v ČR ve vybraných letech</w:t>
      </w:r>
      <w:bookmarkEnd w:id="44"/>
    </w:p>
    <w:p w14:paraId="17437237" w14:textId="77777777" w:rsidR="00143820" w:rsidRPr="004B694B" w:rsidRDefault="00143820" w:rsidP="004B694B">
      <w:pPr>
        <w:spacing w:before="0" w:line="240" w:lineRule="auto"/>
        <w:ind w:firstLine="0"/>
        <w:rPr>
          <w:rFonts w:asciiTheme="minorHAnsi" w:eastAsiaTheme="minorEastAsia" w:hAnsiTheme="minorHAnsi" w:cstheme="minorBidi"/>
          <w:i/>
          <w:iCs/>
          <w:sz w:val="18"/>
          <w:szCs w:val="18"/>
        </w:rPr>
      </w:pPr>
      <w:r w:rsidRPr="00ED1EF8">
        <w:rPr>
          <w:noProof/>
        </w:rPr>
        <w:drawing>
          <wp:inline distT="0" distB="0" distL="0" distR="0" wp14:anchorId="5833FEDB" wp14:editId="5DC4ED33">
            <wp:extent cx="6128935" cy="1141171"/>
            <wp:effectExtent l="0" t="0" r="5715"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8310"/>
                    <a:stretch/>
                  </pic:blipFill>
                  <pic:spPr bwMode="auto">
                    <a:xfrm>
                      <a:off x="0" y="0"/>
                      <a:ext cx="6195740" cy="1153610"/>
                    </a:xfrm>
                    <a:prstGeom prst="rect">
                      <a:avLst/>
                    </a:prstGeom>
                    <a:noFill/>
                    <a:ln>
                      <a:noFill/>
                    </a:ln>
                    <a:extLst>
                      <a:ext uri="{53640926-AAD7-44D8-BBD7-CCE9431645EC}">
                        <a14:shadowObscured xmlns:a14="http://schemas.microsoft.com/office/drawing/2010/main"/>
                      </a:ext>
                    </a:extLst>
                  </pic:spPr>
                </pic:pic>
              </a:graphicData>
            </a:graphic>
          </wp:inline>
        </w:drawing>
      </w:r>
      <w:r w:rsidRPr="5630C8BA">
        <w:rPr>
          <w:rFonts w:asciiTheme="minorHAnsi" w:eastAsiaTheme="minorEastAsia" w:hAnsiTheme="minorHAnsi" w:cstheme="minorBidi"/>
          <w:i/>
          <w:iCs/>
          <w:sz w:val="18"/>
          <w:szCs w:val="18"/>
        </w:rPr>
        <w:t>Zdroj: Sčítání lidu, domů a bytů 2001, ČSÚ 2002; Lexikon obcí ČR 2008, 2013–17, ČSÚ 2009–2018</w:t>
      </w:r>
    </w:p>
    <w:p w14:paraId="11817024" w14:textId="77777777" w:rsidR="006C650C" w:rsidRDefault="006C650C" w:rsidP="00EE3C77">
      <w:pPr>
        <w:pStyle w:val="Titulek"/>
        <w:spacing w:before="60" w:after="0" w:line="360" w:lineRule="atLeast"/>
        <w:ind w:firstLine="0"/>
        <w:rPr>
          <w:rFonts w:asciiTheme="minorHAnsi" w:hAnsiTheme="minorHAnsi" w:cstheme="minorHAnsi"/>
          <w:b/>
          <w:i w:val="0"/>
          <w:color w:val="auto"/>
          <w:sz w:val="22"/>
          <w:szCs w:val="22"/>
        </w:rPr>
      </w:pPr>
    </w:p>
    <w:p w14:paraId="2DB7C57C" w14:textId="77777777" w:rsidR="00143820" w:rsidRPr="004B694B" w:rsidRDefault="00143820" w:rsidP="004B694B">
      <w:pPr>
        <w:pStyle w:val="Titulek"/>
        <w:spacing w:after="0"/>
        <w:ind w:firstLine="0"/>
        <w:rPr>
          <w:rFonts w:asciiTheme="minorHAnsi" w:eastAsiaTheme="minorEastAsia" w:hAnsiTheme="minorHAnsi" w:cstheme="minorBidi"/>
          <w:b/>
          <w:bCs/>
          <w:i w:val="0"/>
          <w:iCs w:val="0"/>
          <w:color w:val="auto"/>
          <w:sz w:val="22"/>
          <w:szCs w:val="22"/>
        </w:rPr>
      </w:pPr>
      <w:bookmarkStart w:id="45" w:name="_Toc525727617"/>
      <w:bookmarkStart w:id="46" w:name="_Toc525735904"/>
      <w:bookmarkStart w:id="47" w:name="_Toc525738201"/>
      <w:r w:rsidRPr="004B694B">
        <w:rPr>
          <w:rFonts w:asciiTheme="minorHAnsi" w:eastAsiaTheme="minorEastAsia" w:hAnsiTheme="minorHAnsi" w:cstheme="minorBidi"/>
          <w:b/>
          <w:bCs/>
          <w:i w:val="0"/>
          <w:iCs w:val="0"/>
          <w:color w:val="auto"/>
          <w:sz w:val="22"/>
          <w:szCs w:val="22"/>
        </w:rPr>
        <w:t xml:space="preserve">Obrázek </w:t>
      </w:r>
      <w:r w:rsidR="0060489F">
        <w:rPr>
          <w:rFonts w:asciiTheme="minorHAnsi" w:eastAsiaTheme="minorEastAsia" w:hAnsiTheme="minorHAnsi" w:cstheme="minorBidi"/>
          <w:b/>
          <w:bCs/>
          <w:i w:val="0"/>
          <w:iCs w:val="0"/>
          <w:color w:val="auto"/>
          <w:sz w:val="22"/>
          <w:szCs w:val="22"/>
        </w:rPr>
        <w:t>7.</w:t>
      </w:r>
      <w:r w:rsidR="00240E36">
        <w:rPr>
          <w:rFonts w:asciiTheme="minorHAnsi" w:eastAsiaTheme="minorEastAsia" w:hAnsiTheme="minorHAnsi" w:cstheme="minorBidi"/>
          <w:b/>
          <w:bCs/>
          <w:i w:val="0"/>
          <w:iCs w:val="0"/>
          <w:color w:val="auto"/>
          <w:sz w:val="22"/>
          <w:szCs w:val="22"/>
        </w:rPr>
        <w:fldChar w:fldCharType="begin"/>
      </w:r>
      <w:r w:rsidR="00240E36">
        <w:rPr>
          <w:rFonts w:asciiTheme="minorHAnsi" w:eastAsiaTheme="minorEastAsia" w:hAnsiTheme="minorHAnsi" w:cstheme="minorBidi"/>
          <w:b/>
          <w:bCs/>
          <w:i w:val="0"/>
          <w:iCs w:val="0"/>
          <w:color w:val="auto"/>
          <w:sz w:val="22"/>
          <w:szCs w:val="22"/>
        </w:rPr>
        <w:instrText xml:space="preserve"> STYLEREF 1 \s </w:instrText>
      </w:r>
      <w:r w:rsidR="00240E36">
        <w:rPr>
          <w:rFonts w:asciiTheme="minorHAnsi" w:eastAsiaTheme="minorEastAsia" w:hAnsiTheme="minorHAnsi" w:cstheme="minorBidi"/>
          <w:b/>
          <w:bCs/>
          <w:i w:val="0"/>
          <w:iCs w:val="0"/>
          <w:color w:val="auto"/>
          <w:sz w:val="22"/>
          <w:szCs w:val="22"/>
        </w:rPr>
        <w:fldChar w:fldCharType="separate"/>
      </w:r>
      <w:r w:rsidR="00240E36">
        <w:rPr>
          <w:rFonts w:asciiTheme="minorHAnsi" w:eastAsiaTheme="minorEastAsia" w:hAnsiTheme="minorHAnsi" w:cstheme="minorBidi"/>
          <w:b/>
          <w:bCs/>
          <w:i w:val="0"/>
          <w:iCs w:val="0"/>
          <w:noProof/>
          <w:color w:val="auto"/>
          <w:sz w:val="22"/>
          <w:szCs w:val="22"/>
        </w:rPr>
        <w:t>2</w:t>
      </w:r>
      <w:r w:rsidR="00240E36">
        <w:rPr>
          <w:rFonts w:asciiTheme="minorHAnsi" w:eastAsiaTheme="minorEastAsia" w:hAnsiTheme="minorHAnsi" w:cstheme="minorBidi"/>
          <w:b/>
          <w:bCs/>
          <w:i w:val="0"/>
          <w:iCs w:val="0"/>
          <w:color w:val="auto"/>
          <w:sz w:val="22"/>
          <w:szCs w:val="22"/>
        </w:rPr>
        <w:fldChar w:fldCharType="end"/>
      </w:r>
      <w:r w:rsidR="00240E36">
        <w:rPr>
          <w:rFonts w:asciiTheme="minorHAnsi" w:eastAsiaTheme="minorEastAsia" w:hAnsiTheme="minorHAnsi" w:cstheme="minorBidi"/>
          <w:b/>
          <w:bCs/>
          <w:i w:val="0"/>
          <w:iCs w:val="0"/>
          <w:color w:val="auto"/>
          <w:sz w:val="22"/>
          <w:szCs w:val="22"/>
        </w:rPr>
        <w:t>.</w:t>
      </w:r>
      <w:r w:rsidR="00EB5B81">
        <w:rPr>
          <w:rFonts w:asciiTheme="minorHAnsi" w:eastAsiaTheme="minorEastAsia" w:hAnsiTheme="minorHAnsi" w:cstheme="minorBidi"/>
          <w:b/>
          <w:bCs/>
          <w:i w:val="0"/>
          <w:iCs w:val="0"/>
          <w:color w:val="auto"/>
          <w:sz w:val="22"/>
          <w:szCs w:val="22"/>
        </w:rPr>
        <w:fldChar w:fldCharType="begin"/>
      </w:r>
      <w:r w:rsidR="00EB5B81">
        <w:rPr>
          <w:rFonts w:asciiTheme="minorHAnsi" w:eastAsiaTheme="minorEastAsia" w:hAnsiTheme="minorHAnsi" w:cstheme="minorBidi"/>
          <w:b/>
          <w:bCs/>
          <w:i w:val="0"/>
          <w:iCs w:val="0"/>
          <w:color w:val="auto"/>
          <w:sz w:val="22"/>
          <w:szCs w:val="22"/>
        </w:rPr>
        <w:instrText xml:space="preserve"> SEQ Obrázek \* ARABIC \s 1 </w:instrText>
      </w:r>
      <w:r w:rsidR="00EB5B81">
        <w:rPr>
          <w:rFonts w:asciiTheme="minorHAnsi" w:eastAsiaTheme="minorEastAsia" w:hAnsiTheme="minorHAnsi" w:cstheme="minorBidi"/>
          <w:b/>
          <w:bCs/>
          <w:i w:val="0"/>
          <w:iCs w:val="0"/>
          <w:color w:val="auto"/>
          <w:sz w:val="22"/>
          <w:szCs w:val="22"/>
        </w:rPr>
        <w:fldChar w:fldCharType="separate"/>
      </w:r>
      <w:r w:rsidR="00EB5B81">
        <w:rPr>
          <w:rFonts w:asciiTheme="minorHAnsi" w:eastAsiaTheme="minorEastAsia" w:hAnsiTheme="minorHAnsi" w:cstheme="minorBidi"/>
          <w:b/>
          <w:bCs/>
          <w:i w:val="0"/>
          <w:iCs w:val="0"/>
          <w:noProof/>
          <w:color w:val="auto"/>
          <w:sz w:val="22"/>
          <w:szCs w:val="22"/>
        </w:rPr>
        <w:t>1</w:t>
      </w:r>
      <w:r w:rsidR="00EB5B81">
        <w:rPr>
          <w:rFonts w:asciiTheme="minorHAnsi" w:eastAsiaTheme="minorEastAsia" w:hAnsiTheme="minorHAnsi" w:cstheme="minorBidi"/>
          <w:b/>
          <w:bCs/>
          <w:i w:val="0"/>
          <w:iCs w:val="0"/>
          <w:color w:val="auto"/>
          <w:sz w:val="22"/>
          <w:szCs w:val="22"/>
        </w:rPr>
        <w:fldChar w:fldCharType="end"/>
      </w:r>
      <w:r w:rsidRPr="004B694B">
        <w:rPr>
          <w:rFonts w:asciiTheme="minorHAnsi" w:eastAsiaTheme="minorEastAsia" w:hAnsiTheme="minorHAnsi" w:cstheme="minorBidi"/>
          <w:b/>
          <w:bCs/>
          <w:i w:val="0"/>
          <w:iCs w:val="0"/>
          <w:color w:val="auto"/>
          <w:sz w:val="22"/>
          <w:szCs w:val="22"/>
        </w:rPr>
        <w:t>: Počet obyvatel venkova dle velikostních kategorií obcí v ČR 2013-2017</w:t>
      </w:r>
      <w:bookmarkEnd w:id="45"/>
      <w:bookmarkEnd w:id="46"/>
      <w:bookmarkEnd w:id="47"/>
    </w:p>
    <w:p w14:paraId="7E1FE68F" w14:textId="77777777" w:rsidR="00143820" w:rsidRDefault="00143820" w:rsidP="00E23550">
      <w:pPr>
        <w:keepNext/>
        <w:spacing w:line="240" w:lineRule="auto"/>
        <w:ind w:firstLine="0"/>
      </w:pPr>
      <w:r w:rsidRPr="00F94D64">
        <w:rPr>
          <w:i/>
          <w:noProof/>
        </w:rPr>
        <w:drawing>
          <wp:inline distT="0" distB="0" distL="0" distR="0" wp14:anchorId="66CCAEF7" wp14:editId="55613A15">
            <wp:extent cx="4464423" cy="1436914"/>
            <wp:effectExtent l="0" t="0" r="12700" b="11430"/>
            <wp:docPr id="2" name="Graf 2">
              <a:extLst xmlns:a="http://schemas.openxmlformats.org/drawingml/2006/main">
                <a:ext uri="{FF2B5EF4-FFF2-40B4-BE49-F238E27FC236}">
                  <a16:creationId xmlns:a16="http://schemas.microsoft.com/office/drawing/2014/main" id="{B92BBAC3-B6DC-450C-BFFA-F4A0C21622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DCE4DA" w14:textId="77777777" w:rsidR="00143820" w:rsidRPr="004B694B" w:rsidRDefault="00143820" w:rsidP="004B694B">
      <w:pPr>
        <w:spacing w:before="0" w:line="240" w:lineRule="auto"/>
        <w:ind w:firstLine="0"/>
        <w:rPr>
          <w:rFonts w:asciiTheme="minorHAnsi" w:eastAsiaTheme="minorEastAsia" w:hAnsiTheme="minorHAnsi" w:cstheme="minorBidi"/>
          <w:i/>
          <w:iCs/>
          <w:sz w:val="18"/>
          <w:szCs w:val="18"/>
        </w:rPr>
      </w:pPr>
      <w:r w:rsidRPr="004B694B">
        <w:rPr>
          <w:rFonts w:asciiTheme="minorHAnsi" w:eastAsiaTheme="minorEastAsia" w:hAnsiTheme="minorHAnsi" w:cstheme="minorBidi"/>
          <w:i/>
          <w:iCs/>
          <w:sz w:val="18"/>
          <w:szCs w:val="18"/>
        </w:rPr>
        <w:t>Zdroj: ČSÚ, Malý lexikon obcí 2013-17</w:t>
      </w:r>
    </w:p>
    <w:p w14:paraId="3D443E10" w14:textId="77777777" w:rsidR="006C650C" w:rsidRDefault="006C650C" w:rsidP="006C650C">
      <w:pPr>
        <w:pStyle w:val="Normlnweb"/>
        <w:spacing w:before="60" w:beforeAutospacing="0" w:line="360" w:lineRule="atLeast"/>
        <w:ind w:firstLine="709"/>
        <w:contextualSpacing/>
        <w:jc w:val="both"/>
        <w:rPr>
          <w:rFonts w:asciiTheme="minorHAnsi" w:hAnsiTheme="minorHAnsi" w:cstheme="minorHAnsi"/>
          <w:sz w:val="22"/>
          <w:szCs w:val="22"/>
        </w:rPr>
      </w:pPr>
    </w:p>
    <w:p w14:paraId="7E0DAE7F" w14:textId="77777777" w:rsidR="00143820" w:rsidRPr="0060489F" w:rsidRDefault="00143820" w:rsidP="004B694B">
      <w:pPr>
        <w:pStyle w:val="Normlnweb"/>
        <w:spacing w:before="60" w:beforeAutospacing="0" w:line="360" w:lineRule="atLeast"/>
        <w:ind w:firstLine="567"/>
        <w:contextualSpacing/>
        <w:jc w:val="both"/>
      </w:pPr>
      <w:r w:rsidRPr="006C650C">
        <w:t xml:space="preserve">Rozmístění obyvatel na území ČR není rovnoměrné – z ekonomického pohledu se obyvatelstvo nejvíce </w:t>
      </w:r>
      <w:r w:rsidRPr="0060489F">
        <w:t>koncentruje v oblastech větší nabídky pracovních příležitostí – tj. především v největších městech ČR (Praha, Brno, Ostrava, Plzeň) a průmyslových oblastech (severní Čechy, Ostravsko, střední Morava). Průměrná hustota zalidnění pro celé území ČR je relativně vysoká a činí 134,1 ob./km</w:t>
      </w:r>
      <w:r w:rsidRPr="0060489F">
        <w:rPr>
          <w:vertAlign w:val="superscript"/>
        </w:rPr>
        <w:t xml:space="preserve">2 </w:t>
      </w:r>
      <w:r w:rsidRPr="0060489F">
        <w:t>(k 1.1.2017). Z venkovských krajů vykazuje nejvyšší hustotu zalidnění kraj Zlínský, nejnižší pak kraje Jihočeský, Vysočina a Plzeňský, které se tímto ukazatelem výrazněji odlišují od zbytku ČR (viz Obrázek </w:t>
      </w:r>
      <w:r w:rsidR="0060489F" w:rsidRPr="0060489F">
        <w:t>7.</w:t>
      </w:r>
      <w:r w:rsidRPr="0060489F">
        <w:t xml:space="preserve">2.2). V kraji Vysočina jako v jediném z krajů ČR přesahuje podíl obyvatelstva v obcích s nízkou hustotou zalidnění 50 % (Obrázek </w:t>
      </w:r>
      <w:r w:rsidR="0060489F" w:rsidRPr="0060489F">
        <w:t>7.</w:t>
      </w:r>
      <w:r w:rsidRPr="0060489F">
        <w:t xml:space="preserve">2.3). </w:t>
      </w:r>
    </w:p>
    <w:p w14:paraId="6DEC314D" w14:textId="77777777" w:rsidR="00143820" w:rsidRPr="004B694B" w:rsidRDefault="00143820" w:rsidP="004B694B">
      <w:pPr>
        <w:keepNext/>
        <w:spacing w:before="0" w:line="240" w:lineRule="auto"/>
        <w:ind w:firstLine="0"/>
        <w:rPr>
          <w:rFonts w:asciiTheme="minorHAnsi" w:eastAsiaTheme="minorEastAsia" w:hAnsiTheme="minorHAnsi" w:cstheme="minorBidi"/>
          <w:b/>
          <w:bCs/>
          <w:sz w:val="22"/>
          <w:szCs w:val="22"/>
        </w:rPr>
      </w:pPr>
      <w:bookmarkStart w:id="48" w:name="_Toc525727618"/>
      <w:bookmarkStart w:id="49" w:name="_Toc525735905"/>
      <w:bookmarkStart w:id="50" w:name="_Toc525738202"/>
      <w:r w:rsidRPr="004B694B">
        <w:rPr>
          <w:rFonts w:asciiTheme="minorHAnsi" w:eastAsiaTheme="minorEastAsia" w:hAnsiTheme="minorHAnsi" w:cstheme="minorBidi"/>
          <w:b/>
          <w:bCs/>
          <w:sz w:val="22"/>
          <w:szCs w:val="22"/>
        </w:rPr>
        <w:lastRenderedPageBreak/>
        <w:t xml:space="preserve">Obrázek </w:t>
      </w:r>
      <w:r w:rsidR="0060489F">
        <w:rPr>
          <w:rFonts w:asciiTheme="minorHAnsi" w:eastAsiaTheme="minorEastAsia" w:hAnsiTheme="minorHAnsi" w:cstheme="minorBidi"/>
          <w:b/>
          <w:bCs/>
          <w:sz w:val="22"/>
          <w:szCs w:val="22"/>
        </w:rPr>
        <w:t>7.</w:t>
      </w:r>
      <w:r w:rsidR="00240E36">
        <w:rPr>
          <w:rFonts w:asciiTheme="minorHAnsi" w:eastAsiaTheme="minorEastAsia" w:hAnsiTheme="minorHAnsi" w:cstheme="minorBidi"/>
          <w:b/>
          <w:bCs/>
          <w:sz w:val="22"/>
          <w:szCs w:val="22"/>
        </w:rPr>
        <w:fldChar w:fldCharType="begin"/>
      </w:r>
      <w:r w:rsidR="00240E36">
        <w:rPr>
          <w:rFonts w:asciiTheme="minorHAnsi" w:eastAsiaTheme="minorEastAsia" w:hAnsiTheme="minorHAnsi" w:cstheme="minorBidi"/>
          <w:b/>
          <w:bCs/>
          <w:sz w:val="22"/>
          <w:szCs w:val="22"/>
        </w:rPr>
        <w:instrText xml:space="preserve"> STYLEREF 1 \s </w:instrText>
      </w:r>
      <w:r w:rsidR="00240E36">
        <w:rPr>
          <w:rFonts w:asciiTheme="minorHAnsi" w:eastAsiaTheme="minorEastAsia" w:hAnsiTheme="minorHAnsi" w:cstheme="minorBidi"/>
          <w:b/>
          <w:bCs/>
          <w:sz w:val="22"/>
          <w:szCs w:val="22"/>
        </w:rPr>
        <w:fldChar w:fldCharType="separate"/>
      </w:r>
      <w:r w:rsidR="00240E36">
        <w:rPr>
          <w:rFonts w:asciiTheme="minorHAnsi" w:eastAsiaTheme="minorEastAsia" w:hAnsiTheme="minorHAnsi" w:cstheme="minorBidi"/>
          <w:b/>
          <w:bCs/>
          <w:noProof/>
          <w:sz w:val="22"/>
          <w:szCs w:val="22"/>
        </w:rPr>
        <w:t>2</w:t>
      </w:r>
      <w:r w:rsidR="00240E36">
        <w:rPr>
          <w:rFonts w:asciiTheme="minorHAnsi" w:eastAsiaTheme="minorEastAsia" w:hAnsiTheme="minorHAnsi" w:cstheme="minorBidi"/>
          <w:b/>
          <w:bCs/>
          <w:sz w:val="22"/>
          <w:szCs w:val="22"/>
        </w:rPr>
        <w:fldChar w:fldCharType="end"/>
      </w:r>
      <w:r w:rsidR="00240E36">
        <w:rPr>
          <w:rFonts w:asciiTheme="minorHAnsi" w:eastAsiaTheme="minorEastAsia" w:hAnsiTheme="minorHAnsi" w:cstheme="minorBidi"/>
          <w:b/>
          <w:bCs/>
          <w:sz w:val="22"/>
          <w:szCs w:val="22"/>
        </w:rPr>
        <w:t>.</w:t>
      </w:r>
      <w:r w:rsidR="00EB5B81">
        <w:rPr>
          <w:rFonts w:asciiTheme="minorHAnsi" w:eastAsiaTheme="minorEastAsia" w:hAnsiTheme="minorHAnsi" w:cstheme="minorBidi"/>
          <w:b/>
          <w:bCs/>
          <w:sz w:val="22"/>
          <w:szCs w:val="22"/>
        </w:rPr>
        <w:fldChar w:fldCharType="begin"/>
      </w:r>
      <w:r w:rsidR="00EB5B81">
        <w:rPr>
          <w:rFonts w:asciiTheme="minorHAnsi" w:eastAsiaTheme="minorEastAsia" w:hAnsiTheme="minorHAnsi" w:cstheme="minorBidi"/>
          <w:b/>
          <w:bCs/>
          <w:sz w:val="22"/>
          <w:szCs w:val="22"/>
        </w:rPr>
        <w:instrText xml:space="preserve"> SEQ Obrázek \* ARABIC \s 1 </w:instrText>
      </w:r>
      <w:r w:rsidR="00EB5B81">
        <w:rPr>
          <w:rFonts w:asciiTheme="minorHAnsi" w:eastAsiaTheme="minorEastAsia" w:hAnsiTheme="minorHAnsi" w:cstheme="minorBidi"/>
          <w:b/>
          <w:bCs/>
          <w:sz w:val="22"/>
          <w:szCs w:val="22"/>
        </w:rPr>
        <w:fldChar w:fldCharType="separate"/>
      </w:r>
      <w:r w:rsidR="00EB5B81">
        <w:rPr>
          <w:rFonts w:asciiTheme="minorHAnsi" w:eastAsiaTheme="minorEastAsia" w:hAnsiTheme="minorHAnsi" w:cstheme="minorBidi"/>
          <w:b/>
          <w:bCs/>
          <w:noProof/>
          <w:sz w:val="22"/>
          <w:szCs w:val="22"/>
        </w:rPr>
        <w:t>2</w:t>
      </w:r>
      <w:r w:rsidR="00EB5B81">
        <w:rPr>
          <w:rFonts w:asciiTheme="minorHAnsi" w:eastAsiaTheme="minorEastAsia" w:hAnsiTheme="minorHAnsi" w:cstheme="minorBidi"/>
          <w:b/>
          <w:bCs/>
          <w:sz w:val="22"/>
          <w:szCs w:val="22"/>
        </w:rPr>
        <w:fldChar w:fldCharType="end"/>
      </w:r>
      <w:r w:rsidRPr="004B694B">
        <w:rPr>
          <w:rFonts w:asciiTheme="minorHAnsi" w:eastAsiaTheme="minorEastAsia" w:hAnsiTheme="minorHAnsi" w:cstheme="minorBidi"/>
          <w:b/>
          <w:bCs/>
          <w:sz w:val="22"/>
          <w:szCs w:val="22"/>
        </w:rPr>
        <w:t>: Hustota zalidnění v krajích ČR v roce 2017 (ob./km</w:t>
      </w:r>
      <w:r w:rsidRPr="004B694B">
        <w:rPr>
          <w:rFonts w:asciiTheme="minorHAnsi" w:eastAsiaTheme="minorEastAsia" w:hAnsiTheme="minorHAnsi" w:cstheme="minorBidi"/>
          <w:b/>
          <w:bCs/>
          <w:sz w:val="22"/>
          <w:szCs w:val="22"/>
          <w:vertAlign w:val="superscript"/>
        </w:rPr>
        <w:t>2</w:t>
      </w:r>
      <w:r w:rsidRPr="004B694B">
        <w:rPr>
          <w:rFonts w:asciiTheme="minorHAnsi" w:eastAsiaTheme="minorEastAsia" w:hAnsiTheme="minorHAnsi" w:cstheme="minorBidi"/>
          <w:b/>
          <w:bCs/>
          <w:sz w:val="22"/>
          <w:szCs w:val="22"/>
        </w:rPr>
        <w:t>)</w:t>
      </w:r>
      <w:bookmarkEnd w:id="48"/>
      <w:bookmarkEnd w:id="49"/>
      <w:bookmarkEnd w:id="50"/>
    </w:p>
    <w:p w14:paraId="192C37DC" w14:textId="77777777" w:rsidR="00143820" w:rsidRDefault="00143820" w:rsidP="006C650C">
      <w:pPr>
        <w:keepNext/>
        <w:ind w:firstLine="0"/>
      </w:pPr>
      <w:r w:rsidRPr="001E0A58">
        <w:rPr>
          <w:noProof/>
        </w:rPr>
        <w:drawing>
          <wp:inline distT="0" distB="0" distL="0" distR="0" wp14:anchorId="0DFE173E" wp14:editId="67CE504E">
            <wp:extent cx="5555556" cy="1882588"/>
            <wp:effectExtent l="0" t="0" r="7620" b="3810"/>
            <wp:docPr id="5" name="Graf 5">
              <a:extLst xmlns:a="http://schemas.openxmlformats.org/drawingml/2006/main">
                <a:ext uri="{FF2B5EF4-FFF2-40B4-BE49-F238E27FC236}">
                  <a16:creationId xmlns:a16="http://schemas.microsoft.com/office/drawing/2014/main" id="{790DE650-6410-474C-B9A2-09916C184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67A127" w14:textId="77777777" w:rsidR="00143820" w:rsidRPr="004B694B" w:rsidRDefault="00633379" w:rsidP="004B694B">
      <w:pPr>
        <w:spacing w:before="0" w:line="240" w:lineRule="auto"/>
        <w:ind w:firstLine="0"/>
        <w:rPr>
          <w:rFonts w:asciiTheme="minorHAnsi" w:eastAsiaTheme="minorEastAsia" w:hAnsiTheme="minorHAnsi" w:cstheme="minorBidi"/>
          <w:i/>
          <w:iCs/>
          <w:sz w:val="18"/>
          <w:szCs w:val="18"/>
        </w:rPr>
      </w:pPr>
      <w:r w:rsidRPr="004B694B">
        <w:rPr>
          <w:rFonts w:asciiTheme="minorHAnsi" w:eastAsiaTheme="minorEastAsia" w:hAnsiTheme="minorHAnsi" w:cstheme="minorBidi"/>
          <w:i/>
          <w:iCs/>
          <w:sz w:val="18"/>
          <w:szCs w:val="18"/>
        </w:rPr>
        <w:t>Zdroj</w:t>
      </w:r>
      <w:r w:rsidR="00143820" w:rsidRPr="004B694B">
        <w:rPr>
          <w:rFonts w:asciiTheme="minorHAnsi" w:eastAsiaTheme="minorEastAsia" w:hAnsiTheme="minorHAnsi" w:cstheme="minorBidi"/>
          <w:i/>
          <w:iCs/>
          <w:sz w:val="18"/>
          <w:szCs w:val="18"/>
        </w:rPr>
        <w:t>: Malý lexikon obcí ČR 2017. Kraje kromě Hl. města Prahy</w:t>
      </w:r>
    </w:p>
    <w:p w14:paraId="329E31C8" w14:textId="77777777" w:rsidR="00143820" w:rsidRPr="002C7EBB" w:rsidRDefault="00143820" w:rsidP="006C650C">
      <w:pPr>
        <w:ind w:firstLine="0"/>
        <w:rPr>
          <w:rFonts w:cstheme="minorHAnsi"/>
          <w:i/>
          <w:sz w:val="18"/>
          <w:szCs w:val="18"/>
        </w:rPr>
      </w:pPr>
    </w:p>
    <w:p w14:paraId="79E88C9C" w14:textId="77777777" w:rsidR="00143820" w:rsidRPr="004B694B" w:rsidRDefault="00143820" w:rsidP="004B694B">
      <w:pPr>
        <w:spacing w:before="0" w:line="240" w:lineRule="auto"/>
        <w:ind w:firstLine="0"/>
        <w:rPr>
          <w:rFonts w:asciiTheme="minorHAnsi" w:eastAsiaTheme="minorEastAsia" w:hAnsiTheme="minorHAnsi" w:cstheme="minorBidi"/>
          <w:b/>
          <w:bCs/>
          <w:sz w:val="22"/>
          <w:szCs w:val="22"/>
        </w:rPr>
      </w:pPr>
      <w:bookmarkStart w:id="51" w:name="_Toc525727619"/>
      <w:bookmarkStart w:id="52" w:name="_Toc525735906"/>
      <w:bookmarkStart w:id="53" w:name="_Toc525738203"/>
      <w:r w:rsidRPr="004B694B">
        <w:rPr>
          <w:rFonts w:asciiTheme="minorHAnsi" w:eastAsiaTheme="minorEastAsia" w:hAnsiTheme="minorHAnsi" w:cstheme="minorBidi"/>
          <w:b/>
          <w:bCs/>
          <w:sz w:val="22"/>
          <w:szCs w:val="22"/>
        </w:rPr>
        <w:t xml:space="preserve">Obrázek </w:t>
      </w:r>
      <w:r w:rsidR="0060489F">
        <w:rPr>
          <w:rFonts w:asciiTheme="minorHAnsi" w:eastAsiaTheme="minorEastAsia" w:hAnsiTheme="minorHAnsi" w:cstheme="minorBidi"/>
          <w:b/>
          <w:bCs/>
          <w:sz w:val="22"/>
          <w:szCs w:val="22"/>
        </w:rPr>
        <w:t>7.</w:t>
      </w:r>
      <w:r w:rsidR="00240E36">
        <w:rPr>
          <w:rFonts w:asciiTheme="minorHAnsi" w:eastAsiaTheme="minorEastAsia" w:hAnsiTheme="minorHAnsi" w:cstheme="minorBidi"/>
          <w:b/>
          <w:bCs/>
          <w:sz w:val="22"/>
          <w:szCs w:val="22"/>
        </w:rPr>
        <w:fldChar w:fldCharType="begin"/>
      </w:r>
      <w:r w:rsidR="00240E36">
        <w:rPr>
          <w:rFonts w:asciiTheme="minorHAnsi" w:eastAsiaTheme="minorEastAsia" w:hAnsiTheme="minorHAnsi" w:cstheme="minorBidi"/>
          <w:b/>
          <w:bCs/>
          <w:sz w:val="22"/>
          <w:szCs w:val="22"/>
        </w:rPr>
        <w:instrText xml:space="preserve"> STYLEREF 1 \s </w:instrText>
      </w:r>
      <w:r w:rsidR="00240E36">
        <w:rPr>
          <w:rFonts w:asciiTheme="minorHAnsi" w:eastAsiaTheme="minorEastAsia" w:hAnsiTheme="minorHAnsi" w:cstheme="minorBidi"/>
          <w:b/>
          <w:bCs/>
          <w:sz w:val="22"/>
          <w:szCs w:val="22"/>
        </w:rPr>
        <w:fldChar w:fldCharType="separate"/>
      </w:r>
      <w:r w:rsidR="00240E36">
        <w:rPr>
          <w:rFonts w:asciiTheme="minorHAnsi" w:eastAsiaTheme="minorEastAsia" w:hAnsiTheme="minorHAnsi" w:cstheme="minorBidi"/>
          <w:b/>
          <w:bCs/>
          <w:noProof/>
          <w:sz w:val="22"/>
          <w:szCs w:val="22"/>
        </w:rPr>
        <w:t>2</w:t>
      </w:r>
      <w:r w:rsidR="00240E36">
        <w:rPr>
          <w:rFonts w:asciiTheme="minorHAnsi" w:eastAsiaTheme="minorEastAsia" w:hAnsiTheme="minorHAnsi" w:cstheme="minorBidi"/>
          <w:b/>
          <w:bCs/>
          <w:sz w:val="22"/>
          <w:szCs w:val="22"/>
        </w:rPr>
        <w:fldChar w:fldCharType="end"/>
      </w:r>
      <w:r w:rsidR="00240E36">
        <w:rPr>
          <w:rFonts w:asciiTheme="minorHAnsi" w:eastAsiaTheme="minorEastAsia" w:hAnsiTheme="minorHAnsi" w:cstheme="minorBidi"/>
          <w:b/>
          <w:bCs/>
          <w:sz w:val="22"/>
          <w:szCs w:val="22"/>
        </w:rPr>
        <w:t>.</w:t>
      </w:r>
      <w:r w:rsidR="00EB5B81">
        <w:rPr>
          <w:rFonts w:asciiTheme="minorHAnsi" w:eastAsiaTheme="minorEastAsia" w:hAnsiTheme="minorHAnsi" w:cstheme="minorBidi"/>
          <w:b/>
          <w:bCs/>
          <w:sz w:val="22"/>
          <w:szCs w:val="22"/>
        </w:rPr>
        <w:fldChar w:fldCharType="begin"/>
      </w:r>
      <w:r w:rsidR="00EB5B81">
        <w:rPr>
          <w:rFonts w:asciiTheme="minorHAnsi" w:eastAsiaTheme="minorEastAsia" w:hAnsiTheme="minorHAnsi" w:cstheme="minorBidi"/>
          <w:b/>
          <w:bCs/>
          <w:sz w:val="22"/>
          <w:szCs w:val="22"/>
        </w:rPr>
        <w:instrText xml:space="preserve"> SEQ Obrázek \* ARABIC \s 1 </w:instrText>
      </w:r>
      <w:r w:rsidR="00EB5B81">
        <w:rPr>
          <w:rFonts w:asciiTheme="minorHAnsi" w:eastAsiaTheme="minorEastAsia" w:hAnsiTheme="minorHAnsi" w:cstheme="minorBidi"/>
          <w:b/>
          <w:bCs/>
          <w:sz w:val="22"/>
          <w:szCs w:val="22"/>
        </w:rPr>
        <w:fldChar w:fldCharType="separate"/>
      </w:r>
      <w:r w:rsidR="00EB5B81">
        <w:rPr>
          <w:rFonts w:asciiTheme="minorHAnsi" w:eastAsiaTheme="minorEastAsia" w:hAnsiTheme="minorHAnsi" w:cstheme="minorBidi"/>
          <w:b/>
          <w:bCs/>
          <w:noProof/>
          <w:sz w:val="22"/>
          <w:szCs w:val="22"/>
        </w:rPr>
        <w:t>3</w:t>
      </w:r>
      <w:r w:rsidR="00EB5B81">
        <w:rPr>
          <w:rFonts w:asciiTheme="minorHAnsi" w:eastAsiaTheme="minorEastAsia" w:hAnsiTheme="minorHAnsi" w:cstheme="minorBidi"/>
          <w:b/>
          <w:bCs/>
          <w:sz w:val="22"/>
          <w:szCs w:val="22"/>
        </w:rPr>
        <w:fldChar w:fldCharType="end"/>
      </w:r>
      <w:r w:rsidRPr="004B694B">
        <w:rPr>
          <w:rFonts w:asciiTheme="minorHAnsi" w:eastAsiaTheme="minorEastAsia" w:hAnsiTheme="minorHAnsi" w:cstheme="minorBidi"/>
          <w:b/>
          <w:bCs/>
          <w:sz w:val="22"/>
          <w:szCs w:val="22"/>
        </w:rPr>
        <w:t>: Podíl obyvatelstva v obcích s nízkou hustotou zalidnění (do 150 ob./km</w:t>
      </w:r>
      <w:r w:rsidRPr="004B694B">
        <w:rPr>
          <w:rFonts w:asciiTheme="minorHAnsi" w:eastAsiaTheme="minorEastAsia" w:hAnsiTheme="minorHAnsi" w:cstheme="minorBidi"/>
          <w:b/>
          <w:bCs/>
          <w:sz w:val="22"/>
          <w:szCs w:val="22"/>
          <w:vertAlign w:val="superscript"/>
        </w:rPr>
        <w:t>2</w:t>
      </w:r>
      <w:r w:rsidRPr="004B694B">
        <w:rPr>
          <w:rFonts w:asciiTheme="minorHAnsi" w:eastAsiaTheme="minorEastAsia" w:hAnsiTheme="minorHAnsi" w:cstheme="minorBidi"/>
          <w:b/>
          <w:bCs/>
          <w:sz w:val="22"/>
          <w:szCs w:val="22"/>
        </w:rPr>
        <w:t>) v krajích ČR v roce 2017 (%)</w:t>
      </w:r>
      <w:bookmarkEnd w:id="51"/>
      <w:bookmarkEnd w:id="52"/>
      <w:bookmarkEnd w:id="53"/>
    </w:p>
    <w:p w14:paraId="69673D66" w14:textId="77777777" w:rsidR="00143820" w:rsidRDefault="00143820" w:rsidP="006C650C">
      <w:pPr>
        <w:keepNext/>
        <w:spacing w:line="240" w:lineRule="auto"/>
        <w:ind w:firstLine="0"/>
      </w:pPr>
      <w:r w:rsidRPr="001E0A58">
        <w:rPr>
          <w:noProof/>
        </w:rPr>
        <w:drawing>
          <wp:inline distT="0" distB="0" distL="0" distR="0" wp14:anchorId="70EBB5AC" wp14:editId="1DA5728F">
            <wp:extent cx="5570924" cy="1959429"/>
            <wp:effectExtent l="0" t="0" r="10795" b="3175"/>
            <wp:docPr id="29" name="Graf 29">
              <a:extLst xmlns:a="http://schemas.openxmlformats.org/drawingml/2006/main">
                <a:ext uri="{FF2B5EF4-FFF2-40B4-BE49-F238E27FC236}">
                  <a16:creationId xmlns:a16="http://schemas.microsoft.com/office/drawing/2014/main" id="{EBD24057-8514-48FE-B077-25E9773282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AB4E4B" w14:textId="77777777" w:rsidR="00143820" w:rsidRPr="004B694B" w:rsidRDefault="00633379" w:rsidP="004B694B">
      <w:pPr>
        <w:spacing w:before="0" w:line="240" w:lineRule="auto"/>
        <w:ind w:firstLine="0"/>
        <w:rPr>
          <w:rFonts w:asciiTheme="minorHAnsi" w:eastAsiaTheme="minorEastAsia" w:hAnsiTheme="minorHAnsi" w:cstheme="minorBidi"/>
          <w:i/>
          <w:iCs/>
          <w:sz w:val="18"/>
          <w:szCs w:val="18"/>
        </w:rPr>
      </w:pPr>
      <w:r w:rsidRPr="004B694B">
        <w:rPr>
          <w:rFonts w:asciiTheme="minorHAnsi" w:eastAsiaTheme="minorEastAsia" w:hAnsiTheme="minorHAnsi" w:cstheme="minorBidi"/>
          <w:i/>
          <w:iCs/>
          <w:sz w:val="18"/>
          <w:szCs w:val="18"/>
        </w:rPr>
        <w:t>Zdroj</w:t>
      </w:r>
      <w:r w:rsidR="00143820" w:rsidRPr="004B694B">
        <w:rPr>
          <w:rFonts w:asciiTheme="minorHAnsi" w:eastAsiaTheme="minorEastAsia" w:hAnsiTheme="minorHAnsi" w:cstheme="minorBidi"/>
          <w:i/>
          <w:iCs/>
          <w:sz w:val="18"/>
          <w:szCs w:val="18"/>
        </w:rPr>
        <w:t>: Malý lexikon obcí ČR 2017</w:t>
      </w:r>
    </w:p>
    <w:p w14:paraId="1EE75DBA" w14:textId="77777777" w:rsidR="00143820" w:rsidRPr="001E0A58" w:rsidRDefault="00143820" w:rsidP="00143820">
      <w:pPr>
        <w:spacing w:line="240" w:lineRule="auto"/>
        <w:rPr>
          <w:rFonts w:cstheme="minorHAnsi"/>
          <w:i/>
          <w:sz w:val="20"/>
          <w:szCs w:val="20"/>
        </w:rPr>
      </w:pPr>
    </w:p>
    <w:p w14:paraId="2D03712D" w14:textId="77777777" w:rsidR="00143820" w:rsidRPr="00F94D64" w:rsidRDefault="00143820" w:rsidP="00143820">
      <w:pPr>
        <w:spacing w:line="240" w:lineRule="auto"/>
        <w:rPr>
          <w:rFonts w:cstheme="minorHAnsi"/>
          <w:i/>
          <w:sz w:val="18"/>
          <w:szCs w:val="18"/>
        </w:rPr>
      </w:pPr>
    </w:p>
    <w:p w14:paraId="7819A58F" w14:textId="77777777" w:rsidR="00143820" w:rsidRPr="004B694B" w:rsidRDefault="00143820" w:rsidP="004B694B">
      <w:pPr>
        <w:pStyle w:val="Zkladntextodsazen2"/>
        <w:spacing w:before="60" w:line="360" w:lineRule="atLeast"/>
        <w:ind w:firstLine="0"/>
        <w:rPr>
          <w:rFonts w:asciiTheme="minorHAnsi" w:eastAsiaTheme="minorEastAsia" w:hAnsiTheme="minorHAnsi" w:cstheme="minorBidi"/>
          <w:i w:val="0"/>
        </w:rPr>
      </w:pPr>
      <w:r w:rsidRPr="004B694B">
        <w:rPr>
          <w:rFonts w:asciiTheme="minorHAnsi" w:eastAsiaTheme="minorEastAsia" w:hAnsiTheme="minorHAnsi" w:cstheme="minorBidi"/>
          <w:b/>
          <w:bCs/>
          <w:i w:val="0"/>
        </w:rPr>
        <w:t xml:space="preserve">Vývoj počtu obyvatel na venkově </w:t>
      </w:r>
    </w:p>
    <w:p w14:paraId="0AF15377" w14:textId="77777777" w:rsidR="00143820" w:rsidRPr="004B694B" w:rsidRDefault="00143820" w:rsidP="004B694B">
      <w:pPr>
        <w:pStyle w:val="Zkladntextodsazen2"/>
        <w:tabs>
          <w:tab w:val="left" w:pos="567"/>
        </w:tabs>
        <w:spacing w:before="60" w:line="360" w:lineRule="atLeast"/>
        <w:ind w:firstLine="0"/>
        <w:rPr>
          <w:i w:val="0"/>
        </w:rPr>
      </w:pPr>
      <w:r w:rsidRPr="004B694B">
        <w:rPr>
          <w:rFonts w:asciiTheme="minorHAnsi" w:eastAsiaTheme="minorEastAsia" w:hAnsiTheme="minorHAnsi" w:cstheme="minorBidi"/>
          <w:i w:val="0"/>
          <w:sz w:val="22"/>
          <w:szCs w:val="22"/>
        </w:rPr>
        <w:t xml:space="preserve"> </w:t>
      </w:r>
      <w:r>
        <w:rPr>
          <w:rFonts w:asciiTheme="minorHAnsi" w:hAnsiTheme="minorHAnsi" w:cstheme="minorHAnsi"/>
          <w:i w:val="0"/>
          <w:sz w:val="22"/>
          <w:szCs w:val="22"/>
        </w:rPr>
        <w:tab/>
      </w:r>
      <w:r w:rsidRPr="00C150AD">
        <w:rPr>
          <w:i w:val="0"/>
        </w:rPr>
        <w:t xml:space="preserve">Od roku 2003 roste celkový počet obyvatel ČR (kladný přirozený přírůstek, stav však více ovlivňuje kladné saldo zahraničního stěhování), což se přirozeně projevuje i ve venkovských obcích. Počet obyvatel venkovských obcí </w:t>
      </w:r>
      <w:r w:rsidRPr="00841BEA">
        <w:rPr>
          <w:i w:val="0"/>
        </w:rPr>
        <w:t>v ČR celkem i ve všech krajích rost</w:t>
      </w:r>
      <w:r w:rsidRPr="004B694B">
        <w:rPr>
          <w:i w:val="0"/>
        </w:rPr>
        <w:t xml:space="preserve">e především vlivem imigrace z měst (od roku 2000 ubývá obyvatel měst, zahraniční imigrace se ve venkovském prostoru projevuje pouze omezeně, neboť většina cizinců směřuje do měst). </w:t>
      </w:r>
    </w:p>
    <w:p w14:paraId="671BC116" w14:textId="77777777" w:rsidR="00143820" w:rsidRPr="004B694B" w:rsidRDefault="00143820" w:rsidP="004B694B">
      <w:pPr>
        <w:pStyle w:val="Zkladntextodsazen2"/>
        <w:spacing w:before="60" w:line="360" w:lineRule="atLeast"/>
        <w:ind w:firstLine="567"/>
        <w:rPr>
          <w:i w:val="0"/>
        </w:rPr>
      </w:pPr>
      <w:r w:rsidRPr="00C150AD">
        <w:rPr>
          <w:i w:val="0"/>
        </w:rPr>
        <w:t>I v období několika let s celkovým klad</w:t>
      </w:r>
      <w:r w:rsidRPr="00841BEA">
        <w:rPr>
          <w:i w:val="0"/>
        </w:rPr>
        <w:t>ným přírůstkem obyvatelstva ČR rela</w:t>
      </w:r>
      <w:r w:rsidRPr="004B694B">
        <w:rPr>
          <w:i w:val="0"/>
        </w:rPr>
        <w:t>tivně velký podíl obcí (zde bez ohledu na jejich populační velikost, hustotu zalidnění apod. - tj. i včetně měst) obyvatelstvo ztrácí. Nejvíce se tak děje v převážně venkovských krajích.</w:t>
      </w:r>
    </w:p>
    <w:p w14:paraId="2ECB666C" w14:textId="77777777" w:rsidR="00143820" w:rsidRDefault="00143820" w:rsidP="00143820">
      <w:pPr>
        <w:pStyle w:val="Zkladntextodsazen2"/>
        <w:ind w:firstLine="0"/>
        <w:rPr>
          <w:b/>
          <w:i w:val="0"/>
        </w:rPr>
      </w:pPr>
    </w:p>
    <w:p w14:paraId="4C25199F" w14:textId="77777777" w:rsidR="00143820" w:rsidRDefault="00143820" w:rsidP="00143820">
      <w:pPr>
        <w:pStyle w:val="Zkladntextodsazen2"/>
        <w:ind w:firstLine="0"/>
        <w:rPr>
          <w:b/>
          <w:i w:val="0"/>
        </w:rPr>
      </w:pPr>
    </w:p>
    <w:p w14:paraId="4654C12D" w14:textId="77777777" w:rsidR="00143820" w:rsidRPr="004B694B" w:rsidRDefault="00143820" w:rsidP="004B694B">
      <w:pPr>
        <w:pStyle w:val="Titulek"/>
        <w:keepNext/>
        <w:spacing w:after="0"/>
        <w:ind w:firstLine="0"/>
        <w:rPr>
          <w:rFonts w:ascii="Calibri" w:eastAsia="Calibri" w:hAnsi="Calibri" w:cs="Calibri"/>
          <w:b/>
          <w:bCs/>
          <w:i w:val="0"/>
          <w:iCs w:val="0"/>
          <w:color w:val="auto"/>
          <w:sz w:val="22"/>
          <w:szCs w:val="22"/>
        </w:rPr>
      </w:pPr>
      <w:bookmarkStart w:id="54" w:name="_Toc525727620"/>
      <w:bookmarkStart w:id="55" w:name="_Toc525735907"/>
      <w:bookmarkStart w:id="56" w:name="_Toc525738204"/>
      <w:r w:rsidRPr="004B694B">
        <w:rPr>
          <w:rFonts w:ascii="Calibri" w:eastAsia="Calibri" w:hAnsi="Calibri" w:cs="Calibri"/>
          <w:b/>
          <w:bCs/>
          <w:i w:val="0"/>
          <w:iCs w:val="0"/>
          <w:color w:val="auto"/>
          <w:sz w:val="22"/>
          <w:szCs w:val="22"/>
        </w:rPr>
        <w:lastRenderedPageBreak/>
        <w:t xml:space="preserve">Obrázek </w:t>
      </w:r>
      <w:r w:rsidR="0060489F">
        <w:rPr>
          <w:rFonts w:ascii="Calibri" w:eastAsia="Calibri" w:hAnsi="Calibri" w:cs="Calibri"/>
          <w:b/>
          <w:bCs/>
          <w:i w:val="0"/>
          <w:iCs w:val="0"/>
          <w:color w:val="auto"/>
          <w:sz w:val="22"/>
          <w:szCs w:val="22"/>
        </w:rPr>
        <w:t>7.</w:t>
      </w:r>
      <w:r w:rsidR="00240E36">
        <w:rPr>
          <w:rFonts w:ascii="Calibri" w:eastAsia="Calibri" w:hAnsi="Calibri" w:cs="Calibri"/>
          <w:b/>
          <w:bCs/>
          <w:i w:val="0"/>
          <w:iCs w:val="0"/>
          <w:color w:val="auto"/>
          <w:sz w:val="22"/>
          <w:szCs w:val="22"/>
        </w:rPr>
        <w:fldChar w:fldCharType="begin"/>
      </w:r>
      <w:r w:rsidR="00240E36">
        <w:rPr>
          <w:rFonts w:ascii="Calibri" w:eastAsia="Calibri" w:hAnsi="Calibri" w:cs="Calibri"/>
          <w:b/>
          <w:bCs/>
          <w:i w:val="0"/>
          <w:iCs w:val="0"/>
          <w:color w:val="auto"/>
          <w:sz w:val="22"/>
          <w:szCs w:val="22"/>
        </w:rPr>
        <w:instrText xml:space="preserve"> STYLEREF 1 \s </w:instrText>
      </w:r>
      <w:r w:rsidR="00240E36">
        <w:rPr>
          <w:rFonts w:ascii="Calibri" w:eastAsia="Calibri" w:hAnsi="Calibri" w:cs="Calibri"/>
          <w:b/>
          <w:bCs/>
          <w:i w:val="0"/>
          <w:iCs w:val="0"/>
          <w:color w:val="auto"/>
          <w:sz w:val="22"/>
          <w:szCs w:val="22"/>
        </w:rPr>
        <w:fldChar w:fldCharType="separate"/>
      </w:r>
      <w:r w:rsidR="00240E36">
        <w:rPr>
          <w:rFonts w:ascii="Calibri" w:eastAsia="Calibri" w:hAnsi="Calibri" w:cs="Calibri"/>
          <w:b/>
          <w:bCs/>
          <w:i w:val="0"/>
          <w:iCs w:val="0"/>
          <w:noProof/>
          <w:color w:val="auto"/>
          <w:sz w:val="22"/>
          <w:szCs w:val="22"/>
        </w:rPr>
        <w:t>2</w:t>
      </w:r>
      <w:r w:rsidR="00240E36">
        <w:rPr>
          <w:rFonts w:ascii="Calibri" w:eastAsia="Calibri" w:hAnsi="Calibri" w:cs="Calibri"/>
          <w:b/>
          <w:bCs/>
          <w:i w:val="0"/>
          <w:iCs w:val="0"/>
          <w:color w:val="auto"/>
          <w:sz w:val="22"/>
          <w:szCs w:val="22"/>
        </w:rPr>
        <w:fldChar w:fldCharType="end"/>
      </w:r>
      <w:r w:rsidR="00240E36">
        <w:rPr>
          <w:rFonts w:ascii="Calibri" w:eastAsia="Calibri" w:hAnsi="Calibri" w:cs="Calibri"/>
          <w:b/>
          <w:bCs/>
          <w:i w:val="0"/>
          <w:iCs w:val="0"/>
          <w:color w:val="auto"/>
          <w:sz w:val="22"/>
          <w:szCs w:val="22"/>
        </w:rPr>
        <w:t>.</w:t>
      </w:r>
      <w:r w:rsidR="00EB5B81">
        <w:rPr>
          <w:rFonts w:ascii="Calibri" w:eastAsia="Calibri" w:hAnsi="Calibri" w:cs="Calibri"/>
          <w:b/>
          <w:bCs/>
          <w:i w:val="0"/>
          <w:iCs w:val="0"/>
          <w:color w:val="auto"/>
          <w:sz w:val="22"/>
          <w:szCs w:val="22"/>
        </w:rPr>
        <w:fldChar w:fldCharType="begin"/>
      </w:r>
      <w:r w:rsidR="00EB5B81">
        <w:rPr>
          <w:rFonts w:ascii="Calibri" w:eastAsia="Calibri" w:hAnsi="Calibri" w:cs="Calibri"/>
          <w:b/>
          <w:bCs/>
          <w:i w:val="0"/>
          <w:iCs w:val="0"/>
          <w:color w:val="auto"/>
          <w:sz w:val="22"/>
          <w:szCs w:val="22"/>
        </w:rPr>
        <w:instrText xml:space="preserve"> SEQ Obrázek \* ARABIC \s 1 </w:instrText>
      </w:r>
      <w:r w:rsidR="00EB5B81">
        <w:rPr>
          <w:rFonts w:ascii="Calibri" w:eastAsia="Calibri" w:hAnsi="Calibri" w:cs="Calibri"/>
          <w:b/>
          <w:bCs/>
          <w:i w:val="0"/>
          <w:iCs w:val="0"/>
          <w:color w:val="auto"/>
          <w:sz w:val="22"/>
          <w:szCs w:val="22"/>
        </w:rPr>
        <w:fldChar w:fldCharType="separate"/>
      </w:r>
      <w:r w:rsidR="00EB5B81">
        <w:rPr>
          <w:rFonts w:ascii="Calibri" w:eastAsia="Calibri" w:hAnsi="Calibri" w:cs="Calibri"/>
          <w:b/>
          <w:bCs/>
          <w:i w:val="0"/>
          <w:iCs w:val="0"/>
          <w:noProof/>
          <w:color w:val="auto"/>
          <w:sz w:val="22"/>
          <w:szCs w:val="22"/>
        </w:rPr>
        <w:t>4</w:t>
      </w:r>
      <w:r w:rsidR="00EB5B81">
        <w:rPr>
          <w:rFonts w:ascii="Calibri" w:eastAsia="Calibri" w:hAnsi="Calibri" w:cs="Calibri"/>
          <w:b/>
          <w:bCs/>
          <w:i w:val="0"/>
          <w:iCs w:val="0"/>
          <w:color w:val="auto"/>
          <w:sz w:val="22"/>
          <w:szCs w:val="22"/>
        </w:rPr>
        <w:fldChar w:fldCharType="end"/>
      </w:r>
      <w:r w:rsidRPr="004B694B">
        <w:rPr>
          <w:rFonts w:ascii="Calibri" w:eastAsia="Calibri" w:hAnsi="Calibri" w:cs="Calibri"/>
          <w:b/>
          <w:bCs/>
          <w:i w:val="0"/>
          <w:iCs w:val="0"/>
          <w:color w:val="auto"/>
          <w:sz w:val="22"/>
          <w:szCs w:val="22"/>
        </w:rPr>
        <w:t>: Obce ČR dle celkového přírůstku obyvatelstva za období 2001-16 dle krajů</w:t>
      </w:r>
      <w:bookmarkEnd w:id="54"/>
      <w:bookmarkEnd w:id="55"/>
      <w:bookmarkEnd w:id="56"/>
    </w:p>
    <w:p w14:paraId="3C83C213" w14:textId="77777777" w:rsidR="00143820" w:rsidRDefault="00143820" w:rsidP="00143820">
      <w:pPr>
        <w:pStyle w:val="Zkladntextodsazen2"/>
        <w:keepNext/>
        <w:ind w:firstLine="0"/>
      </w:pPr>
      <w:r w:rsidRPr="001E0A58">
        <w:rPr>
          <w:noProof/>
        </w:rPr>
        <w:drawing>
          <wp:inline distT="0" distB="0" distL="0" distR="0" wp14:anchorId="6F28A127" wp14:editId="04BB40C5">
            <wp:extent cx="5563240" cy="2420470"/>
            <wp:effectExtent l="0" t="0" r="18415" b="18415"/>
            <wp:docPr id="16" name="Graf 16">
              <a:extLst xmlns:a="http://schemas.openxmlformats.org/drawingml/2006/main">
                <a:ext uri="{FF2B5EF4-FFF2-40B4-BE49-F238E27FC236}">
                  <a16:creationId xmlns:a16="http://schemas.microsoft.com/office/drawing/2014/main" id="{89A43B25-7E2C-4C72-9BFB-DECEEA6109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B92DDE" w14:textId="77777777" w:rsidR="00143820" w:rsidRPr="004B694B" w:rsidRDefault="00EE3C77">
      <w:pPr>
        <w:pStyle w:val="Zkladntextodsazen2"/>
        <w:ind w:firstLine="0"/>
        <w:rPr>
          <w:rFonts w:asciiTheme="minorHAnsi" w:eastAsiaTheme="minorEastAsia" w:hAnsiTheme="minorHAnsi" w:cstheme="minorBidi"/>
          <w:sz w:val="18"/>
          <w:szCs w:val="18"/>
        </w:rPr>
      </w:pPr>
      <w:r w:rsidRPr="004B694B">
        <w:rPr>
          <w:rFonts w:asciiTheme="minorHAnsi" w:eastAsiaTheme="minorEastAsia" w:hAnsiTheme="minorHAnsi" w:cstheme="minorBidi"/>
          <w:sz w:val="18"/>
          <w:szCs w:val="18"/>
        </w:rPr>
        <w:t>Zdroj</w:t>
      </w:r>
      <w:r w:rsidR="00143820" w:rsidRPr="004B694B">
        <w:rPr>
          <w:rFonts w:asciiTheme="minorHAnsi" w:eastAsiaTheme="minorEastAsia" w:hAnsiTheme="minorHAnsi" w:cstheme="minorBidi"/>
          <w:sz w:val="18"/>
          <w:szCs w:val="18"/>
        </w:rPr>
        <w:t>: Malý lexikon obcí ČR 2017, ČSÚ</w:t>
      </w:r>
    </w:p>
    <w:p w14:paraId="4C2164C1" w14:textId="77777777" w:rsidR="00143820" w:rsidRPr="004B694B" w:rsidRDefault="00143820" w:rsidP="004B694B">
      <w:pPr>
        <w:pStyle w:val="Zkladntextodsazen2"/>
        <w:spacing w:before="60" w:line="360" w:lineRule="atLeast"/>
        <w:ind w:firstLine="567"/>
        <w:rPr>
          <w:i w:val="0"/>
        </w:rPr>
      </w:pPr>
      <w:r w:rsidRPr="00C150AD">
        <w:rPr>
          <w:i w:val="0"/>
        </w:rPr>
        <w:t xml:space="preserve">Dle údajů ČSÚ za období 2001-2016 v obcích do 2000 obyvatel (dle rozložení obcí dle počtu jejich obyvatel </w:t>
      </w:r>
      <w:r w:rsidRPr="00841BEA">
        <w:rPr>
          <w:i w:val="0"/>
        </w:rPr>
        <w:t>k 1. 1. 2017) celkem přibylo 77 762 ob, ve městech pouze 6 602. Průměrný přírůstek ve venkovských obcích (s méně než 2000 obyvateli v roce 2017) v tom</w:t>
      </w:r>
      <w:r w:rsidRPr="004B694B">
        <w:rPr>
          <w:i w:val="0"/>
        </w:rPr>
        <w:t>to období činil 2,7 na 100 obyvatel, u měst pak méně než 0,1. Následující mapa ČR ukazující změny počtu obyvatel v obcích dokládá značné relativní navýšení počtu obyvatel v obcích v příměstských zónách (kolem Prahy, Brna, Plzně, Českých Budějovic) a naopak výraznější pokles počtu obyvatel v oblastech s horší dostupností do větších center (severní a východní pohraničí, území tzv. vnitřních periferií podél hranic krajů).</w:t>
      </w:r>
    </w:p>
    <w:p w14:paraId="3823286A" w14:textId="77777777" w:rsidR="00FB44D0" w:rsidRDefault="00FB44D0" w:rsidP="004B694B">
      <w:pPr>
        <w:pStyle w:val="Titulek"/>
        <w:keepNext/>
        <w:spacing w:after="0"/>
        <w:ind w:firstLine="0"/>
        <w:rPr>
          <w:rFonts w:asciiTheme="minorHAnsi" w:eastAsiaTheme="minorEastAsia" w:hAnsiTheme="minorHAnsi" w:cstheme="minorBidi"/>
          <w:b/>
          <w:bCs/>
          <w:i w:val="0"/>
          <w:iCs w:val="0"/>
          <w:color w:val="auto"/>
          <w:sz w:val="22"/>
          <w:szCs w:val="22"/>
        </w:rPr>
      </w:pPr>
      <w:bookmarkStart w:id="57" w:name="_Toc525727621"/>
      <w:bookmarkStart w:id="58" w:name="_Toc525735908"/>
      <w:bookmarkStart w:id="59" w:name="_Toc525738205"/>
    </w:p>
    <w:p w14:paraId="37D23E5A" w14:textId="77777777" w:rsidR="00143820" w:rsidRPr="004B694B" w:rsidRDefault="00143820" w:rsidP="004B694B">
      <w:pPr>
        <w:pStyle w:val="Titulek"/>
        <w:keepNext/>
        <w:spacing w:after="0"/>
        <w:ind w:firstLine="0"/>
        <w:rPr>
          <w:rFonts w:asciiTheme="minorHAnsi" w:eastAsiaTheme="minorEastAsia" w:hAnsiTheme="minorHAnsi" w:cstheme="minorBidi"/>
          <w:b/>
          <w:bCs/>
          <w:i w:val="0"/>
          <w:iCs w:val="0"/>
          <w:color w:val="auto"/>
          <w:sz w:val="22"/>
          <w:szCs w:val="22"/>
        </w:rPr>
      </w:pPr>
      <w:r w:rsidRPr="004B694B">
        <w:rPr>
          <w:rFonts w:asciiTheme="minorHAnsi" w:eastAsiaTheme="minorEastAsia" w:hAnsiTheme="minorHAnsi" w:cstheme="minorBidi"/>
          <w:b/>
          <w:bCs/>
          <w:i w:val="0"/>
          <w:iCs w:val="0"/>
          <w:color w:val="auto"/>
          <w:sz w:val="22"/>
          <w:szCs w:val="22"/>
        </w:rPr>
        <w:t xml:space="preserve">Obrázek </w:t>
      </w:r>
      <w:r w:rsidR="0060489F">
        <w:rPr>
          <w:rFonts w:asciiTheme="minorHAnsi" w:eastAsiaTheme="minorEastAsia" w:hAnsiTheme="minorHAnsi" w:cstheme="minorBidi"/>
          <w:b/>
          <w:bCs/>
          <w:i w:val="0"/>
          <w:iCs w:val="0"/>
          <w:color w:val="auto"/>
          <w:sz w:val="22"/>
          <w:szCs w:val="22"/>
        </w:rPr>
        <w:t>7.</w:t>
      </w:r>
      <w:r w:rsidR="00240E36">
        <w:rPr>
          <w:rFonts w:asciiTheme="minorHAnsi" w:eastAsiaTheme="minorEastAsia" w:hAnsiTheme="minorHAnsi" w:cstheme="minorBidi"/>
          <w:b/>
          <w:bCs/>
          <w:i w:val="0"/>
          <w:iCs w:val="0"/>
          <w:color w:val="auto"/>
          <w:sz w:val="22"/>
          <w:szCs w:val="22"/>
        </w:rPr>
        <w:fldChar w:fldCharType="begin"/>
      </w:r>
      <w:r w:rsidR="00240E36">
        <w:rPr>
          <w:rFonts w:asciiTheme="minorHAnsi" w:eastAsiaTheme="minorEastAsia" w:hAnsiTheme="minorHAnsi" w:cstheme="minorBidi"/>
          <w:b/>
          <w:bCs/>
          <w:i w:val="0"/>
          <w:iCs w:val="0"/>
          <w:color w:val="auto"/>
          <w:sz w:val="22"/>
          <w:szCs w:val="22"/>
        </w:rPr>
        <w:instrText xml:space="preserve"> STYLEREF 1 \s </w:instrText>
      </w:r>
      <w:r w:rsidR="00240E36">
        <w:rPr>
          <w:rFonts w:asciiTheme="minorHAnsi" w:eastAsiaTheme="minorEastAsia" w:hAnsiTheme="minorHAnsi" w:cstheme="minorBidi"/>
          <w:b/>
          <w:bCs/>
          <w:i w:val="0"/>
          <w:iCs w:val="0"/>
          <w:color w:val="auto"/>
          <w:sz w:val="22"/>
          <w:szCs w:val="22"/>
        </w:rPr>
        <w:fldChar w:fldCharType="separate"/>
      </w:r>
      <w:r w:rsidR="00240E36">
        <w:rPr>
          <w:rFonts w:asciiTheme="minorHAnsi" w:eastAsiaTheme="minorEastAsia" w:hAnsiTheme="minorHAnsi" w:cstheme="minorBidi"/>
          <w:b/>
          <w:bCs/>
          <w:i w:val="0"/>
          <w:iCs w:val="0"/>
          <w:noProof/>
          <w:color w:val="auto"/>
          <w:sz w:val="22"/>
          <w:szCs w:val="22"/>
        </w:rPr>
        <w:t>2</w:t>
      </w:r>
      <w:r w:rsidR="00240E36">
        <w:rPr>
          <w:rFonts w:asciiTheme="minorHAnsi" w:eastAsiaTheme="minorEastAsia" w:hAnsiTheme="minorHAnsi" w:cstheme="minorBidi"/>
          <w:b/>
          <w:bCs/>
          <w:i w:val="0"/>
          <w:iCs w:val="0"/>
          <w:color w:val="auto"/>
          <w:sz w:val="22"/>
          <w:szCs w:val="22"/>
        </w:rPr>
        <w:fldChar w:fldCharType="end"/>
      </w:r>
      <w:r w:rsidR="00240E36">
        <w:rPr>
          <w:rFonts w:asciiTheme="minorHAnsi" w:eastAsiaTheme="minorEastAsia" w:hAnsiTheme="minorHAnsi" w:cstheme="minorBidi"/>
          <w:b/>
          <w:bCs/>
          <w:i w:val="0"/>
          <w:iCs w:val="0"/>
          <w:color w:val="auto"/>
          <w:sz w:val="22"/>
          <w:szCs w:val="22"/>
        </w:rPr>
        <w:t>.</w:t>
      </w:r>
      <w:r w:rsidR="00EB5B81">
        <w:rPr>
          <w:rFonts w:asciiTheme="minorHAnsi" w:eastAsiaTheme="minorEastAsia" w:hAnsiTheme="minorHAnsi" w:cstheme="minorBidi"/>
          <w:b/>
          <w:bCs/>
          <w:i w:val="0"/>
          <w:iCs w:val="0"/>
          <w:color w:val="auto"/>
          <w:sz w:val="22"/>
          <w:szCs w:val="22"/>
        </w:rPr>
        <w:fldChar w:fldCharType="begin"/>
      </w:r>
      <w:r w:rsidR="00EB5B81">
        <w:rPr>
          <w:rFonts w:asciiTheme="minorHAnsi" w:eastAsiaTheme="minorEastAsia" w:hAnsiTheme="minorHAnsi" w:cstheme="minorBidi"/>
          <w:b/>
          <w:bCs/>
          <w:i w:val="0"/>
          <w:iCs w:val="0"/>
          <w:color w:val="auto"/>
          <w:sz w:val="22"/>
          <w:szCs w:val="22"/>
        </w:rPr>
        <w:instrText xml:space="preserve"> SEQ Obrázek \* ARABIC \s 1 </w:instrText>
      </w:r>
      <w:r w:rsidR="00EB5B81">
        <w:rPr>
          <w:rFonts w:asciiTheme="minorHAnsi" w:eastAsiaTheme="minorEastAsia" w:hAnsiTheme="minorHAnsi" w:cstheme="minorBidi"/>
          <w:b/>
          <w:bCs/>
          <w:i w:val="0"/>
          <w:iCs w:val="0"/>
          <w:color w:val="auto"/>
          <w:sz w:val="22"/>
          <w:szCs w:val="22"/>
        </w:rPr>
        <w:fldChar w:fldCharType="separate"/>
      </w:r>
      <w:r w:rsidR="00EB5B81">
        <w:rPr>
          <w:rFonts w:asciiTheme="minorHAnsi" w:eastAsiaTheme="minorEastAsia" w:hAnsiTheme="minorHAnsi" w:cstheme="minorBidi"/>
          <w:b/>
          <w:bCs/>
          <w:i w:val="0"/>
          <w:iCs w:val="0"/>
          <w:noProof/>
          <w:color w:val="auto"/>
          <w:sz w:val="22"/>
          <w:szCs w:val="22"/>
        </w:rPr>
        <w:t>5</w:t>
      </w:r>
      <w:r w:rsidR="00EB5B81">
        <w:rPr>
          <w:rFonts w:asciiTheme="minorHAnsi" w:eastAsiaTheme="minorEastAsia" w:hAnsiTheme="minorHAnsi" w:cstheme="minorBidi"/>
          <w:b/>
          <w:bCs/>
          <w:i w:val="0"/>
          <w:iCs w:val="0"/>
          <w:color w:val="auto"/>
          <w:sz w:val="22"/>
          <w:szCs w:val="22"/>
        </w:rPr>
        <w:fldChar w:fldCharType="end"/>
      </w:r>
      <w:r w:rsidRPr="004B694B">
        <w:rPr>
          <w:rFonts w:asciiTheme="minorHAnsi" w:eastAsiaTheme="minorEastAsia" w:hAnsiTheme="minorHAnsi" w:cstheme="minorBidi"/>
          <w:b/>
          <w:bCs/>
          <w:i w:val="0"/>
          <w:iCs w:val="0"/>
          <w:color w:val="auto"/>
          <w:sz w:val="22"/>
          <w:szCs w:val="22"/>
        </w:rPr>
        <w:t>: Změna počtu obyvatel v obcích mezi roky 2001 a 2016 (ČR)</w:t>
      </w:r>
      <w:bookmarkEnd w:id="57"/>
      <w:bookmarkEnd w:id="58"/>
      <w:bookmarkEnd w:id="59"/>
    </w:p>
    <w:p w14:paraId="17AEE65A" w14:textId="77777777" w:rsidR="00143820" w:rsidRDefault="00143820" w:rsidP="00143820">
      <w:pPr>
        <w:pStyle w:val="Zkladntextodsazen2"/>
        <w:keepNext/>
        <w:ind w:firstLine="0"/>
      </w:pPr>
      <w:r>
        <w:rPr>
          <w:noProof/>
        </w:rPr>
        <w:drawing>
          <wp:inline distT="0" distB="0" distL="0" distR="0" wp14:anchorId="1EB072C0" wp14:editId="722EF787">
            <wp:extent cx="5775117" cy="3620770"/>
            <wp:effectExtent l="0" t="0" r="0" b="0"/>
            <wp:docPr id="17" name="Obrázek 17" descr="https://www.czso.cz/documents/10180/77242635/zmenyC2016_2001CR.png/6b63081d-4ede-4c25-b4ea-e6ea599f0ab5?t=152025554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zso.cz/documents/10180/77242635/zmenyC2016_2001CR.png/6b63081d-4ede-4c25-b4ea-e6ea599f0ab5?t=152025554040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418"/>
                    <a:stretch/>
                  </pic:blipFill>
                  <pic:spPr bwMode="auto">
                    <a:xfrm>
                      <a:off x="0" y="0"/>
                      <a:ext cx="5780075" cy="3623878"/>
                    </a:xfrm>
                    <a:prstGeom prst="rect">
                      <a:avLst/>
                    </a:prstGeom>
                    <a:noFill/>
                    <a:ln>
                      <a:noFill/>
                    </a:ln>
                    <a:extLst>
                      <a:ext uri="{53640926-AAD7-44D8-BBD7-CCE9431645EC}">
                        <a14:shadowObscured xmlns:a14="http://schemas.microsoft.com/office/drawing/2010/main"/>
                      </a:ext>
                    </a:extLst>
                  </pic:spPr>
                </pic:pic>
              </a:graphicData>
            </a:graphic>
          </wp:inline>
        </w:drawing>
      </w:r>
    </w:p>
    <w:p w14:paraId="2BC7D480" w14:textId="77777777" w:rsidR="00143820" w:rsidRDefault="00EE3C77">
      <w:pPr>
        <w:pStyle w:val="Zkladntextodsazen2"/>
        <w:ind w:firstLine="0"/>
        <w:rPr>
          <w:rFonts w:asciiTheme="minorHAnsi" w:eastAsiaTheme="minorEastAsia" w:hAnsiTheme="minorHAnsi" w:cstheme="minorBidi"/>
          <w:sz w:val="18"/>
          <w:szCs w:val="18"/>
        </w:rPr>
      </w:pPr>
      <w:r w:rsidRPr="004B694B">
        <w:rPr>
          <w:rFonts w:asciiTheme="minorHAnsi" w:eastAsiaTheme="minorEastAsia" w:hAnsiTheme="minorHAnsi" w:cstheme="minorBidi"/>
          <w:sz w:val="18"/>
          <w:szCs w:val="18"/>
        </w:rPr>
        <w:t>Zdroj</w:t>
      </w:r>
      <w:r w:rsidR="00143820" w:rsidRPr="004B694B">
        <w:rPr>
          <w:rFonts w:asciiTheme="minorHAnsi" w:eastAsiaTheme="minorEastAsia" w:hAnsiTheme="minorHAnsi" w:cstheme="minorBidi"/>
          <w:sz w:val="18"/>
          <w:szCs w:val="18"/>
        </w:rPr>
        <w:t>: ČSÚ, 2018</w:t>
      </w:r>
    </w:p>
    <w:p w14:paraId="2C30091E" w14:textId="77777777" w:rsidR="0060489F" w:rsidRPr="004B694B" w:rsidRDefault="0060489F">
      <w:pPr>
        <w:pStyle w:val="Zkladntextodsazen2"/>
        <w:ind w:firstLine="0"/>
        <w:rPr>
          <w:rFonts w:asciiTheme="minorHAnsi" w:eastAsiaTheme="minorEastAsia" w:hAnsiTheme="minorHAnsi" w:cstheme="minorBidi"/>
          <w:sz w:val="18"/>
          <w:szCs w:val="18"/>
        </w:rPr>
      </w:pPr>
    </w:p>
    <w:p w14:paraId="49DA9CD7" w14:textId="77777777" w:rsidR="00143820" w:rsidRPr="004B694B" w:rsidRDefault="00143820" w:rsidP="004B694B">
      <w:pPr>
        <w:pStyle w:val="Titulek"/>
        <w:spacing w:after="0"/>
        <w:ind w:firstLine="0"/>
        <w:rPr>
          <w:rFonts w:asciiTheme="minorHAnsi" w:eastAsiaTheme="minorEastAsia" w:hAnsiTheme="minorHAnsi" w:cstheme="minorBidi"/>
          <w:b/>
          <w:bCs/>
          <w:i w:val="0"/>
          <w:iCs w:val="0"/>
          <w:color w:val="auto"/>
          <w:sz w:val="22"/>
          <w:szCs w:val="22"/>
        </w:rPr>
      </w:pPr>
      <w:bookmarkStart w:id="60" w:name="_Toc525727622"/>
      <w:bookmarkStart w:id="61" w:name="_Toc525735909"/>
      <w:bookmarkStart w:id="62" w:name="_Toc525738206"/>
      <w:r w:rsidRPr="004B694B">
        <w:rPr>
          <w:rFonts w:asciiTheme="minorHAnsi" w:eastAsiaTheme="minorEastAsia" w:hAnsiTheme="minorHAnsi" w:cstheme="minorBidi"/>
          <w:b/>
          <w:bCs/>
          <w:i w:val="0"/>
          <w:iCs w:val="0"/>
          <w:color w:val="auto"/>
          <w:sz w:val="22"/>
          <w:szCs w:val="22"/>
        </w:rPr>
        <w:lastRenderedPageBreak/>
        <w:t xml:space="preserve">Obrázek </w:t>
      </w:r>
      <w:r w:rsidR="0060489F">
        <w:rPr>
          <w:rFonts w:asciiTheme="minorHAnsi" w:eastAsiaTheme="minorEastAsia" w:hAnsiTheme="minorHAnsi" w:cstheme="minorBidi"/>
          <w:b/>
          <w:bCs/>
          <w:i w:val="0"/>
          <w:iCs w:val="0"/>
          <w:color w:val="auto"/>
          <w:sz w:val="22"/>
          <w:szCs w:val="22"/>
        </w:rPr>
        <w:t>7.</w:t>
      </w:r>
      <w:r w:rsidR="00240E36">
        <w:rPr>
          <w:rFonts w:asciiTheme="minorHAnsi" w:eastAsiaTheme="minorEastAsia" w:hAnsiTheme="minorHAnsi" w:cstheme="minorBidi"/>
          <w:b/>
          <w:bCs/>
          <w:i w:val="0"/>
          <w:iCs w:val="0"/>
          <w:color w:val="auto"/>
          <w:sz w:val="22"/>
          <w:szCs w:val="22"/>
        </w:rPr>
        <w:fldChar w:fldCharType="begin"/>
      </w:r>
      <w:r w:rsidR="00240E36">
        <w:rPr>
          <w:rFonts w:asciiTheme="minorHAnsi" w:eastAsiaTheme="minorEastAsia" w:hAnsiTheme="minorHAnsi" w:cstheme="minorBidi"/>
          <w:b/>
          <w:bCs/>
          <w:i w:val="0"/>
          <w:iCs w:val="0"/>
          <w:color w:val="auto"/>
          <w:sz w:val="22"/>
          <w:szCs w:val="22"/>
        </w:rPr>
        <w:instrText xml:space="preserve"> STYLEREF 1 \s </w:instrText>
      </w:r>
      <w:r w:rsidR="00240E36">
        <w:rPr>
          <w:rFonts w:asciiTheme="minorHAnsi" w:eastAsiaTheme="minorEastAsia" w:hAnsiTheme="minorHAnsi" w:cstheme="minorBidi"/>
          <w:b/>
          <w:bCs/>
          <w:i w:val="0"/>
          <w:iCs w:val="0"/>
          <w:color w:val="auto"/>
          <w:sz w:val="22"/>
          <w:szCs w:val="22"/>
        </w:rPr>
        <w:fldChar w:fldCharType="separate"/>
      </w:r>
      <w:r w:rsidR="00240E36">
        <w:rPr>
          <w:rFonts w:asciiTheme="minorHAnsi" w:eastAsiaTheme="minorEastAsia" w:hAnsiTheme="minorHAnsi" w:cstheme="minorBidi"/>
          <w:b/>
          <w:bCs/>
          <w:i w:val="0"/>
          <w:iCs w:val="0"/>
          <w:noProof/>
          <w:color w:val="auto"/>
          <w:sz w:val="22"/>
          <w:szCs w:val="22"/>
        </w:rPr>
        <w:t>2</w:t>
      </w:r>
      <w:r w:rsidR="00240E36">
        <w:rPr>
          <w:rFonts w:asciiTheme="minorHAnsi" w:eastAsiaTheme="minorEastAsia" w:hAnsiTheme="minorHAnsi" w:cstheme="minorBidi"/>
          <w:b/>
          <w:bCs/>
          <w:i w:val="0"/>
          <w:iCs w:val="0"/>
          <w:color w:val="auto"/>
          <w:sz w:val="22"/>
          <w:szCs w:val="22"/>
        </w:rPr>
        <w:fldChar w:fldCharType="end"/>
      </w:r>
      <w:r w:rsidR="00240E36">
        <w:rPr>
          <w:rFonts w:asciiTheme="minorHAnsi" w:eastAsiaTheme="minorEastAsia" w:hAnsiTheme="minorHAnsi" w:cstheme="minorBidi"/>
          <w:b/>
          <w:bCs/>
          <w:i w:val="0"/>
          <w:iCs w:val="0"/>
          <w:color w:val="auto"/>
          <w:sz w:val="22"/>
          <w:szCs w:val="22"/>
        </w:rPr>
        <w:t>.</w:t>
      </w:r>
      <w:r w:rsidR="00EB5B81">
        <w:rPr>
          <w:rFonts w:asciiTheme="minorHAnsi" w:eastAsiaTheme="minorEastAsia" w:hAnsiTheme="minorHAnsi" w:cstheme="minorBidi"/>
          <w:b/>
          <w:bCs/>
          <w:i w:val="0"/>
          <w:iCs w:val="0"/>
          <w:color w:val="auto"/>
          <w:sz w:val="22"/>
          <w:szCs w:val="22"/>
        </w:rPr>
        <w:fldChar w:fldCharType="begin"/>
      </w:r>
      <w:r w:rsidR="00EB5B81">
        <w:rPr>
          <w:rFonts w:asciiTheme="minorHAnsi" w:eastAsiaTheme="minorEastAsia" w:hAnsiTheme="minorHAnsi" w:cstheme="minorBidi"/>
          <w:b/>
          <w:bCs/>
          <w:i w:val="0"/>
          <w:iCs w:val="0"/>
          <w:color w:val="auto"/>
          <w:sz w:val="22"/>
          <w:szCs w:val="22"/>
        </w:rPr>
        <w:instrText xml:space="preserve"> SEQ Obrázek \* ARABIC \s 1 </w:instrText>
      </w:r>
      <w:r w:rsidR="00EB5B81">
        <w:rPr>
          <w:rFonts w:asciiTheme="minorHAnsi" w:eastAsiaTheme="minorEastAsia" w:hAnsiTheme="minorHAnsi" w:cstheme="minorBidi"/>
          <w:b/>
          <w:bCs/>
          <w:i w:val="0"/>
          <w:iCs w:val="0"/>
          <w:color w:val="auto"/>
          <w:sz w:val="22"/>
          <w:szCs w:val="22"/>
        </w:rPr>
        <w:fldChar w:fldCharType="separate"/>
      </w:r>
      <w:r w:rsidR="00EB5B81">
        <w:rPr>
          <w:rFonts w:asciiTheme="minorHAnsi" w:eastAsiaTheme="minorEastAsia" w:hAnsiTheme="minorHAnsi" w:cstheme="minorBidi"/>
          <w:b/>
          <w:bCs/>
          <w:i w:val="0"/>
          <w:iCs w:val="0"/>
          <w:noProof/>
          <w:color w:val="auto"/>
          <w:sz w:val="22"/>
          <w:szCs w:val="22"/>
        </w:rPr>
        <w:t>6</w:t>
      </w:r>
      <w:r w:rsidR="00EB5B81">
        <w:rPr>
          <w:rFonts w:asciiTheme="minorHAnsi" w:eastAsiaTheme="minorEastAsia" w:hAnsiTheme="minorHAnsi" w:cstheme="minorBidi"/>
          <w:b/>
          <w:bCs/>
          <w:i w:val="0"/>
          <w:iCs w:val="0"/>
          <w:color w:val="auto"/>
          <w:sz w:val="22"/>
          <w:szCs w:val="22"/>
        </w:rPr>
        <w:fldChar w:fldCharType="end"/>
      </w:r>
      <w:r w:rsidRPr="004B694B">
        <w:rPr>
          <w:rFonts w:asciiTheme="minorHAnsi" w:eastAsiaTheme="minorEastAsia" w:hAnsiTheme="minorHAnsi" w:cstheme="minorBidi"/>
          <w:b/>
          <w:bCs/>
          <w:i w:val="0"/>
          <w:iCs w:val="0"/>
          <w:color w:val="auto"/>
          <w:sz w:val="22"/>
          <w:szCs w:val="22"/>
        </w:rPr>
        <w:t>: Přírůstek obyvatelstva ve velikostních skupinách obcí ČR v letech 2001-16</w:t>
      </w:r>
      <w:bookmarkEnd w:id="60"/>
      <w:bookmarkEnd w:id="61"/>
      <w:bookmarkEnd w:id="62"/>
    </w:p>
    <w:p w14:paraId="62BFAEE2" w14:textId="77777777" w:rsidR="00143820" w:rsidRDefault="00143820" w:rsidP="00143820">
      <w:pPr>
        <w:pStyle w:val="Zkladntextodsazen2"/>
        <w:keepNext/>
        <w:ind w:firstLine="0"/>
      </w:pPr>
      <w:r w:rsidRPr="001E0A58">
        <w:rPr>
          <w:noProof/>
          <w:sz w:val="22"/>
          <w:szCs w:val="22"/>
        </w:rPr>
        <w:drawing>
          <wp:inline distT="0" distB="0" distL="0" distR="0" wp14:anchorId="0EDAF6B3" wp14:editId="0136DFDD">
            <wp:extent cx="5709237" cy="2182265"/>
            <wp:effectExtent l="0" t="0" r="6350" b="8890"/>
            <wp:docPr id="9" name="Graf 9">
              <a:extLst xmlns:a="http://schemas.openxmlformats.org/drawingml/2006/main">
                <a:ext uri="{FF2B5EF4-FFF2-40B4-BE49-F238E27FC236}">
                  <a16:creationId xmlns:a16="http://schemas.microsoft.com/office/drawing/2014/main" id="{54B11B58-7300-4855-B715-06E1023BBB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EA4F894" w14:textId="77777777" w:rsidR="00143820" w:rsidRPr="004B694B" w:rsidRDefault="00143820">
      <w:pPr>
        <w:pStyle w:val="Zkladntextodsazen2"/>
        <w:ind w:firstLine="0"/>
        <w:rPr>
          <w:rFonts w:asciiTheme="minorHAnsi" w:eastAsiaTheme="minorEastAsia" w:hAnsiTheme="minorHAnsi" w:cstheme="minorBidi"/>
          <w:sz w:val="18"/>
          <w:szCs w:val="18"/>
        </w:rPr>
      </w:pPr>
      <w:r w:rsidRPr="004B694B">
        <w:rPr>
          <w:rFonts w:asciiTheme="minorHAnsi" w:eastAsiaTheme="minorEastAsia" w:hAnsiTheme="minorHAnsi" w:cstheme="minorBidi"/>
          <w:sz w:val="18"/>
          <w:szCs w:val="18"/>
        </w:rPr>
        <w:t>Pozn. Vycházíme z rozložení obcí dle počtu obyvatel k 1.1.2017</w:t>
      </w:r>
    </w:p>
    <w:p w14:paraId="49E135DC" w14:textId="77777777" w:rsidR="00143820" w:rsidRPr="004B694B" w:rsidRDefault="00143820">
      <w:pPr>
        <w:pStyle w:val="Zkladntextodsazen2"/>
        <w:ind w:firstLine="0"/>
        <w:rPr>
          <w:rFonts w:asciiTheme="minorHAnsi" w:eastAsiaTheme="minorEastAsia" w:hAnsiTheme="minorHAnsi" w:cstheme="minorBidi"/>
          <w:sz w:val="18"/>
          <w:szCs w:val="18"/>
        </w:rPr>
      </w:pPr>
      <w:r w:rsidRPr="004B694B">
        <w:rPr>
          <w:rFonts w:asciiTheme="minorHAnsi" w:eastAsiaTheme="minorEastAsia" w:hAnsiTheme="minorHAnsi" w:cstheme="minorBidi"/>
          <w:sz w:val="18"/>
          <w:szCs w:val="18"/>
        </w:rPr>
        <w:t>Zdroj: Malý lexikon obcí ČR 2017</w:t>
      </w:r>
    </w:p>
    <w:p w14:paraId="5FDC0892" w14:textId="77777777" w:rsidR="00143820" w:rsidRPr="001E0A58" w:rsidRDefault="00143820" w:rsidP="00143820">
      <w:pPr>
        <w:pStyle w:val="Zkladntextodsazen2"/>
        <w:spacing w:line="360" w:lineRule="auto"/>
        <w:rPr>
          <w:sz w:val="22"/>
          <w:szCs w:val="22"/>
        </w:rPr>
      </w:pPr>
    </w:p>
    <w:p w14:paraId="1741A61A" w14:textId="77777777" w:rsidR="00143820" w:rsidRPr="004B694B" w:rsidRDefault="00143820" w:rsidP="004B694B">
      <w:pPr>
        <w:pStyle w:val="Zkladntextodsazen2"/>
        <w:spacing w:before="60" w:line="360" w:lineRule="atLeast"/>
        <w:ind w:firstLine="567"/>
        <w:rPr>
          <w:i w:val="0"/>
        </w:rPr>
      </w:pPr>
      <w:r w:rsidRPr="00AF156D">
        <w:rPr>
          <w:i w:val="0"/>
          <w:color w:val="000000" w:themeColor="text1"/>
        </w:rPr>
        <w:t xml:space="preserve">Obrázek </w:t>
      </w:r>
      <w:r w:rsidR="0060489F">
        <w:rPr>
          <w:i w:val="0"/>
          <w:color w:val="000000" w:themeColor="text1"/>
        </w:rPr>
        <w:t>7.</w:t>
      </w:r>
      <w:r w:rsidRPr="00AF156D">
        <w:rPr>
          <w:i w:val="0"/>
          <w:color w:val="000000" w:themeColor="text1"/>
        </w:rPr>
        <w:t>2.6 ukazuje</w:t>
      </w:r>
      <w:r w:rsidRPr="00841BEA">
        <w:rPr>
          <w:i w:val="0"/>
        </w:rPr>
        <w:t xml:space="preserve">, že venkovské obce (především vlivem suburbanizace) v absolutním i relativním vyjádření meziročně populačně rostou více než města. Meziroční srovnání let 2017 a 2016 ukazuje, že obce, jež měly méně než 2000 obyvatel v roce 2017, zaznamenaly oproti </w:t>
      </w:r>
      <w:r w:rsidRPr="004B694B">
        <w:rPr>
          <w:i w:val="0"/>
        </w:rPr>
        <w:t>roku 2016 populační zisk cca 14,0 tis. obyvatel, ve městech s cca 73% podílem na obyvatelstvu celkem přibylo necelých 11 tis. obyvatel, přičemž však uvedený kladný přírůstek významně ovlivňuje zejména nárůst počtu obyvatel v Hl. městě Praha. Relativní meziroční nárůst celkového počtu obyvatel venkovských obcí činil 0,5 % a převyšoval 0,1% nárůst počtu obyvatel ve městech i celé ČR (0,2 % v období 2016-2017). Meziroční nárůst počtu obyvatel byl zaznamenán u všech kategorií venkovských obcí včetně těch nejmenších, i když u sídel do 199 obyvatel populačně rostlo méně než 48 % těchto obcí a větší část z nich tedy obyvatelstvo ztrácela a početně stagnovala. U větších venkovských obcí již většina populačně získávala, u venkovských obcí nad 1000 obyvatel vykazovalo meziroční přírůstek obyvatelstva dokonce téměř 60 % z nich. Nárůsty počtu obyvatel jsou v posledních letech zaznamenány u větší části venkovských sídel, ale menší části měst.</w:t>
      </w:r>
    </w:p>
    <w:p w14:paraId="4C8DFDD9" w14:textId="77777777" w:rsidR="00143820" w:rsidRPr="006401CB" w:rsidRDefault="00143820" w:rsidP="00143820">
      <w:pPr>
        <w:pStyle w:val="Zkladntextodsazen2"/>
        <w:spacing w:line="360" w:lineRule="auto"/>
        <w:ind w:firstLine="0"/>
        <w:rPr>
          <w:b/>
          <w:i w:val="0"/>
          <w:sz w:val="22"/>
          <w:szCs w:val="22"/>
        </w:rPr>
      </w:pPr>
    </w:p>
    <w:p w14:paraId="7E5055D4" w14:textId="77777777" w:rsidR="00143820" w:rsidRPr="004B694B" w:rsidRDefault="00143820">
      <w:pPr>
        <w:ind w:firstLine="0"/>
        <w:rPr>
          <w:rFonts w:ascii="Calibri" w:eastAsia="Calibri" w:hAnsi="Calibri" w:cs="Calibri"/>
          <w:b/>
          <w:bCs/>
        </w:rPr>
      </w:pPr>
      <w:r w:rsidRPr="004B694B">
        <w:rPr>
          <w:rFonts w:ascii="Calibri" w:eastAsia="Calibri" w:hAnsi="Calibri" w:cs="Calibri"/>
          <w:b/>
          <w:bCs/>
        </w:rPr>
        <w:t>Věková struktura obyvatel na venkově</w:t>
      </w:r>
    </w:p>
    <w:p w14:paraId="6AF9AAB6" w14:textId="77777777" w:rsidR="00143820" w:rsidRPr="002E0EDB" w:rsidRDefault="00143820">
      <w:pPr>
        <w:rPr>
          <w:rFonts w:eastAsiaTheme="minorEastAsia"/>
        </w:rPr>
      </w:pPr>
      <w:r w:rsidRPr="002E0EDB">
        <w:rPr>
          <w:rStyle w:val="Siln"/>
          <w:rFonts w:eastAsiaTheme="minorEastAsia"/>
          <w:b w:val="0"/>
          <w:bCs w:val="0"/>
        </w:rPr>
        <w:t xml:space="preserve">Od 80. let 20. století populace ČR demograficky stárne (zvyšuje se průměrný věk obyvatel, mění se zastoupení dětské a </w:t>
      </w:r>
      <w:proofErr w:type="spellStart"/>
      <w:r w:rsidRPr="002E0EDB">
        <w:rPr>
          <w:rStyle w:val="Siln"/>
          <w:rFonts w:eastAsiaTheme="minorEastAsia"/>
          <w:b w:val="0"/>
          <w:bCs w:val="0"/>
        </w:rPr>
        <w:t>postreprodukční</w:t>
      </w:r>
      <w:proofErr w:type="spellEnd"/>
      <w:r w:rsidRPr="002E0EDB">
        <w:rPr>
          <w:rStyle w:val="Siln"/>
          <w:rFonts w:eastAsiaTheme="minorEastAsia"/>
          <w:b w:val="0"/>
          <w:bCs w:val="0"/>
        </w:rPr>
        <w:t xml:space="preserve"> složky populace vlivem dlouhodobě velmi nízké porodnosti, plodnosti a zvyšování naděje na dožití), proces demografického stárnutí se zrychluje, populace ČR bude stárnout i v nadcházejících desetiletích a lze tak předpokládat úbytek podílu práceschopného obyvatelstva ve městech i na venkově. </w:t>
      </w:r>
      <w:r w:rsidRPr="002E0EDB">
        <w:rPr>
          <w:rFonts w:eastAsiaTheme="minorEastAsia"/>
        </w:rPr>
        <w:t xml:space="preserve">Od roku 2009 v populaci ČR ubývá obyvatelstvo ve věkové skupině 15-64 let (produktivní složka), v populaci přibývá ekonomicky neaktivních – především seniorů, jejichž podíl je od roku 2006 vyšší než zastoupení obyvatel v nejmladší věkové skupině 0-14 let. </w:t>
      </w:r>
    </w:p>
    <w:p w14:paraId="0716FC56" w14:textId="77777777" w:rsidR="00143820" w:rsidRPr="0060489F" w:rsidRDefault="00143820">
      <w:pPr>
        <w:rPr>
          <w:rStyle w:val="Siln"/>
          <w:rFonts w:eastAsiaTheme="minorEastAsia"/>
          <w:b w:val="0"/>
          <w:bCs w:val="0"/>
        </w:rPr>
      </w:pPr>
      <w:r w:rsidRPr="002E0EDB">
        <w:rPr>
          <w:rStyle w:val="Siln"/>
          <w:rFonts w:eastAsiaTheme="minorEastAsia"/>
          <w:b w:val="0"/>
          <w:bCs w:val="0"/>
        </w:rPr>
        <w:lastRenderedPageBreak/>
        <w:t>Z hlediska věkové struktury obyvatelstva a její případných změn se mezi venkovskými obcemi do 2000 obyvatel a městy výrazné odlišnosti neprojevují. Stárnutí populace se projevuje ve městech i na venkově poklesem zastoupení obyvatel v produktivním věku (15-64 let) na obyvatelstvu (v meziročním srovnání let 2017 a 2016 shodně o 0,7 p. b na 66,1 % na venkově a 65,4 % ve městech) a nárůstem podílu obyvatel nad 65 let (shodně o cca 0,5 p. b. na 17,7 % na venkově a 19,2 % ve městech) i pomalejším nárůstem podílu dětí do 15 let (shodně o 0,2 p. b</w:t>
      </w:r>
      <w:r w:rsidR="005D6DF6" w:rsidRPr="002E0EDB">
        <w:rPr>
          <w:rStyle w:val="Siln"/>
          <w:rFonts w:eastAsiaTheme="minorEastAsia"/>
          <w:b w:val="0"/>
          <w:bCs w:val="0"/>
        </w:rPr>
        <w:t>.</w:t>
      </w:r>
      <w:r w:rsidRPr="002E0EDB">
        <w:rPr>
          <w:rStyle w:val="Siln"/>
          <w:rFonts w:eastAsiaTheme="minorEastAsia"/>
          <w:b w:val="0"/>
          <w:bCs w:val="0"/>
        </w:rPr>
        <w:t xml:space="preserve"> na 16,2 % na venkově a 15,4 % ve městech). Dlouhodobě rostoucí index stáří, tedy počet obyvatel nad 65 věku na sto mladších 15 let, se v roce 2017 dále navýšil na 120,7 (109,8 na venkově oproti 125,0 ve městech). I když ve městech (a to v ČR i v jednotlivých krajích) je rozdíl mezi zastoupením dětské a postproduktivní složky obyvatelstva méně příznivý (vlivem zejména vyšší plodnosti žen na venkově, migrací z měst – stěhují se často mladší obyvatelé s dětmi – a dále vyšší úmrtnosti na venkově), současně platí, že u venkovských obcí s klesající velikostní kategorií obce v populaci klesá podíl dětí a znatelně narůstá podíl seniorů. Na 100 obyvatel mladších 15 let tak v nejmenších obcích (do 99 obyvatel) připadá téměř 160 seniorů (</w:t>
      </w:r>
      <w:r w:rsidRPr="0060489F">
        <w:rPr>
          <w:rStyle w:val="Siln"/>
          <w:rFonts w:eastAsiaTheme="minorEastAsia"/>
          <w:b w:val="0"/>
          <w:bCs w:val="0"/>
        </w:rPr>
        <w:t xml:space="preserve">viz Obrázek </w:t>
      </w:r>
      <w:r w:rsidR="0060489F" w:rsidRPr="0060489F">
        <w:rPr>
          <w:rStyle w:val="Siln"/>
          <w:rFonts w:eastAsiaTheme="minorEastAsia"/>
          <w:b w:val="0"/>
          <w:bCs w:val="0"/>
        </w:rPr>
        <w:t>7.</w:t>
      </w:r>
      <w:r w:rsidRPr="0060489F">
        <w:rPr>
          <w:rStyle w:val="Siln"/>
          <w:rFonts w:eastAsiaTheme="minorEastAsia"/>
          <w:b w:val="0"/>
          <w:bCs w:val="0"/>
        </w:rPr>
        <w:t xml:space="preserve">2.7). </w:t>
      </w:r>
    </w:p>
    <w:p w14:paraId="17DB183B" w14:textId="77777777" w:rsidR="00EE3C77" w:rsidRDefault="00EE3C77" w:rsidP="00143820">
      <w:pPr>
        <w:spacing w:line="240" w:lineRule="auto"/>
        <w:ind w:firstLine="708"/>
        <w:rPr>
          <w:rStyle w:val="Siln"/>
          <w:rFonts w:cstheme="minorHAnsi"/>
          <w:b w:val="0"/>
        </w:rPr>
      </w:pPr>
    </w:p>
    <w:p w14:paraId="4B3D509F" w14:textId="77777777" w:rsidR="00143820" w:rsidRPr="004B694B" w:rsidRDefault="00143820" w:rsidP="004B694B">
      <w:pPr>
        <w:pStyle w:val="Titulek"/>
        <w:keepNext/>
        <w:spacing w:after="0"/>
        <w:ind w:firstLine="0"/>
        <w:rPr>
          <w:rStyle w:val="Siln"/>
          <w:rFonts w:asciiTheme="minorHAnsi" w:eastAsiaTheme="minorEastAsia" w:hAnsiTheme="minorHAnsi" w:cstheme="minorBidi"/>
          <w:b w:val="0"/>
          <w:bCs w:val="0"/>
          <w:i w:val="0"/>
          <w:iCs w:val="0"/>
          <w:color w:val="auto"/>
          <w:sz w:val="22"/>
          <w:szCs w:val="22"/>
        </w:rPr>
      </w:pPr>
      <w:bookmarkStart w:id="63" w:name="_Toc525727623"/>
      <w:bookmarkStart w:id="64" w:name="_Toc525735910"/>
      <w:bookmarkStart w:id="65" w:name="_Toc525738207"/>
      <w:r w:rsidRPr="004B694B">
        <w:rPr>
          <w:rFonts w:asciiTheme="minorHAnsi" w:eastAsiaTheme="minorEastAsia" w:hAnsiTheme="minorHAnsi" w:cstheme="minorBidi"/>
          <w:b/>
          <w:bCs/>
          <w:i w:val="0"/>
          <w:iCs w:val="0"/>
          <w:color w:val="auto"/>
          <w:sz w:val="22"/>
          <w:szCs w:val="22"/>
        </w:rPr>
        <w:t xml:space="preserve">Obrázek </w:t>
      </w:r>
      <w:r w:rsidR="0060489F">
        <w:rPr>
          <w:rFonts w:asciiTheme="minorHAnsi" w:eastAsiaTheme="minorEastAsia" w:hAnsiTheme="minorHAnsi" w:cstheme="minorBidi"/>
          <w:b/>
          <w:bCs/>
          <w:i w:val="0"/>
          <w:iCs w:val="0"/>
          <w:color w:val="auto"/>
          <w:sz w:val="22"/>
          <w:szCs w:val="22"/>
        </w:rPr>
        <w:t>7.</w:t>
      </w:r>
      <w:r w:rsidR="00240E36">
        <w:rPr>
          <w:rFonts w:asciiTheme="minorHAnsi" w:eastAsiaTheme="minorEastAsia" w:hAnsiTheme="minorHAnsi" w:cstheme="minorBidi"/>
          <w:b/>
          <w:bCs/>
          <w:i w:val="0"/>
          <w:iCs w:val="0"/>
          <w:color w:val="auto"/>
          <w:sz w:val="22"/>
          <w:szCs w:val="22"/>
        </w:rPr>
        <w:fldChar w:fldCharType="begin"/>
      </w:r>
      <w:r w:rsidR="00240E36">
        <w:rPr>
          <w:rFonts w:asciiTheme="minorHAnsi" w:eastAsiaTheme="minorEastAsia" w:hAnsiTheme="minorHAnsi" w:cstheme="minorBidi"/>
          <w:b/>
          <w:bCs/>
          <w:i w:val="0"/>
          <w:iCs w:val="0"/>
          <w:color w:val="auto"/>
          <w:sz w:val="22"/>
          <w:szCs w:val="22"/>
        </w:rPr>
        <w:instrText xml:space="preserve"> STYLEREF 1 \s </w:instrText>
      </w:r>
      <w:r w:rsidR="00240E36">
        <w:rPr>
          <w:rFonts w:asciiTheme="minorHAnsi" w:eastAsiaTheme="minorEastAsia" w:hAnsiTheme="minorHAnsi" w:cstheme="minorBidi"/>
          <w:b/>
          <w:bCs/>
          <w:i w:val="0"/>
          <w:iCs w:val="0"/>
          <w:color w:val="auto"/>
          <w:sz w:val="22"/>
          <w:szCs w:val="22"/>
        </w:rPr>
        <w:fldChar w:fldCharType="separate"/>
      </w:r>
      <w:r w:rsidR="00240E36">
        <w:rPr>
          <w:rFonts w:asciiTheme="minorHAnsi" w:eastAsiaTheme="minorEastAsia" w:hAnsiTheme="minorHAnsi" w:cstheme="minorBidi"/>
          <w:b/>
          <w:bCs/>
          <w:i w:val="0"/>
          <w:iCs w:val="0"/>
          <w:noProof/>
          <w:color w:val="auto"/>
          <w:sz w:val="22"/>
          <w:szCs w:val="22"/>
        </w:rPr>
        <w:t>2</w:t>
      </w:r>
      <w:r w:rsidR="00240E36">
        <w:rPr>
          <w:rFonts w:asciiTheme="minorHAnsi" w:eastAsiaTheme="minorEastAsia" w:hAnsiTheme="minorHAnsi" w:cstheme="minorBidi"/>
          <w:b/>
          <w:bCs/>
          <w:i w:val="0"/>
          <w:iCs w:val="0"/>
          <w:color w:val="auto"/>
          <w:sz w:val="22"/>
          <w:szCs w:val="22"/>
        </w:rPr>
        <w:fldChar w:fldCharType="end"/>
      </w:r>
      <w:r w:rsidR="00240E36">
        <w:rPr>
          <w:rFonts w:asciiTheme="minorHAnsi" w:eastAsiaTheme="minorEastAsia" w:hAnsiTheme="minorHAnsi" w:cstheme="minorBidi"/>
          <w:b/>
          <w:bCs/>
          <w:i w:val="0"/>
          <w:iCs w:val="0"/>
          <w:color w:val="auto"/>
          <w:sz w:val="22"/>
          <w:szCs w:val="22"/>
        </w:rPr>
        <w:t>.</w:t>
      </w:r>
      <w:r w:rsidR="00EB5B81">
        <w:rPr>
          <w:rFonts w:asciiTheme="minorHAnsi" w:eastAsiaTheme="minorEastAsia" w:hAnsiTheme="minorHAnsi" w:cstheme="minorBidi"/>
          <w:b/>
          <w:bCs/>
          <w:i w:val="0"/>
          <w:iCs w:val="0"/>
          <w:color w:val="auto"/>
          <w:sz w:val="22"/>
          <w:szCs w:val="22"/>
        </w:rPr>
        <w:fldChar w:fldCharType="begin"/>
      </w:r>
      <w:r w:rsidR="00EB5B81">
        <w:rPr>
          <w:rFonts w:asciiTheme="minorHAnsi" w:eastAsiaTheme="minorEastAsia" w:hAnsiTheme="minorHAnsi" w:cstheme="minorBidi"/>
          <w:b/>
          <w:bCs/>
          <w:i w:val="0"/>
          <w:iCs w:val="0"/>
          <w:color w:val="auto"/>
          <w:sz w:val="22"/>
          <w:szCs w:val="22"/>
        </w:rPr>
        <w:instrText xml:space="preserve"> SEQ Obrázek \* ARABIC \s 1 </w:instrText>
      </w:r>
      <w:r w:rsidR="00EB5B81">
        <w:rPr>
          <w:rFonts w:asciiTheme="minorHAnsi" w:eastAsiaTheme="minorEastAsia" w:hAnsiTheme="minorHAnsi" w:cstheme="minorBidi"/>
          <w:b/>
          <w:bCs/>
          <w:i w:val="0"/>
          <w:iCs w:val="0"/>
          <w:color w:val="auto"/>
          <w:sz w:val="22"/>
          <w:szCs w:val="22"/>
        </w:rPr>
        <w:fldChar w:fldCharType="separate"/>
      </w:r>
      <w:r w:rsidR="00EB5B81">
        <w:rPr>
          <w:rFonts w:asciiTheme="minorHAnsi" w:eastAsiaTheme="minorEastAsia" w:hAnsiTheme="minorHAnsi" w:cstheme="minorBidi"/>
          <w:b/>
          <w:bCs/>
          <w:i w:val="0"/>
          <w:iCs w:val="0"/>
          <w:noProof/>
          <w:color w:val="auto"/>
          <w:sz w:val="22"/>
          <w:szCs w:val="22"/>
        </w:rPr>
        <w:t>7</w:t>
      </w:r>
      <w:r w:rsidR="00EB5B81">
        <w:rPr>
          <w:rFonts w:asciiTheme="minorHAnsi" w:eastAsiaTheme="minorEastAsia" w:hAnsiTheme="minorHAnsi" w:cstheme="minorBidi"/>
          <w:b/>
          <w:bCs/>
          <w:i w:val="0"/>
          <w:iCs w:val="0"/>
          <w:color w:val="auto"/>
          <w:sz w:val="22"/>
          <w:szCs w:val="22"/>
        </w:rPr>
        <w:fldChar w:fldCharType="end"/>
      </w:r>
      <w:r w:rsidRPr="004B694B">
        <w:rPr>
          <w:rFonts w:asciiTheme="minorHAnsi" w:eastAsiaTheme="minorEastAsia" w:hAnsiTheme="minorHAnsi" w:cstheme="minorBidi"/>
          <w:b/>
          <w:bCs/>
          <w:i w:val="0"/>
          <w:iCs w:val="0"/>
          <w:color w:val="auto"/>
          <w:sz w:val="22"/>
          <w:szCs w:val="22"/>
        </w:rPr>
        <w:t>: Věková struktura populace (%) a index stáří ve velikostních skupinách obcí ČR v roce 2017</w:t>
      </w:r>
      <w:bookmarkEnd w:id="63"/>
      <w:bookmarkEnd w:id="64"/>
      <w:bookmarkEnd w:id="65"/>
    </w:p>
    <w:p w14:paraId="0A4ABEA7" w14:textId="77777777" w:rsidR="00143820" w:rsidRDefault="00143820" w:rsidP="00EB33F6">
      <w:pPr>
        <w:keepNext/>
        <w:spacing w:line="240" w:lineRule="auto"/>
        <w:ind w:hanging="14"/>
      </w:pPr>
      <w:r w:rsidRPr="00B071CA">
        <w:rPr>
          <w:noProof/>
        </w:rPr>
        <w:drawing>
          <wp:inline distT="0" distB="0" distL="0" distR="0" wp14:anchorId="3136C28E" wp14:editId="1CD28DF1">
            <wp:extent cx="5432612" cy="2827724"/>
            <wp:effectExtent l="0" t="0" r="15875" b="10795"/>
            <wp:docPr id="7" name="Graf 7">
              <a:extLst xmlns:a="http://schemas.openxmlformats.org/drawingml/2006/main">
                <a:ext uri="{FF2B5EF4-FFF2-40B4-BE49-F238E27FC236}">
                  <a16:creationId xmlns:a16="http://schemas.microsoft.com/office/drawing/2014/main" id="{2854ADF3-7B3D-489E-B783-3DE53A3013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80CCCE" w14:textId="77777777" w:rsidR="00143820" w:rsidRPr="004B694B" w:rsidRDefault="00EE3C77" w:rsidP="004B694B">
      <w:pPr>
        <w:spacing w:before="0" w:line="240" w:lineRule="auto"/>
        <w:ind w:firstLine="0"/>
        <w:rPr>
          <w:rFonts w:asciiTheme="minorHAnsi" w:eastAsiaTheme="minorEastAsia" w:hAnsiTheme="minorHAnsi" w:cstheme="minorBidi"/>
          <w:i/>
          <w:iCs/>
          <w:sz w:val="18"/>
          <w:szCs w:val="18"/>
        </w:rPr>
      </w:pPr>
      <w:r w:rsidRPr="004B694B">
        <w:rPr>
          <w:rFonts w:asciiTheme="minorHAnsi" w:eastAsiaTheme="minorEastAsia" w:hAnsiTheme="minorHAnsi" w:cstheme="minorBidi"/>
          <w:i/>
          <w:iCs/>
          <w:sz w:val="18"/>
          <w:szCs w:val="18"/>
        </w:rPr>
        <w:t>Zdroj</w:t>
      </w:r>
      <w:r w:rsidR="00143820" w:rsidRPr="004B694B">
        <w:rPr>
          <w:rFonts w:asciiTheme="minorHAnsi" w:eastAsiaTheme="minorEastAsia" w:hAnsiTheme="minorHAnsi" w:cstheme="minorBidi"/>
          <w:i/>
          <w:iCs/>
          <w:sz w:val="18"/>
          <w:szCs w:val="18"/>
        </w:rPr>
        <w:t>: Malý lexikon obcí ČR, 2017</w:t>
      </w:r>
    </w:p>
    <w:p w14:paraId="183DE743" w14:textId="77777777" w:rsidR="00143820" w:rsidRPr="00B071CA" w:rsidRDefault="00143820" w:rsidP="00143820">
      <w:pPr>
        <w:spacing w:line="240" w:lineRule="auto"/>
      </w:pPr>
    </w:p>
    <w:p w14:paraId="19DDA286" w14:textId="77777777" w:rsidR="00143820" w:rsidRPr="002E0EDB" w:rsidRDefault="00143820">
      <w:pPr>
        <w:rPr>
          <w:rFonts w:eastAsiaTheme="minorEastAsia"/>
        </w:rPr>
      </w:pPr>
      <w:r w:rsidRPr="002E0EDB">
        <w:rPr>
          <w:rFonts w:eastAsiaTheme="minorEastAsia"/>
        </w:rPr>
        <w:t xml:space="preserve">I když mezikrajské rozdíly v indexu stáří nejsou příliš výrazné (výjimkou je zejména vlivem suburbanizace mladší populace Středočeského kraje), v rámci ČR nadprůměrné (tj. z hlediska budoucího rozvoje </w:t>
      </w:r>
      <w:r w:rsidRPr="00AF156D">
        <w:rPr>
          <w:rFonts w:eastAsiaTheme="minorEastAsia"/>
          <w:color w:val="000000" w:themeColor="text1"/>
        </w:rPr>
        <w:t xml:space="preserve">území méně příznivé) hodnoty dosahuje ukazatel v obcích a městech v převážně venkovských krajích (Obrázek </w:t>
      </w:r>
      <w:r w:rsidR="0060489F">
        <w:rPr>
          <w:rFonts w:eastAsiaTheme="minorEastAsia"/>
          <w:color w:val="000000" w:themeColor="text1"/>
        </w:rPr>
        <w:t>7.</w:t>
      </w:r>
      <w:r w:rsidRPr="00AF156D">
        <w:rPr>
          <w:rFonts w:eastAsiaTheme="minorEastAsia"/>
          <w:color w:val="000000" w:themeColor="text1"/>
        </w:rPr>
        <w:t xml:space="preserve">2.8). Vyšší hodnoty indexu stáří mají ve všech krajích města (Obrázek </w:t>
      </w:r>
      <w:r w:rsidR="0060489F">
        <w:rPr>
          <w:rFonts w:eastAsiaTheme="minorEastAsia"/>
          <w:color w:val="000000" w:themeColor="text1"/>
        </w:rPr>
        <w:t>7.</w:t>
      </w:r>
      <w:r w:rsidRPr="00AF156D">
        <w:rPr>
          <w:rFonts w:eastAsiaTheme="minorEastAsia"/>
          <w:color w:val="000000" w:themeColor="text1"/>
        </w:rPr>
        <w:t xml:space="preserve">2.9), ve venkovských obcích dosahuje tento ukazatel méně příznivých hodnot zejména v krajích Vysočina a Zlínském </w:t>
      </w:r>
      <w:r w:rsidRPr="002E0EDB">
        <w:rPr>
          <w:rFonts w:eastAsiaTheme="minorEastAsia"/>
        </w:rPr>
        <w:t xml:space="preserve">(ani u nich však nepřesahuje průměrnou hodnotu indexu stáří v ČR). </w:t>
      </w:r>
    </w:p>
    <w:p w14:paraId="66B0B675" w14:textId="77777777" w:rsidR="00143820" w:rsidRPr="004B694B" w:rsidRDefault="00143820" w:rsidP="004B694B">
      <w:pPr>
        <w:pStyle w:val="Titulek"/>
        <w:keepNext/>
        <w:spacing w:after="0"/>
        <w:ind w:firstLine="0"/>
        <w:rPr>
          <w:rFonts w:asciiTheme="minorHAnsi" w:eastAsiaTheme="minorEastAsia" w:hAnsiTheme="minorHAnsi" w:cstheme="minorBidi"/>
          <w:b/>
          <w:bCs/>
          <w:i w:val="0"/>
          <w:iCs w:val="0"/>
          <w:color w:val="auto"/>
          <w:sz w:val="22"/>
          <w:szCs w:val="22"/>
        </w:rPr>
      </w:pPr>
      <w:bookmarkStart w:id="66" w:name="_Toc525727624"/>
      <w:bookmarkStart w:id="67" w:name="_Toc525735911"/>
      <w:bookmarkStart w:id="68" w:name="_Toc525738208"/>
      <w:r w:rsidRPr="004B694B">
        <w:rPr>
          <w:rFonts w:asciiTheme="minorHAnsi" w:eastAsiaTheme="minorEastAsia" w:hAnsiTheme="minorHAnsi" w:cstheme="minorBidi"/>
          <w:b/>
          <w:bCs/>
          <w:i w:val="0"/>
          <w:iCs w:val="0"/>
          <w:color w:val="auto"/>
          <w:sz w:val="22"/>
          <w:szCs w:val="22"/>
        </w:rPr>
        <w:lastRenderedPageBreak/>
        <w:t xml:space="preserve">Obrázek </w:t>
      </w:r>
      <w:r w:rsidR="0060489F">
        <w:rPr>
          <w:rFonts w:asciiTheme="minorHAnsi" w:eastAsiaTheme="minorEastAsia" w:hAnsiTheme="minorHAnsi" w:cstheme="minorBidi"/>
          <w:b/>
          <w:bCs/>
          <w:i w:val="0"/>
          <w:iCs w:val="0"/>
          <w:color w:val="auto"/>
          <w:sz w:val="22"/>
          <w:szCs w:val="22"/>
        </w:rPr>
        <w:t>7.</w:t>
      </w:r>
      <w:r w:rsidR="00240E36">
        <w:rPr>
          <w:rFonts w:asciiTheme="minorHAnsi" w:eastAsiaTheme="minorEastAsia" w:hAnsiTheme="minorHAnsi" w:cstheme="minorBidi"/>
          <w:b/>
          <w:bCs/>
          <w:i w:val="0"/>
          <w:iCs w:val="0"/>
          <w:color w:val="auto"/>
          <w:sz w:val="22"/>
          <w:szCs w:val="22"/>
        </w:rPr>
        <w:fldChar w:fldCharType="begin"/>
      </w:r>
      <w:r w:rsidR="00240E36">
        <w:rPr>
          <w:rFonts w:asciiTheme="minorHAnsi" w:eastAsiaTheme="minorEastAsia" w:hAnsiTheme="minorHAnsi" w:cstheme="minorBidi"/>
          <w:b/>
          <w:bCs/>
          <w:i w:val="0"/>
          <w:iCs w:val="0"/>
          <w:color w:val="auto"/>
          <w:sz w:val="22"/>
          <w:szCs w:val="22"/>
        </w:rPr>
        <w:instrText xml:space="preserve"> STYLEREF 1 \s </w:instrText>
      </w:r>
      <w:r w:rsidR="00240E36">
        <w:rPr>
          <w:rFonts w:asciiTheme="minorHAnsi" w:eastAsiaTheme="minorEastAsia" w:hAnsiTheme="minorHAnsi" w:cstheme="minorBidi"/>
          <w:b/>
          <w:bCs/>
          <w:i w:val="0"/>
          <w:iCs w:val="0"/>
          <w:color w:val="auto"/>
          <w:sz w:val="22"/>
          <w:szCs w:val="22"/>
        </w:rPr>
        <w:fldChar w:fldCharType="separate"/>
      </w:r>
      <w:r w:rsidR="00240E36">
        <w:rPr>
          <w:rFonts w:asciiTheme="minorHAnsi" w:eastAsiaTheme="minorEastAsia" w:hAnsiTheme="minorHAnsi" w:cstheme="minorBidi"/>
          <w:b/>
          <w:bCs/>
          <w:i w:val="0"/>
          <w:iCs w:val="0"/>
          <w:noProof/>
          <w:color w:val="auto"/>
          <w:sz w:val="22"/>
          <w:szCs w:val="22"/>
        </w:rPr>
        <w:t>2</w:t>
      </w:r>
      <w:r w:rsidR="00240E36">
        <w:rPr>
          <w:rFonts w:asciiTheme="minorHAnsi" w:eastAsiaTheme="minorEastAsia" w:hAnsiTheme="minorHAnsi" w:cstheme="minorBidi"/>
          <w:b/>
          <w:bCs/>
          <w:i w:val="0"/>
          <w:iCs w:val="0"/>
          <w:color w:val="auto"/>
          <w:sz w:val="22"/>
          <w:szCs w:val="22"/>
        </w:rPr>
        <w:fldChar w:fldCharType="end"/>
      </w:r>
      <w:r w:rsidR="00240E36">
        <w:rPr>
          <w:rFonts w:asciiTheme="minorHAnsi" w:eastAsiaTheme="minorEastAsia" w:hAnsiTheme="minorHAnsi" w:cstheme="minorBidi"/>
          <w:b/>
          <w:bCs/>
          <w:i w:val="0"/>
          <w:iCs w:val="0"/>
          <w:color w:val="auto"/>
          <w:sz w:val="22"/>
          <w:szCs w:val="22"/>
        </w:rPr>
        <w:t>.</w:t>
      </w:r>
      <w:r w:rsidR="00EB5B81">
        <w:rPr>
          <w:rFonts w:asciiTheme="minorHAnsi" w:eastAsiaTheme="minorEastAsia" w:hAnsiTheme="minorHAnsi" w:cstheme="minorBidi"/>
          <w:b/>
          <w:bCs/>
          <w:i w:val="0"/>
          <w:iCs w:val="0"/>
          <w:color w:val="auto"/>
          <w:sz w:val="22"/>
          <w:szCs w:val="22"/>
        </w:rPr>
        <w:fldChar w:fldCharType="begin"/>
      </w:r>
      <w:r w:rsidR="00EB5B81">
        <w:rPr>
          <w:rFonts w:asciiTheme="minorHAnsi" w:eastAsiaTheme="minorEastAsia" w:hAnsiTheme="minorHAnsi" w:cstheme="minorBidi"/>
          <w:b/>
          <w:bCs/>
          <w:i w:val="0"/>
          <w:iCs w:val="0"/>
          <w:color w:val="auto"/>
          <w:sz w:val="22"/>
          <w:szCs w:val="22"/>
        </w:rPr>
        <w:instrText xml:space="preserve"> SEQ Obrázek \* ARABIC \s 1 </w:instrText>
      </w:r>
      <w:r w:rsidR="00EB5B81">
        <w:rPr>
          <w:rFonts w:asciiTheme="minorHAnsi" w:eastAsiaTheme="minorEastAsia" w:hAnsiTheme="minorHAnsi" w:cstheme="minorBidi"/>
          <w:b/>
          <w:bCs/>
          <w:i w:val="0"/>
          <w:iCs w:val="0"/>
          <w:color w:val="auto"/>
          <w:sz w:val="22"/>
          <w:szCs w:val="22"/>
        </w:rPr>
        <w:fldChar w:fldCharType="separate"/>
      </w:r>
      <w:r w:rsidR="00EB5B81">
        <w:rPr>
          <w:rFonts w:asciiTheme="minorHAnsi" w:eastAsiaTheme="minorEastAsia" w:hAnsiTheme="minorHAnsi" w:cstheme="minorBidi"/>
          <w:b/>
          <w:bCs/>
          <w:i w:val="0"/>
          <w:iCs w:val="0"/>
          <w:noProof/>
          <w:color w:val="auto"/>
          <w:sz w:val="22"/>
          <w:szCs w:val="22"/>
        </w:rPr>
        <w:t>8</w:t>
      </w:r>
      <w:r w:rsidR="00EB5B81">
        <w:rPr>
          <w:rFonts w:asciiTheme="minorHAnsi" w:eastAsiaTheme="minorEastAsia" w:hAnsiTheme="minorHAnsi" w:cstheme="minorBidi"/>
          <w:b/>
          <w:bCs/>
          <w:i w:val="0"/>
          <w:iCs w:val="0"/>
          <w:color w:val="auto"/>
          <w:sz w:val="22"/>
          <w:szCs w:val="22"/>
        </w:rPr>
        <w:fldChar w:fldCharType="end"/>
      </w:r>
      <w:r w:rsidRPr="004B694B">
        <w:rPr>
          <w:rFonts w:asciiTheme="minorHAnsi" w:eastAsiaTheme="minorEastAsia" w:hAnsiTheme="minorHAnsi" w:cstheme="minorBidi"/>
          <w:b/>
          <w:bCs/>
          <w:i w:val="0"/>
          <w:iCs w:val="0"/>
          <w:color w:val="auto"/>
          <w:sz w:val="22"/>
          <w:szCs w:val="22"/>
        </w:rPr>
        <w:t>: Index stáří v krajích ČR v roce 2017</w:t>
      </w:r>
      <w:bookmarkEnd w:id="66"/>
      <w:bookmarkEnd w:id="67"/>
      <w:bookmarkEnd w:id="68"/>
    </w:p>
    <w:p w14:paraId="2454A728" w14:textId="77777777" w:rsidR="00143820" w:rsidRDefault="00143820" w:rsidP="00EB33F6">
      <w:pPr>
        <w:keepNext/>
        <w:spacing w:line="240" w:lineRule="auto"/>
        <w:ind w:firstLine="0"/>
      </w:pPr>
      <w:r w:rsidRPr="00B071CA">
        <w:rPr>
          <w:noProof/>
        </w:rPr>
        <w:drawing>
          <wp:inline distT="0" distB="0" distL="0" distR="0" wp14:anchorId="549C190C" wp14:editId="0379D64A">
            <wp:extent cx="5839865" cy="1882588"/>
            <wp:effectExtent l="0" t="0" r="8890" b="3810"/>
            <wp:docPr id="13" name="Graf 13">
              <a:extLst xmlns:a="http://schemas.openxmlformats.org/drawingml/2006/main">
                <a:ext uri="{FF2B5EF4-FFF2-40B4-BE49-F238E27FC236}">
                  <a16:creationId xmlns:a16="http://schemas.microsoft.com/office/drawing/2014/main" id="{418ABFDB-A076-4395-AB65-3F875F828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9D7EA6" w14:textId="77777777" w:rsidR="00143820" w:rsidRPr="004B694B" w:rsidRDefault="00EE3C77" w:rsidP="004B694B">
      <w:pPr>
        <w:spacing w:before="0" w:line="240" w:lineRule="auto"/>
        <w:ind w:firstLine="0"/>
        <w:rPr>
          <w:rFonts w:asciiTheme="minorHAnsi" w:eastAsiaTheme="minorEastAsia" w:hAnsiTheme="minorHAnsi" w:cstheme="minorBidi"/>
          <w:i/>
          <w:iCs/>
          <w:sz w:val="18"/>
          <w:szCs w:val="18"/>
        </w:rPr>
      </w:pPr>
      <w:r w:rsidRPr="004B694B">
        <w:rPr>
          <w:rFonts w:asciiTheme="minorHAnsi" w:eastAsiaTheme="minorEastAsia" w:hAnsiTheme="minorHAnsi" w:cstheme="minorBidi"/>
          <w:i/>
          <w:iCs/>
          <w:sz w:val="18"/>
          <w:szCs w:val="18"/>
        </w:rPr>
        <w:t>Zdroj</w:t>
      </w:r>
      <w:r w:rsidR="00143820" w:rsidRPr="004B694B">
        <w:rPr>
          <w:rFonts w:asciiTheme="minorHAnsi" w:eastAsiaTheme="minorEastAsia" w:hAnsiTheme="minorHAnsi" w:cstheme="minorBidi"/>
          <w:i/>
          <w:iCs/>
          <w:sz w:val="18"/>
          <w:szCs w:val="18"/>
        </w:rPr>
        <w:t>: Malý lexikon obcí ČR, 2017</w:t>
      </w:r>
    </w:p>
    <w:p w14:paraId="5B108D54" w14:textId="77777777" w:rsidR="00143820" w:rsidRPr="00B071CA" w:rsidRDefault="00143820" w:rsidP="00143820">
      <w:pPr>
        <w:spacing w:line="240" w:lineRule="auto"/>
        <w:rPr>
          <w:b/>
        </w:rPr>
      </w:pPr>
    </w:p>
    <w:p w14:paraId="250AC65B" w14:textId="77777777" w:rsidR="00143820" w:rsidRPr="004B694B" w:rsidRDefault="00143820" w:rsidP="004B694B">
      <w:pPr>
        <w:pStyle w:val="Titulek"/>
        <w:keepNext/>
        <w:spacing w:after="0"/>
        <w:ind w:firstLine="0"/>
        <w:rPr>
          <w:rFonts w:asciiTheme="minorHAnsi" w:eastAsiaTheme="minorEastAsia" w:hAnsiTheme="minorHAnsi" w:cstheme="minorBidi"/>
          <w:b/>
          <w:bCs/>
          <w:i w:val="0"/>
          <w:iCs w:val="0"/>
          <w:color w:val="auto"/>
          <w:sz w:val="22"/>
          <w:szCs w:val="22"/>
        </w:rPr>
      </w:pPr>
      <w:bookmarkStart w:id="69" w:name="_Toc525727625"/>
      <w:bookmarkStart w:id="70" w:name="_Toc525735912"/>
      <w:bookmarkStart w:id="71" w:name="_Toc525738209"/>
      <w:r w:rsidRPr="004B694B">
        <w:rPr>
          <w:rFonts w:asciiTheme="minorHAnsi" w:eastAsiaTheme="minorEastAsia" w:hAnsiTheme="minorHAnsi" w:cstheme="minorBidi"/>
          <w:b/>
          <w:bCs/>
          <w:i w:val="0"/>
          <w:iCs w:val="0"/>
          <w:color w:val="auto"/>
          <w:sz w:val="22"/>
          <w:szCs w:val="22"/>
        </w:rPr>
        <w:t xml:space="preserve">Obrázek </w:t>
      </w:r>
      <w:r w:rsidR="0060489F">
        <w:rPr>
          <w:rFonts w:asciiTheme="minorHAnsi" w:eastAsiaTheme="minorEastAsia" w:hAnsiTheme="minorHAnsi" w:cstheme="minorBidi"/>
          <w:b/>
          <w:bCs/>
          <w:i w:val="0"/>
          <w:iCs w:val="0"/>
          <w:color w:val="auto"/>
          <w:sz w:val="22"/>
          <w:szCs w:val="22"/>
        </w:rPr>
        <w:t>7.</w:t>
      </w:r>
      <w:r w:rsidR="00240E36">
        <w:rPr>
          <w:rFonts w:asciiTheme="minorHAnsi" w:eastAsiaTheme="minorEastAsia" w:hAnsiTheme="minorHAnsi" w:cstheme="minorBidi"/>
          <w:b/>
          <w:bCs/>
          <w:i w:val="0"/>
          <w:iCs w:val="0"/>
          <w:color w:val="auto"/>
          <w:sz w:val="22"/>
          <w:szCs w:val="22"/>
        </w:rPr>
        <w:fldChar w:fldCharType="begin"/>
      </w:r>
      <w:r w:rsidR="00240E36">
        <w:rPr>
          <w:rFonts w:asciiTheme="minorHAnsi" w:eastAsiaTheme="minorEastAsia" w:hAnsiTheme="minorHAnsi" w:cstheme="minorBidi"/>
          <w:b/>
          <w:bCs/>
          <w:i w:val="0"/>
          <w:iCs w:val="0"/>
          <w:color w:val="auto"/>
          <w:sz w:val="22"/>
          <w:szCs w:val="22"/>
        </w:rPr>
        <w:instrText xml:space="preserve"> STYLEREF 1 \s </w:instrText>
      </w:r>
      <w:r w:rsidR="00240E36">
        <w:rPr>
          <w:rFonts w:asciiTheme="minorHAnsi" w:eastAsiaTheme="minorEastAsia" w:hAnsiTheme="minorHAnsi" w:cstheme="minorBidi"/>
          <w:b/>
          <w:bCs/>
          <w:i w:val="0"/>
          <w:iCs w:val="0"/>
          <w:color w:val="auto"/>
          <w:sz w:val="22"/>
          <w:szCs w:val="22"/>
        </w:rPr>
        <w:fldChar w:fldCharType="separate"/>
      </w:r>
      <w:r w:rsidR="00240E36">
        <w:rPr>
          <w:rFonts w:asciiTheme="minorHAnsi" w:eastAsiaTheme="minorEastAsia" w:hAnsiTheme="minorHAnsi" w:cstheme="minorBidi"/>
          <w:b/>
          <w:bCs/>
          <w:i w:val="0"/>
          <w:iCs w:val="0"/>
          <w:noProof/>
          <w:color w:val="auto"/>
          <w:sz w:val="22"/>
          <w:szCs w:val="22"/>
        </w:rPr>
        <w:t>2</w:t>
      </w:r>
      <w:r w:rsidR="00240E36">
        <w:rPr>
          <w:rFonts w:asciiTheme="minorHAnsi" w:eastAsiaTheme="minorEastAsia" w:hAnsiTheme="minorHAnsi" w:cstheme="minorBidi"/>
          <w:b/>
          <w:bCs/>
          <w:i w:val="0"/>
          <w:iCs w:val="0"/>
          <w:color w:val="auto"/>
          <w:sz w:val="22"/>
          <w:szCs w:val="22"/>
        </w:rPr>
        <w:fldChar w:fldCharType="end"/>
      </w:r>
      <w:r w:rsidR="00240E36">
        <w:rPr>
          <w:rFonts w:asciiTheme="minorHAnsi" w:eastAsiaTheme="minorEastAsia" w:hAnsiTheme="minorHAnsi" w:cstheme="minorBidi"/>
          <w:b/>
          <w:bCs/>
          <w:i w:val="0"/>
          <w:iCs w:val="0"/>
          <w:color w:val="auto"/>
          <w:sz w:val="22"/>
          <w:szCs w:val="22"/>
        </w:rPr>
        <w:t>.</w:t>
      </w:r>
      <w:r w:rsidR="00EB5B81">
        <w:rPr>
          <w:rFonts w:asciiTheme="minorHAnsi" w:eastAsiaTheme="minorEastAsia" w:hAnsiTheme="minorHAnsi" w:cstheme="minorBidi"/>
          <w:b/>
          <w:bCs/>
          <w:i w:val="0"/>
          <w:iCs w:val="0"/>
          <w:color w:val="auto"/>
          <w:sz w:val="22"/>
          <w:szCs w:val="22"/>
        </w:rPr>
        <w:fldChar w:fldCharType="begin"/>
      </w:r>
      <w:r w:rsidR="00EB5B81">
        <w:rPr>
          <w:rFonts w:asciiTheme="minorHAnsi" w:eastAsiaTheme="minorEastAsia" w:hAnsiTheme="minorHAnsi" w:cstheme="minorBidi"/>
          <w:b/>
          <w:bCs/>
          <w:i w:val="0"/>
          <w:iCs w:val="0"/>
          <w:color w:val="auto"/>
          <w:sz w:val="22"/>
          <w:szCs w:val="22"/>
        </w:rPr>
        <w:instrText xml:space="preserve"> SEQ Obrázek \* ARABIC \s 1 </w:instrText>
      </w:r>
      <w:r w:rsidR="00EB5B81">
        <w:rPr>
          <w:rFonts w:asciiTheme="minorHAnsi" w:eastAsiaTheme="minorEastAsia" w:hAnsiTheme="minorHAnsi" w:cstheme="minorBidi"/>
          <w:b/>
          <w:bCs/>
          <w:i w:val="0"/>
          <w:iCs w:val="0"/>
          <w:color w:val="auto"/>
          <w:sz w:val="22"/>
          <w:szCs w:val="22"/>
        </w:rPr>
        <w:fldChar w:fldCharType="separate"/>
      </w:r>
      <w:r w:rsidR="00EB5B81">
        <w:rPr>
          <w:rFonts w:asciiTheme="minorHAnsi" w:eastAsiaTheme="minorEastAsia" w:hAnsiTheme="minorHAnsi" w:cstheme="minorBidi"/>
          <w:b/>
          <w:bCs/>
          <w:i w:val="0"/>
          <w:iCs w:val="0"/>
          <w:noProof/>
          <w:color w:val="auto"/>
          <w:sz w:val="22"/>
          <w:szCs w:val="22"/>
        </w:rPr>
        <w:t>9</w:t>
      </w:r>
      <w:r w:rsidR="00EB5B81">
        <w:rPr>
          <w:rFonts w:asciiTheme="minorHAnsi" w:eastAsiaTheme="minorEastAsia" w:hAnsiTheme="minorHAnsi" w:cstheme="minorBidi"/>
          <w:b/>
          <w:bCs/>
          <w:i w:val="0"/>
          <w:iCs w:val="0"/>
          <w:color w:val="auto"/>
          <w:sz w:val="22"/>
          <w:szCs w:val="22"/>
        </w:rPr>
        <w:fldChar w:fldCharType="end"/>
      </w:r>
      <w:r w:rsidRPr="004B694B">
        <w:rPr>
          <w:rFonts w:asciiTheme="minorHAnsi" w:eastAsiaTheme="minorEastAsia" w:hAnsiTheme="minorHAnsi" w:cstheme="minorBidi"/>
          <w:b/>
          <w:bCs/>
          <w:i w:val="0"/>
          <w:iCs w:val="0"/>
          <w:color w:val="auto"/>
          <w:sz w:val="22"/>
          <w:szCs w:val="22"/>
        </w:rPr>
        <w:t>: Index stáří ve venkovských obcích a městech dle krajů ČR v roce 2017</w:t>
      </w:r>
      <w:r w:rsidR="009E2E85">
        <w:rPr>
          <w:rFonts w:asciiTheme="minorHAnsi" w:eastAsiaTheme="minorEastAsia" w:hAnsiTheme="minorHAnsi" w:cstheme="minorBidi"/>
          <w:b/>
          <w:bCs/>
          <w:i w:val="0"/>
          <w:iCs w:val="0"/>
          <w:color w:val="auto"/>
          <w:sz w:val="22"/>
          <w:szCs w:val="22"/>
        </w:rPr>
        <w:t xml:space="preserve"> </w:t>
      </w:r>
      <w:r w:rsidRPr="004B694B">
        <w:rPr>
          <w:rFonts w:asciiTheme="minorHAnsi" w:eastAsiaTheme="minorEastAsia" w:hAnsiTheme="minorHAnsi" w:cstheme="minorBidi"/>
          <w:b/>
          <w:bCs/>
          <w:i w:val="0"/>
          <w:iCs w:val="0"/>
          <w:color w:val="auto"/>
          <w:sz w:val="22"/>
          <w:szCs w:val="22"/>
        </w:rPr>
        <w:t>- venkovské obce (zeleně), města</w:t>
      </w:r>
      <w:r w:rsidR="00BC3C6B" w:rsidRPr="004B694B">
        <w:rPr>
          <w:rFonts w:asciiTheme="minorHAnsi" w:eastAsiaTheme="minorEastAsia" w:hAnsiTheme="minorHAnsi" w:cstheme="minorBidi"/>
          <w:b/>
          <w:bCs/>
          <w:i w:val="0"/>
          <w:iCs w:val="0"/>
          <w:color w:val="auto"/>
          <w:sz w:val="22"/>
          <w:szCs w:val="22"/>
        </w:rPr>
        <w:t xml:space="preserve"> </w:t>
      </w:r>
      <w:r w:rsidRPr="004B694B">
        <w:rPr>
          <w:rFonts w:asciiTheme="minorHAnsi" w:eastAsiaTheme="minorEastAsia" w:hAnsiTheme="minorHAnsi" w:cstheme="minorBidi"/>
          <w:b/>
          <w:bCs/>
          <w:i w:val="0"/>
          <w:iCs w:val="0"/>
          <w:color w:val="auto"/>
          <w:sz w:val="22"/>
          <w:szCs w:val="22"/>
        </w:rPr>
        <w:t>(červeně)</w:t>
      </w:r>
      <w:bookmarkEnd w:id="69"/>
      <w:bookmarkEnd w:id="70"/>
      <w:bookmarkEnd w:id="71"/>
    </w:p>
    <w:p w14:paraId="296847AF" w14:textId="77777777" w:rsidR="00143820" w:rsidRDefault="00143820" w:rsidP="00EB33F6">
      <w:pPr>
        <w:keepNext/>
        <w:spacing w:line="240" w:lineRule="auto"/>
        <w:ind w:firstLine="0"/>
      </w:pPr>
      <w:r w:rsidRPr="00B071CA">
        <w:rPr>
          <w:noProof/>
        </w:rPr>
        <w:drawing>
          <wp:inline distT="0" distB="0" distL="0" distR="0" wp14:anchorId="741E867C" wp14:editId="521A2653">
            <wp:extent cx="5931535" cy="2043953"/>
            <wp:effectExtent l="0" t="0" r="12065" b="13970"/>
            <wp:docPr id="14" name="Graf 14">
              <a:extLst xmlns:a="http://schemas.openxmlformats.org/drawingml/2006/main">
                <a:ext uri="{FF2B5EF4-FFF2-40B4-BE49-F238E27FC236}">
                  <a16:creationId xmlns:a16="http://schemas.microsoft.com/office/drawing/2014/main" id="{B936901C-C144-4531-99AB-4AE88015A7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92C803" w14:textId="77777777" w:rsidR="00143820" w:rsidRPr="004B694B" w:rsidRDefault="00EE3C77" w:rsidP="004B694B">
      <w:pPr>
        <w:spacing w:before="0" w:line="240" w:lineRule="auto"/>
        <w:ind w:firstLine="0"/>
        <w:rPr>
          <w:rFonts w:asciiTheme="minorHAnsi" w:eastAsiaTheme="minorEastAsia" w:hAnsiTheme="minorHAnsi" w:cstheme="minorBidi"/>
          <w:i/>
          <w:iCs/>
          <w:sz w:val="18"/>
          <w:szCs w:val="18"/>
        </w:rPr>
      </w:pPr>
      <w:r w:rsidRPr="004B694B">
        <w:rPr>
          <w:rFonts w:asciiTheme="minorHAnsi" w:eastAsiaTheme="minorEastAsia" w:hAnsiTheme="minorHAnsi" w:cstheme="minorBidi"/>
          <w:i/>
          <w:iCs/>
          <w:sz w:val="18"/>
          <w:szCs w:val="18"/>
        </w:rPr>
        <w:t>Zdroj</w:t>
      </w:r>
      <w:r w:rsidR="00143820" w:rsidRPr="004B694B">
        <w:rPr>
          <w:rFonts w:asciiTheme="minorHAnsi" w:eastAsiaTheme="minorEastAsia" w:hAnsiTheme="minorHAnsi" w:cstheme="minorBidi"/>
          <w:i/>
          <w:iCs/>
          <w:sz w:val="18"/>
          <w:szCs w:val="18"/>
        </w:rPr>
        <w:t>: Malý lexikon obcí ČR, 2017</w:t>
      </w:r>
    </w:p>
    <w:p w14:paraId="3A0FE0D9" w14:textId="77777777" w:rsidR="00143820" w:rsidRPr="00B071CA" w:rsidRDefault="00143820" w:rsidP="00EB33F6">
      <w:pPr>
        <w:rPr>
          <w:rFonts w:cstheme="minorHAnsi"/>
        </w:rPr>
      </w:pPr>
    </w:p>
    <w:p w14:paraId="0E31C2CC" w14:textId="77777777" w:rsidR="00143820" w:rsidRPr="004B694B" w:rsidRDefault="00143820">
      <w:pPr>
        <w:ind w:firstLine="0"/>
        <w:rPr>
          <w:rFonts w:asciiTheme="minorHAnsi" w:eastAsiaTheme="minorEastAsia" w:hAnsiTheme="minorHAnsi" w:cstheme="minorBidi"/>
        </w:rPr>
      </w:pPr>
      <w:r w:rsidRPr="004B694B">
        <w:rPr>
          <w:rFonts w:asciiTheme="minorHAnsi" w:eastAsiaTheme="minorEastAsia" w:hAnsiTheme="minorHAnsi" w:cstheme="minorBidi"/>
          <w:b/>
          <w:bCs/>
        </w:rPr>
        <w:t>Vzdělanostní struktura obyvatel na venkově</w:t>
      </w:r>
    </w:p>
    <w:p w14:paraId="260AB70C" w14:textId="77777777" w:rsidR="00143820" w:rsidRPr="00B071CA" w:rsidRDefault="00143820" w:rsidP="00EB33F6">
      <w:pPr>
        <w:rPr>
          <w:noProof/>
        </w:rPr>
      </w:pPr>
      <w:r w:rsidRPr="00B071CA">
        <w:rPr>
          <w:noProof/>
        </w:rPr>
        <w:t xml:space="preserve">I když se celková vzdělanost obyvatel venkova </w:t>
      </w:r>
      <w:r w:rsidR="003D76D1" w:rsidRPr="00B071CA">
        <w:rPr>
          <w:noProof/>
        </w:rPr>
        <w:t>mezi posledními dvěma cenzy</w:t>
      </w:r>
      <w:r w:rsidR="003D76D1">
        <w:rPr>
          <w:noProof/>
        </w:rPr>
        <w:t xml:space="preserve"> </w:t>
      </w:r>
      <w:r w:rsidRPr="00B071CA">
        <w:rPr>
          <w:noProof/>
        </w:rPr>
        <w:t xml:space="preserve">zlepšuje </w:t>
      </w:r>
      <w:r w:rsidR="003D76D1">
        <w:rPr>
          <w:noProof/>
        </w:rPr>
        <w:t>(</w:t>
      </w:r>
      <w:r w:rsidRPr="00AF156D">
        <w:rPr>
          <w:noProof/>
          <w:color w:val="000000" w:themeColor="text1"/>
        </w:rPr>
        <w:t>Obráz</w:t>
      </w:r>
      <w:r w:rsidR="003D76D1">
        <w:rPr>
          <w:noProof/>
          <w:color w:val="000000" w:themeColor="text1"/>
        </w:rPr>
        <w:t>e</w:t>
      </w:r>
      <w:r w:rsidRPr="00AF156D">
        <w:rPr>
          <w:noProof/>
          <w:color w:val="000000" w:themeColor="text1"/>
        </w:rPr>
        <w:t>k</w:t>
      </w:r>
      <w:r w:rsidR="003D76D1">
        <w:rPr>
          <w:noProof/>
          <w:color w:val="000000" w:themeColor="text1"/>
        </w:rPr>
        <w:t xml:space="preserve"> </w:t>
      </w:r>
      <w:r w:rsidR="0060489F">
        <w:rPr>
          <w:noProof/>
          <w:color w:val="000000" w:themeColor="text1"/>
        </w:rPr>
        <w:t>7.</w:t>
      </w:r>
      <w:r w:rsidR="003D76D1">
        <w:rPr>
          <w:noProof/>
          <w:color w:val="000000" w:themeColor="text1"/>
        </w:rPr>
        <w:t>2.10),</w:t>
      </w:r>
      <w:r>
        <w:rPr>
          <w:color w:val="000000" w:themeColor="text1"/>
        </w:rPr>
        <w:t xml:space="preserve"> </w:t>
      </w:r>
      <w:r w:rsidRPr="00B071CA">
        <w:rPr>
          <w:noProof/>
        </w:rPr>
        <w:t xml:space="preserve">ve srovnání s městy na venkově dokonce relativně více klesl podíl osob se základním vzděláním a více narostl podíl osob s úplným středním vzděláním (s maturitou), vzdělanostní struktura obyvatel venkova v roce 2011 byla stále horší než ve městech </w:t>
      </w:r>
      <w:r w:rsidR="003D76D1">
        <w:rPr>
          <w:noProof/>
        </w:rPr>
        <w:t>(dokonce než</w:t>
      </w:r>
      <w:r w:rsidRPr="003D76D1">
        <w:rPr>
          <w:noProof/>
        </w:rPr>
        <w:t xml:space="preserve"> </w:t>
      </w:r>
      <w:r w:rsidRPr="00B071CA">
        <w:rPr>
          <w:noProof/>
        </w:rPr>
        <w:t>v roce 2001</w:t>
      </w:r>
      <w:r w:rsidR="003D76D1">
        <w:rPr>
          <w:noProof/>
        </w:rPr>
        <w:t>)</w:t>
      </w:r>
      <w:r w:rsidRPr="003D76D1">
        <w:rPr>
          <w:noProof/>
        </w:rPr>
        <w:t>.</w:t>
      </w:r>
      <w:r w:rsidRPr="00B071CA">
        <w:rPr>
          <w:noProof/>
        </w:rPr>
        <w:t xml:space="preserve"> Relativně mírnějším tempem na venkově přibývá také vysokoškolsky vzdělaných</w:t>
      </w:r>
      <w:r w:rsidRPr="003D76D1">
        <w:rPr>
          <w:noProof/>
        </w:rPr>
        <w:t xml:space="preserve">. </w:t>
      </w:r>
      <w:r w:rsidR="003D76D1" w:rsidRPr="003D76D1">
        <w:rPr>
          <w:noProof/>
        </w:rPr>
        <w:t>Mezi podstatné vlivy patří zemědělský charakter venkova a méně příhodná věková skladba v malých obcích se silným zastoupením osob starších 60, resp. 65 let. Podíly osob s nejnižším vzděláním s rostoucí velikostní skupinou obcí klesají.</w:t>
      </w:r>
    </w:p>
    <w:p w14:paraId="041CFDE9" w14:textId="77777777" w:rsidR="00143820" w:rsidRPr="004B694B" w:rsidRDefault="00143820" w:rsidP="004B694B">
      <w:pPr>
        <w:keepNext/>
        <w:spacing w:before="0" w:line="240" w:lineRule="auto"/>
        <w:ind w:firstLine="0"/>
        <w:rPr>
          <w:rFonts w:asciiTheme="majorHAnsi" w:eastAsiaTheme="majorEastAsia" w:hAnsiTheme="majorHAnsi" w:cstheme="majorBidi"/>
          <w:b/>
          <w:bCs/>
          <w:sz w:val="22"/>
          <w:szCs w:val="22"/>
        </w:rPr>
      </w:pPr>
      <w:bookmarkStart w:id="72" w:name="_Toc525727627"/>
      <w:bookmarkStart w:id="73" w:name="_Toc525735914"/>
      <w:bookmarkStart w:id="74" w:name="_Toc525738211"/>
      <w:r w:rsidRPr="004B694B">
        <w:rPr>
          <w:rFonts w:asciiTheme="majorHAnsi" w:eastAsiaTheme="majorEastAsia" w:hAnsiTheme="majorHAnsi" w:cstheme="majorBidi"/>
          <w:b/>
          <w:bCs/>
          <w:sz w:val="22"/>
          <w:szCs w:val="22"/>
        </w:rPr>
        <w:lastRenderedPageBreak/>
        <w:t xml:space="preserve">Obrázek </w:t>
      </w:r>
      <w:r w:rsidR="0060489F">
        <w:rPr>
          <w:rFonts w:asciiTheme="majorHAnsi" w:eastAsiaTheme="majorEastAsia" w:hAnsiTheme="majorHAnsi" w:cstheme="majorBidi"/>
          <w:b/>
          <w:bCs/>
          <w:sz w:val="22"/>
          <w:szCs w:val="22"/>
        </w:rPr>
        <w:t>7.</w:t>
      </w:r>
      <w:r w:rsidR="00240E36">
        <w:rPr>
          <w:rFonts w:asciiTheme="majorHAnsi" w:eastAsiaTheme="majorEastAsia" w:hAnsiTheme="majorHAnsi" w:cstheme="majorBidi"/>
          <w:b/>
          <w:bCs/>
          <w:sz w:val="22"/>
          <w:szCs w:val="22"/>
        </w:rPr>
        <w:fldChar w:fldCharType="begin"/>
      </w:r>
      <w:r w:rsidR="00240E36">
        <w:rPr>
          <w:rFonts w:asciiTheme="majorHAnsi" w:eastAsiaTheme="majorEastAsia" w:hAnsiTheme="majorHAnsi" w:cstheme="majorBidi"/>
          <w:b/>
          <w:bCs/>
          <w:sz w:val="22"/>
          <w:szCs w:val="22"/>
        </w:rPr>
        <w:instrText xml:space="preserve"> STYLEREF 1 \s </w:instrText>
      </w:r>
      <w:r w:rsidR="00240E36">
        <w:rPr>
          <w:rFonts w:asciiTheme="majorHAnsi" w:eastAsiaTheme="majorEastAsia" w:hAnsiTheme="majorHAnsi" w:cstheme="majorBidi"/>
          <w:b/>
          <w:bCs/>
          <w:sz w:val="22"/>
          <w:szCs w:val="22"/>
        </w:rPr>
        <w:fldChar w:fldCharType="separate"/>
      </w:r>
      <w:r w:rsidR="00240E36">
        <w:rPr>
          <w:rFonts w:asciiTheme="majorHAnsi" w:eastAsiaTheme="majorEastAsia" w:hAnsiTheme="majorHAnsi" w:cstheme="majorBidi"/>
          <w:b/>
          <w:bCs/>
          <w:noProof/>
          <w:sz w:val="22"/>
          <w:szCs w:val="22"/>
        </w:rPr>
        <w:t>2</w:t>
      </w:r>
      <w:r w:rsidR="00240E36">
        <w:rPr>
          <w:rFonts w:asciiTheme="majorHAnsi" w:eastAsiaTheme="majorEastAsia" w:hAnsiTheme="majorHAnsi" w:cstheme="majorBidi"/>
          <w:b/>
          <w:bCs/>
          <w:sz w:val="22"/>
          <w:szCs w:val="22"/>
        </w:rPr>
        <w:fldChar w:fldCharType="end"/>
      </w:r>
      <w:r w:rsidR="00240E36">
        <w:rPr>
          <w:rFonts w:asciiTheme="majorHAnsi" w:eastAsiaTheme="majorEastAsia" w:hAnsiTheme="majorHAnsi" w:cstheme="majorBidi"/>
          <w:b/>
          <w:bCs/>
          <w:sz w:val="22"/>
          <w:szCs w:val="22"/>
        </w:rPr>
        <w:t>.</w:t>
      </w:r>
      <w:r w:rsidR="00EB5B81">
        <w:rPr>
          <w:rFonts w:asciiTheme="majorHAnsi" w:eastAsiaTheme="majorEastAsia" w:hAnsiTheme="majorHAnsi" w:cstheme="majorBidi"/>
          <w:b/>
          <w:bCs/>
          <w:sz w:val="22"/>
          <w:szCs w:val="22"/>
        </w:rPr>
        <w:fldChar w:fldCharType="begin"/>
      </w:r>
      <w:r w:rsidR="00EB5B81">
        <w:rPr>
          <w:rFonts w:asciiTheme="majorHAnsi" w:eastAsiaTheme="majorEastAsia" w:hAnsiTheme="majorHAnsi" w:cstheme="majorBidi"/>
          <w:b/>
          <w:bCs/>
          <w:sz w:val="22"/>
          <w:szCs w:val="22"/>
        </w:rPr>
        <w:instrText xml:space="preserve"> SEQ Obrázek \* ARABIC \s 1 </w:instrText>
      </w:r>
      <w:r w:rsidR="00EB5B81">
        <w:rPr>
          <w:rFonts w:asciiTheme="majorHAnsi" w:eastAsiaTheme="majorEastAsia" w:hAnsiTheme="majorHAnsi" w:cstheme="majorBidi"/>
          <w:b/>
          <w:bCs/>
          <w:sz w:val="22"/>
          <w:szCs w:val="22"/>
        </w:rPr>
        <w:fldChar w:fldCharType="separate"/>
      </w:r>
      <w:r w:rsidR="00A04E60">
        <w:rPr>
          <w:rFonts w:asciiTheme="majorHAnsi" w:eastAsiaTheme="majorEastAsia" w:hAnsiTheme="majorHAnsi" w:cstheme="majorBidi"/>
          <w:b/>
          <w:bCs/>
          <w:noProof/>
          <w:sz w:val="22"/>
          <w:szCs w:val="22"/>
        </w:rPr>
        <w:t>10</w:t>
      </w:r>
      <w:r w:rsidR="00EB5B81">
        <w:rPr>
          <w:rFonts w:asciiTheme="majorHAnsi" w:eastAsiaTheme="majorEastAsia" w:hAnsiTheme="majorHAnsi" w:cstheme="majorBidi"/>
          <w:b/>
          <w:bCs/>
          <w:sz w:val="22"/>
          <w:szCs w:val="22"/>
        </w:rPr>
        <w:fldChar w:fldCharType="end"/>
      </w:r>
      <w:r w:rsidRPr="004B694B">
        <w:rPr>
          <w:rFonts w:asciiTheme="majorHAnsi" w:eastAsiaTheme="majorEastAsia" w:hAnsiTheme="majorHAnsi" w:cstheme="majorBidi"/>
          <w:b/>
          <w:bCs/>
          <w:sz w:val="22"/>
          <w:szCs w:val="22"/>
        </w:rPr>
        <w:t>: Vzdělanostní struktura obyvatel 15 + ve venkovských obcích a městech ČR v letech 2001, 2011</w:t>
      </w:r>
      <w:bookmarkEnd w:id="72"/>
      <w:bookmarkEnd w:id="73"/>
      <w:bookmarkEnd w:id="74"/>
    </w:p>
    <w:p w14:paraId="6745901C" w14:textId="77777777" w:rsidR="00143820" w:rsidRDefault="00143820" w:rsidP="00EB33F6">
      <w:pPr>
        <w:keepNext/>
        <w:spacing w:line="240" w:lineRule="auto"/>
        <w:ind w:firstLine="0"/>
      </w:pPr>
      <w:r>
        <w:rPr>
          <w:noProof/>
        </w:rPr>
        <w:drawing>
          <wp:inline distT="0" distB="0" distL="0" distR="0" wp14:anchorId="503D31EA" wp14:editId="56B0D033">
            <wp:extent cx="4057170" cy="3521422"/>
            <wp:effectExtent l="0" t="0" r="635" b="3175"/>
            <wp:docPr id="17941574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4057170" cy="3521422"/>
                    </a:xfrm>
                    <a:prstGeom prst="rect">
                      <a:avLst/>
                    </a:prstGeom>
                  </pic:spPr>
                </pic:pic>
              </a:graphicData>
            </a:graphic>
          </wp:inline>
        </w:drawing>
      </w:r>
    </w:p>
    <w:p w14:paraId="72B67269" w14:textId="77777777" w:rsidR="00143820" w:rsidRPr="004B694B" w:rsidRDefault="00EE3C77" w:rsidP="004B694B">
      <w:pPr>
        <w:spacing w:before="0" w:line="240" w:lineRule="auto"/>
        <w:ind w:firstLine="0"/>
        <w:rPr>
          <w:rFonts w:asciiTheme="minorHAnsi" w:eastAsiaTheme="minorEastAsia" w:hAnsiTheme="minorHAnsi" w:cstheme="minorBidi"/>
          <w:i/>
          <w:iCs/>
          <w:sz w:val="18"/>
          <w:szCs w:val="18"/>
        </w:rPr>
      </w:pPr>
      <w:r w:rsidRPr="004B694B">
        <w:rPr>
          <w:rFonts w:asciiTheme="minorHAnsi" w:eastAsiaTheme="minorEastAsia" w:hAnsiTheme="minorHAnsi" w:cstheme="minorBidi"/>
          <w:i/>
          <w:iCs/>
          <w:sz w:val="18"/>
          <w:szCs w:val="18"/>
        </w:rPr>
        <w:t>Zdroj</w:t>
      </w:r>
      <w:r w:rsidR="00143820" w:rsidRPr="004B694B">
        <w:rPr>
          <w:rFonts w:asciiTheme="minorHAnsi" w:eastAsiaTheme="minorEastAsia" w:hAnsiTheme="minorHAnsi" w:cstheme="minorBidi"/>
          <w:i/>
          <w:iCs/>
          <w:sz w:val="18"/>
          <w:szCs w:val="18"/>
        </w:rPr>
        <w:t>: SLDB 2001,2011</w:t>
      </w:r>
    </w:p>
    <w:p w14:paraId="5C502A18" w14:textId="77777777" w:rsidR="0060489F" w:rsidRDefault="0060489F">
      <w:pPr>
        <w:spacing w:before="0" w:after="160" w:line="259" w:lineRule="auto"/>
        <w:ind w:firstLine="0"/>
        <w:jc w:val="left"/>
      </w:pPr>
      <w:r>
        <w:br w:type="page"/>
      </w:r>
    </w:p>
    <w:p w14:paraId="0A6BAF9E" w14:textId="77777777" w:rsidR="00143820" w:rsidRDefault="00143820" w:rsidP="00B70950">
      <w:pPr>
        <w:pStyle w:val="Nadpis1"/>
        <w:keepLines/>
        <w:numPr>
          <w:ilvl w:val="1"/>
          <w:numId w:val="60"/>
        </w:numPr>
        <w:spacing w:before="240" w:line="259" w:lineRule="auto"/>
      </w:pPr>
      <w:bookmarkStart w:id="75" w:name="_Toc525823168"/>
      <w:bookmarkStart w:id="76" w:name="_Toc525825207"/>
      <w:r w:rsidRPr="00F871FD">
        <w:lastRenderedPageBreak/>
        <w:t>Ekonomika a podnikatelská struktura ve vztahu k</w:t>
      </w:r>
      <w:r>
        <w:t> </w:t>
      </w:r>
      <w:r w:rsidRPr="00F871FD">
        <w:t>venkovu</w:t>
      </w:r>
      <w:bookmarkEnd w:id="75"/>
      <w:bookmarkEnd w:id="76"/>
    </w:p>
    <w:p w14:paraId="603CEC28" w14:textId="77777777" w:rsidR="00143820" w:rsidRPr="002650F8" w:rsidRDefault="00143820" w:rsidP="00143820"/>
    <w:p w14:paraId="1C3C975F" w14:textId="77777777" w:rsidR="00143820" w:rsidRPr="0069559F" w:rsidRDefault="00143820" w:rsidP="00143820">
      <w:r w:rsidRPr="0069559F">
        <w:tab/>
      </w:r>
      <w:r w:rsidRPr="00AF156D">
        <w:rPr>
          <w:color w:val="000000" w:themeColor="text1"/>
        </w:rPr>
        <w:t xml:space="preserve">V Tabulce </w:t>
      </w:r>
      <w:r w:rsidR="0060489F">
        <w:rPr>
          <w:color w:val="000000" w:themeColor="text1"/>
        </w:rPr>
        <w:t>7.</w:t>
      </w:r>
      <w:r w:rsidRPr="00AF156D">
        <w:rPr>
          <w:color w:val="000000" w:themeColor="text1"/>
        </w:rPr>
        <w:t xml:space="preserve">3.1 lze </w:t>
      </w:r>
      <w:r w:rsidRPr="0069559F">
        <w:t xml:space="preserve">vidět vývoj HDP v cenách předchozího roku dle typologie městských a venkovských regionů (NUTS3). </w:t>
      </w:r>
      <w:r w:rsidRPr="008A3EF2">
        <w:t>Růst HDP v České republ</w:t>
      </w:r>
      <w:r>
        <w:t>ice činil v průměru od roku 2006 do roku 2016 3</w:t>
      </w:r>
      <w:r w:rsidRPr="008A3EF2">
        <w:t xml:space="preserve"> procenta, </w:t>
      </w:r>
      <w:r>
        <w:t>v roce 2015, kdy nejvýrazněji posílila ekonomika, dosáhl nejvyšší hodnoty (necelých 8 %) a nejnižší</w:t>
      </w:r>
      <w:r w:rsidRPr="008A3EF2">
        <w:t xml:space="preserve"> hodnoty </w:t>
      </w:r>
      <w:r>
        <w:t>(</w:t>
      </w:r>
      <w:r w:rsidRPr="008A3EF2">
        <w:t xml:space="preserve">ve výši </w:t>
      </w:r>
      <w:r>
        <w:t>-3 % procenta v roce 200</w:t>
      </w:r>
      <w:r w:rsidRPr="00614537">
        <w:t>9).</w:t>
      </w:r>
      <w:r w:rsidRPr="0069559F">
        <w:t xml:space="preserve"> Z hlediska regionů dle typologie městských a venkovských regionů je ve všech zmíněných regionech</w:t>
      </w:r>
      <w:r>
        <w:t xml:space="preserve"> průměrný 3% růst</w:t>
      </w:r>
      <w:r w:rsidRPr="0069559F">
        <w:t xml:space="preserve"> HDP v cenách předchozího roku</w:t>
      </w:r>
      <w:r>
        <w:t xml:space="preserve">. </w:t>
      </w:r>
      <w:r w:rsidRPr="0069559F">
        <w:t>V roce 2016 došlo k</w:t>
      </w:r>
      <w:r>
        <w:t>e</w:t>
      </w:r>
      <w:r w:rsidRPr="0069559F">
        <w:t> </w:t>
      </w:r>
      <w:r>
        <w:t xml:space="preserve">snížení </w:t>
      </w:r>
      <w:r w:rsidRPr="0069559F">
        <w:t>tempa růstu HDP v cenách pře</w:t>
      </w:r>
      <w:r>
        <w:t>d</w:t>
      </w:r>
      <w:r w:rsidRPr="0069559F">
        <w:t>chozího roku o 4,1 p. b</w:t>
      </w:r>
      <w:r>
        <w:t xml:space="preserve"> – HDP vzrostlo o 3,8 %</w:t>
      </w:r>
      <w:r w:rsidRPr="0069559F">
        <w:t>. Posilování ekonomiky tak bylo výrazně vyšší v roce 2015.</w:t>
      </w:r>
    </w:p>
    <w:p w14:paraId="5B87CD02" w14:textId="77777777" w:rsidR="00143820" w:rsidRPr="0013652C" w:rsidRDefault="00143820" w:rsidP="00143820">
      <w:pPr>
        <w:rPr>
          <w:color w:val="00B0F0"/>
          <w:sz w:val="18"/>
          <w:szCs w:val="18"/>
        </w:rPr>
      </w:pPr>
    </w:p>
    <w:p w14:paraId="03D0BA18" w14:textId="77777777" w:rsidR="00143820" w:rsidRPr="004B694B" w:rsidRDefault="00143820" w:rsidP="004B694B">
      <w:pPr>
        <w:pStyle w:val="Titulek"/>
        <w:keepNext/>
        <w:spacing w:after="0"/>
        <w:ind w:firstLine="0"/>
        <w:rPr>
          <w:rFonts w:asciiTheme="majorHAnsi" w:eastAsiaTheme="majorEastAsia" w:hAnsiTheme="majorHAnsi" w:cstheme="majorBidi"/>
          <w:b/>
          <w:bCs/>
          <w:i w:val="0"/>
          <w:iCs w:val="0"/>
          <w:color w:val="auto"/>
          <w:sz w:val="22"/>
          <w:szCs w:val="22"/>
        </w:rPr>
      </w:pPr>
      <w:bookmarkStart w:id="77" w:name="_Toc522869006"/>
      <w:r w:rsidRPr="004B694B">
        <w:rPr>
          <w:rFonts w:asciiTheme="majorHAnsi" w:eastAsiaTheme="majorEastAsia" w:hAnsiTheme="majorHAnsi" w:cstheme="majorBidi"/>
          <w:b/>
          <w:bCs/>
          <w:i w:val="0"/>
          <w:iCs w:val="0"/>
          <w:color w:val="auto"/>
          <w:sz w:val="22"/>
          <w:szCs w:val="22"/>
        </w:rPr>
        <w:t xml:space="preserve">Tabulka </w:t>
      </w:r>
      <w:r w:rsidR="0060489F">
        <w:rPr>
          <w:rFonts w:asciiTheme="majorHAnsi" w:eastAsiaTheme="majorEastAsia" w:hAnsiTheme="majorHAnsi" w:cstheme="majorBidi"/>
          <w:b/>
          <w:bCs/>
          <w:i w:val="0"/>
          <w:iCs w:val="0"/>
          <w:color w:val="auto"/>
          <w:sz w:val="22"/>
          <w:szCs w:val="22"/>
        </w:rPr>
        <w:t>7.</w:t>
      </w:r>
      <w:r w:rsidR="00E34D45">
        <w:rPr>
          <w:rFonts w:asciiTheme="majorHAnsi" w:eastAsiaTheme="majorEastAsia" w:hAnsiTheme="majorHAnsi" w:cstheme="majorBidi"/>
          <w:b/>
          <w:bCs/>
          <w:i w:val="0"/>
          <w:iCs w:val="0"/>
          <w:color w:val="auto"/>
          <w:sz w:val="22"/>
          <w:szCs w:val="22"/>
        </w:rPr>
        <w:fldChar w:fldCharType="begin"/>
      </w:r>
      <w:r w:rsidR="00E34D45">
        <w:rPr>
          <w:rFonts w:asciiTheme="majorHAnsi" w:eastAsiaTheme="majorEastAsia" w:hAnsiTheme="majorHAnsi" w:cstheme="majorBidi"/>
          <w:b/>
          <w:bCs/>
          <w:i w:val="0"/>
          <w:iCs w:val="0"/>
          <w:color w:val="auto"/>
          <w:sz w:val="22"/>
          <w:szCs w:val="22"/>
        </w:rPr>
        <w:instrText xml:space="preserve"> STYLEREF 1 \s </w:instrText>
      </w:r>
      <w:r w:rsidR="00E34D45">
        <w:rPr>
          <w:rFonts w:asciiTheme="majorHAnsi" w:eastAsiaTheme="majorEastAsia" w:hAnsiTheme="majorHAnsi" w:cstheme="majorBidi"/>
          <w:b/>
          <w:bCs/>
          <w:i w:val="0"/>
          <w:iCs w:val="0"/>
          <w:color w:val="auto"/>
          <w:sz w:val="22"/>
          <w:szCs w:val="22"/>
        </w:rPr>
        <w:fldChar w:fldCharType="separate"/>
      </w:r>
      <w:r w:rsidR="00E34D45">
        <w:rPr>
          <w:rFonts w:asciiTheme="majorHAnsi" w:eastAsiaTheme="majorEastAsia" w:hAnsiTheme="majorHAnsi" w:cstheme="majorBidi"/>
          <w:b/>
          <w:bCs/>
          <w:i w:val="0"/>
          <w:iCs w:val="0"/>
          <w:noProof/>
          <w:color w:val="auto"/>
          <w:sz w:val="22"/>
          <w:szCs w:val="22"/>
        </w:rPr>
        <w:t>3</w:t>
      </w:r>
      <w:r w:rsidR="00E34D45">
        <w:rPr>
          <w:rFonts w:asciiTheme="majorHAnsi" w:eastAsiaTheme="majorEastAsia" w:hAnsiTheme="majorHAnsi" w:cstheme="majorBidi"/>
          <w:b/>
          <w:bCs/>
          <w:i w:val="0"/>
          <w:iCs w:val="0"/>
          <w:color w:val="auto"/>
          <w:sz w:val="22"/>
          <w:szCs w:val="22"/>
        </w:rPr>
        <w:fldChar w:fldCharType="end"/>
      </w:r>
      <w:r w:rsidR="00E34D45">
        <w:rPr>
          <w:rFonts w:asciiTheme="majorHAnsi" w:eastAsiaTheme="majorEastAsia" w:hAnsiTheme="majorHAnsi" w:cstheme="majorBidi"/>
          <w:b/>
          <w:bCs/>
          <w:i w:val="0"/>
          <w:iCs w:val="0"/>
          <w:color w:val="auto"/>
          <w:sz w:val="22"/>
          <w:szCs w:val="22"/>
        </w:rPr>
        <w:t>.</w:t>
      </w:r>
      <w:r w:rsidR="00E34D45">
        <w:rPr>
          <w:rFonts w:asciiTheme="majorHAnsi" w:eastAsiaTheme="majorEastAsia" w:hAnsiTheme="majorHAnsi" w:cstheme="majorBidi"/>
          <w:b/>
          <w:bCs/>
          <w:i w:val="0"/>
          <w:iCs w:val="0"/>
          <w:color w:val="auto"/>
          <w:sz w:val="22"/>
          <w:szCs w:val="22"/>
        </w:rPr>
        <w:fldChar w:fldCharType="begin"/>
      </w:r>
      <w:r w:rsidR="00E34D45">
        <w:rPr>
          <w:rFonts w:asciiTheme="majorHAnsi" w:eastAsiaTheme="majorEastAsia" w:hAnsiTheme="majorHAnsi" w:cstheme="majorBidi"/>
          <w:b/>
          <w:bCs/>
          <w:i w:val="0"/>
          <w:iCs w:val="0"/>
          <w:color w:val="auto"/>
          <w:sz w:val="22"/>
          <w:szCs w:val="22"/>
        </w:rPr>
        <w:instrText xml:space="preserve"> SEQ Tabulka \* ARABIC \s 1 </w:instrText>
      </w:r>
      <w:r w:rsidR="00E34D45">
        <w:rPr>
          <w:rFonts w:asciiTheme="majorHAnsi" w:eastAsiaTheme="majorEastAsia" w:hAnsiTheme="majorHAnsi" w:cstheme="majorBidi"/>
          <w:b/>
          <w:bCs/>
          <w:i w:val="0"/>
          <w:iCs w:val="0"/>
          <w:color w:val="auto"/>
          <w:sz w:val="22"/>
          <w:szCs w:val="22"/>
        </w:rPr>
        <w:fldChar w:fldCharType="separate"/>
      </w:r>
      <w:r w:rsidR="00E34D45">
        <w:rPr>
          <w:rFonts w:asciiTheme="majorHAnsi" w:eastAsiaTheme="majorEastAsia" w:hAnsiTheme="majorHAnsi" w:cstheme="majorBidi"/>
          <w:b/>
          <w:bCs/>
          <w:i w:val="0"/>
          <w:iCs w:val="0"/>
          <w:noProof/>
          <w:color w:val="auto"/>
          <w:sz w:val="22"/>
          <w:szCs w:val="22"/>
        </w:rPr>
        <w:t>1</w:t>
      </w:r>
      <w:r w:rsidR="00E34D45">
        <w:rPr>
          <w:rFonts w:asciiTheme="majorHAnsi" w:eastAsiaTheme="majorEastAsia" w:hAnsiTheme="majorHAnsi" w:cstheme="majorBidi"/>
          <w:b/>
          <w:bCs/>
          <w:i w:val="0"/>
          <w:iCs w:val="0"/>
          <w:color w:val="auto"/>
          <w:sz w:val="22"/>
          <w:szCs w:val="22"/>
        </w:rPr>
        <w:fldChar w:fldCharType="end"/>
      </w:r>
      <w:r w:rsidRPr="004B694B">
        <w:rPr>
          <w:rFonts w:asciiTheme="majorHAnsi" w:eastAsiaTheme="majorEastAsia" w:hAnsiTheme="majorHAnsi" w:cstheme="majorBidi"/>
          <w:b/>
          <w:bCs/>
          <w:i w:val="0"/>
          <w:iCs w:val="0"/>
          <w:color w:val="auto"/>
          <w:sz w:val="22"/>
          <w:szCs w:val="22"/>
        </w:rPr>
        <w:t>: Vývoj HDP v cenách předchozího roku v krajích ČR v letech 2006–2016 v mil. Kč</w:t>
      </w:r>
      <w:bookmarkEnd w:id="77"/>
    </w:p>
    <w:p w14:paraId="797FE190" w14:textId="77777777" w:rsidR="00143820" w:rsidRPr="004B694B" w:rsidRDefault="00143820" w:rsidP="004B694B">
      <w:pPr>
        <w:pStyle w:val="Titulek"/>
        <w:spacing w:after="0"/>
        <w:ind w:firstLine="0"/>
        <w:rPr>
          <w:b/>
          <w:bCs/>
        </w:rPr>
      </w:pPr>
      <w:r w:rsidRPr="00DF17AA">
        <w:rPr>
          <w:noProof/>
        </w:rPr>
        <w:drawing>
          <wp:inline distT="0" distB="0" distL="0" distR="0" wp14:anchorId="58300779" wp14:editId="459B89B8">
            <wp:extent cx="5760720" cy="2302120"/>
            <wp:effectExtent l="0" t="0" r="0" b="317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302120"/>
                    </a:xfrm>
                    <a:prstGeom prst="rect">
                      <a:avLst/>
                    </a:prstGeom>
                    <a:noFill/>
                    <a:ln>
                      <a:noFill/>
                    </a:ln>
                  </pic:spPr>
                </pic:pic>
              </a:graphicData>
            </a:graphic>
          </wp:inline>
        </w:drawing>
      </w:r>
      <w:r w:rsidRPr="3EF06211">
        <w:rPr>
          <w:rFonts w:asciiTheme="majorHAnsi" w:eastAsiaTheme="majorEastAsia" w:hAnsiTheme="majorHAnsi" w:cstheme="majorBidi"/>
          <w:color w:val="auto"/>
        </w:rPr>
        <w:t>Zdroj: ČSÚ (Národní účty)</w:t>
      </w:r>
    </w:p>
    <w:p w14:paraId="39FD5004" w14:textId="77777777" w:rsidR="00143820" w:rsidRDefault="00143820" w:rsidP="00143820"/>
    <w:p w14:paraId="45F38949" w14:textId="77777777" w:rsidR="00143820" w:rsidRPr="0069559F" w:rsidRDefault="00143820" w:rsidP="00143820">
      <w:r w:rsidRPr="0069559F">
        <w:t xml:space="preserve">Podíl HDP v cenách přechozího </w:t>
      </w:r>
      <w:r w:rsidRPr="00AF156D">
        <w:rPr>
          <w:color w:val="000000" w:themeColor="text1"/>
        </w:rPr>
        <w:t xml:space="preserve">roku (Tabulka </w:t>
      </w:r>
      <w:r w:rsidR="0060489F">
        <w:rPr>
          <w:color w:val="000000" w:themeColor="text1"/>
        </w:rPr>
        <w:t>7.</w:t>
      </w:r>
      <w:r w:rsidRPr="00AF156D">
        <w:rPr>
          <w:color w:val="000000" w:themeColor="text1"/>
        </w:rPr>
        <w:t xml:space="preserve">3.2; Obrázek </w:t>
      </w:r>
      <w:r w:rsidR="0060489F">
        <w:rPr>
          <w:color w:val="000000" w:themeColor="text1"/>
        </w:rPr>
        <w:t>7.</w:t>
      </w:r>
      <w:r w:rsidRPr="00AF156D">
        <w:rPr>
          <w:color w:val="000000" w:themeColor="text1"/>
        </w:rPr>
        <w:t xml:space="preserve">3.1) </w:t>
      </w:r>
      <w:r w:rsidRPr="0069559F">
        <w:t>je v převážně venkovských regionech nižší, než v regionech převážně městských a smíšených (27,4 % v převážně venkovských proti 36,5 % v převážně městských a 36,2 % v regionech smíšených).</w:t>
      </w:r>
      <w:r>
        <w:t xml:space="preserve"> </w:t>
      </w:r>
    </w:p>
    <w:p w14:paraId="2AE69B93" w14:textId="77777777" w:rsidR="00143820" w:rsidRDefault="00143820" w:rsidP="00143820">
      <w:pPr>
        <w:pStyle w:val="Titulek"/>
        <w:rPr>
          <w:i w:val="0"/>
        </w:rPr>
      </w:pPr>
    </w:p>
    <w:p w14:paraId="6BEB1903" w14:textId="77777777" w:rsidR="00143820" w:rsidRPr="004B694B" w:rsidRDefault="00143820" w:rsidP="004B694B">
      <w:pPr>
        <w:pStyle w:val="Titulek"/>
        <w:keepNext/>
        <w:spacing w:after="0"/>
        <w:ind w:firstLine="0"/>
        <w:rPr>
          <w:rFonts w:asciiTheme="majorHAnsi" w:eastAsiaTheme="majorEastAsia" w:hAnsiTheme="majorHAnsi" w:cstheme="majorBidi"/>
          <w:b/>
          <w:bCs/>
          <w:i w:val="0"/>
          <w:iCs w:val="0"/>
          <w:color w:val="auto"/>
          <w:sz w:val="22"/>
          <w:szCs w:val="22"/>
        </w:rPr>
      </w:pPr>
      <w:bookmarkStart w:id="78" w:name="_Toc522869007"/>
      <w:r w:rsidRPr="004B694B">
        <w:rPr>
          <w:rFonts w:asciiTheme="majorHAnsi" w:eastAsiaTheme="majorEastAsia" w:hAnsiTheme="majorHAnsi" w:cstheme="majorBidi"/>
          <w:b/>
          <w:bCs/>
          <w:i w:val="0"/>
          <w:iCs w:val="0"/>
          <w:color w:val="auto"/>
          <w:sz w:val="22"/>
          <w:szCs w:val="22"/>
        </w:rPr>
        <w:t xml:space="preserve">Tabulka </w:t>
      </w:r>
      <w:r w:rsidR="0060489F">
        <w:rPr>
          <w:rFonts w:asciiTheme="majorHAnsi" w:eastAsiaTheme="majorEastAsia" w:hAnsiTheme="majorHAnsi" w:cstheme="majorBidi"/>
          <w:b/>
          <w:bCs/>
          <w:i w:val="0"/>
          <w:iCs w:val="0"/>
          <w:color w:val="auto"/>
          <w:sz w:val="22"/>
          <w:szCs w:val="22"/>
        </w:rPr>
        <w:t>7.</w:t>
      </w:r>
      <w:r w:rsidR="00E34D45">
        <w:rPr>
          <w:rFonts w:asciiTheme="majorHAnsi" w:eastAsiaTheme="majorEastAsia" w:hAnsiTheme="majorHAnsi" w:cstheme="majorBidi"/>
          <w:b/>
          <w:bCs/>
          <w:i w:val="0"/>
          <w:iCs w:val="0"/>
          <w:color w:val="auto"/>
          <w:sz w:val="22"/>
          <w:szCs w:val="22"/>
        </w:rPr>
        <w:fldChar w:fldCharType="begin"/>
      </w:r>
      <w:r w:rsidR="00E34D45">
        <w:rPr>
          <w:rFonts w:asciiTheme="majorHAnsi" w:eastAsiaTheme="majorEastAsia" w:hAnsiTheme="majorHAnsi" w:cstheme="majorBidi"/>
          <w:b/>
          <w:bCs/>
          <w:i w:val="0"/>
          <w:iCs w:val="0"/>
          <w:color w:val="auto"/>
          <w:sz w:val="22"/>
          <w:szCs w:val="22"/>
        </w:rPr>
        <w:instrText xml:space="preserve"> STYLEREF 1 \s </w:instrText>
      </w:r>
      <w:r w:rsidR="00E34D45">
        <w:rPr>
          <w:rFonts w:asciiTheme="majorHAnsi" w:eastAsiaTheme="majorEastAsia" w:hAnsiTheme="majorHAnsi" w:cstheme="majorBidi"/>
          <w:b/>
          <w:bCs/>
          <w:i w:val="0"/>
          <w:iCs w:val="0"/>
          <w:color w:val="auto"/>
          <w:sz w:val="22"/>
          <w:szCs w:val="22"/>
        </w:rPr>
        <w:fldChar w:fldCharType="separate"/>
      </w:r>
      <w:r w:rsidR="00E34D45">
        <w:rPr>
          <w:rFonts w:asciiTheme="majorHAnsi" w:eastAsiaTheme="majorEastAsia" w:hAnsiTheme="majorHAnsi" w:cstheme="majorBidi"/>
          <w:b/>
          <w:bCs/>
          <w:i w:val="0"/>
          <w:iCs w:val="0"/>
          <w:noProof/>
          <w:color w:val="auto"/>
          <w:sz w:val="22"/>
          <w:szCs w:val="22"/>
        </w:rPr>
        <w:t>3</w:t>
      </w:r>
      <w:r w:rsidR="00E34D45">
        <w:rPr>
          <w:rFonts w:asciiTheme="majorHAnsi" w:eastAsiaTheme="majorEastAsia" w:hAnsiTheme="majorHAnsi" w:cstheme="majorBidi"/>
          <w:b/>
          <w:bCs/>
          <w:i w:val="0"/>
          <w:iCs w:val="0"/>
          <w:color w:val="auto"/>
          <w:sz w:val="22"/>
          <w:szCs w:val="22"/>
        </w:rPr>
        <w:fldChar w:fldCharType="end"/>
      </w:r>
      <w:r w:rsidR="00E34D45">
        <w:rPr>
          <w:rFonts w:asciiTheme="majorHAnsi" w:eastAsiaTheme="majorEastAsia" w:hAnsiTheme="majorHAnsi" w:cstheme="majorBidi"/>
          <w:b/>
          <w:bCs/>
          <w:i w:val="0"/>
          <w:iCs w:val="0"/>
          <w:color w:val="auto"/>
          <w:sz w:val="22"/>
          <w:szCs w:val="22"/>
        </w:rPr>
        <w:t>.</w:t>
      </w:r>
      <w:r w:rsidR="00E34D45">
        <w:rPr>
          <w:rFonts w:asciiTheme="majorHAnsi" w:eastAsiaTheme="majorEastAsia" w:hAnsiTheme="majorHAnsi" w:cstheme="majorBidi"/>
          <w:b/>
          <w:bCs/>
          <w:i w:val="0"/>
          <w:iCs w:val="0"/>
          <w:color w:val="auto"/>
          <w:sz w:val="22"/>
          <w:szCs w:val="22"/>
        </w:rPr>
        <w:fldChar w:fldCharType="begin"/>
      </w:r>
      <w:r w:rsidR="00E34D45">
        <w:rPr>
          <w:rFonts w:asciiTheme="majorHAnsi" w:eastAsiaTheme="majorEastAsia" w:hAnsiTheme="majorHAnsi" w:cstheme="majorBidi"/>
          <w:b/>
          <w:bCs/>
          <w:i w:val="0"/>
          <w:iCs w:val="0"/>
          <w:color w:val="auto"/>
          <w:sz w:val="22"/>
          <w:szCs w:val="22"/>
        </w:rPr>
        <w:instrText xml:space="preserve"> SEQ Tabulka \* ARABIC \s 1 </w:instrText>
      </w:r>
      <w:r w:rsidR="00E34D45">
        <w:rPr>
          <w:rFonts w:asciiTheme="majorHAnsi" w:eastAsiaTheme="majorEastAsia" w:hAnsiTheme="majorHAnsi" w:cstheme="majorBidi"/>
          <w:b/>
          <w:bCs/>
          <w:i w:val="0"/>
          <w:iCs w:val="0"/>
          <w:color w:val="auto"/>
          <w:sz w:val="22"/>
          <w:szCs w:val="22"/>
        </w:rPr>
        <w:fldChar w:fldCharType="separate"/>
      </w:r>
      <w:r w:rsidR="00E34D45">
        <w:rPr>
          <w:rFonts w:asciiTheme="majorHAnsi" w:eastAsiaTheme="majorEastAsia" w:hAnsiTheme="majorHAnsi" w:cstheme="majorBidi"/>
          <w:b/>
          <w:bCs/>
          <w:i w:val="0"/>
          <w:iCs w:val="0"/>
          <w:noProof/>
          <w:color w:val="auto"/>
          <w:sz w:val="22"/>
          <w:szCs w:val="22"/>
        </w:rPr>
        <w:t>2</w:t>
      </w:r>
      <w:r w:rsidR="00E34D45">
        <w:rPr>
          <w:rFonts w:asciiTheme="majorHAnsi" w:eastAsiaTheme="majorEastAsia" w:hAnsiTheme="majorHAnsi" w:cstheme="majorBidi"/>
          <w:b/>
          <w:bCs/>
          <w:i w:val="0"/>
          <w:iCs w:val="0"/>
          <w:color w:val="auto"/>
          <w:sz w:val="22"/>
          <w:szCs w:val="22"/>
        </w:rPr>
        <w:fldChar w:fldCharType="end"/>
      </w:r>
      <w:r w:rsidRPr="004B694B">
        <w:rPr>
          <w:rFonts w:asciiTheme="majorHAnsi" w:eastAsiaTheme="majorEastAsia" w:hAnsiTheme="majorHAnsi" w:cstheme="majorBidi"/>
          <w:b/>
          <w:bCs/>
          <w:i w:val="0"/>
          <w:iCs w:val="0"/>
          <w:color w:val="auto"/>
          <w:sz w:val="22"/>
          <w:szCs w:val="22"/>
        </w:rPr>
        <w:t>: Vývoj podílu HDP v cenách předchozího roku dle typologie městských a venkovských regionů (NUTS3) na celkovém HDP v ČR v letech 2006</w:t>
      </w:r>
      <w:r w:rsidR="00F1285C" w:rsidRPr="004B694B">
        <w:rPr>
          <w:rFonts w:asciiTheme="majorHAnsi" w:eastAsiaTheme="majorEastAsia" w:hAnsiTheme="majorHAnsi" w:cstheme="majorBidi"/>
          <w:b/>
          <w:bCs/>
          <w:i w:val="0"/>
          <w:iCs w:val="0"/>
          <w:color w:val="auto"/>
          <w:sz w:val="22"/>
          <w:szCs w:val="22"/>
        </w:rPr>
        <w:t>-</w:t>
      </w:r>
      <w:r w:rsidRPr="004B694B">
        <w:rPr>
          <w:rFonts w:asciiTheme="majorHAnsi" w:eastAsiaTheme="majorEastAsia" w:hAnsiTheme="majorHAnsi" w:cstheme="majorBidi"/>
          <w:b/>
          <w:bCs/>
          <w:i w:val="0"/>
          <w:iCs w:val="0"/>
          <w:color w:val="auto"/>
          <w:sz w:val="22"/>
          <w:szCs w:val="22"/>
        </w:rPr>
        <w:t>2016 (%)</w:t>
      </w:r>
      <w:bookmarkEnd w:id="78"/>
    </w:p>
    <w:p w14:paraId="352B744A" w14:textId="77777777" w:rsidR="004F675C" w:rsidRPr="004B694B" w:rsidRDefault="00143820" w:rsidP="004B694B">
      <w:pPr>
        <w:spacing w:before="0" w:line="240" w:lineRule="auto"/>
        <w:ind w:firstLine="0"/>
        <w:rPr>
          <w:rFonts w:asciiTheme="majorHAnsi" w:eastAsiaTheme="majorEastAsia" w:hAnsiTheme="majorHAnsi" w:cstheme="majorBidi"/>
          <w:i/>
          <w:iCs/>
          <w:sz w:val="18"/>
          <w:szCs w:val="18"/>
        </w:rPr>
      </w:pPr>
      <w:r w:rsidRPr="00E0202F">
        <w:rPr>
          <w:noProof/>
        </w:rPr>
        <w:drawing>
          <wp:inline distT="0" distB="0" distL="0" distR="0" wp14:anchorId="7AFF2CBC" wp14:editId="2A6420C9">
            <wp:extent cx="5760720" cy="549516"/>
            <wp:effectExtent l="0" t="0" r="0" b="317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549516"/>
                    </a:xfrm>
                    <a:prstGeom prst="rect">
                      <a:avLst/>
                    </a:prstGeom>
                    <a:noFill/>
                    <a:ln>
                      <a:noFill/>
                    </a:ln>
                  </pic:spPr>
                </pic:pic>
              </a:graphicData>
            </a:graphic>
          </wp:inline>
        </w:drawing>
      </w:r>
      <w:r>
        <w:br/>
      </w:r>
      <w:r w:rsidRPr="5630C8BA">
        <w:rPr>
          <w:rFonts w:asciiTheme="majorHAnsi" w:eastAsiaTheme="majorEastAsia" w:hAnsiTheme="majorHAnsi" w:cstheme="majorBidi"/>
          <w:i/>
          <w:iCs/>
          <w:sz w:val="18"/>
          <w:szCs w:val="18"/>
        </w:rPr>
        <w:t>Zdroj: ČSÚ (Národní účty)</w:t>
      </w:r>
    </w:p>
    <w:p w14:paraId="5F18F972" w14:textId="77777777" w:rsidR="00143820" w:rsidRDefault="004F675C" w:rsidP="00DD7469">
      <w:pPr>
        <w:spacing w:before="0" w:line="240" w:lineRule="auto"/>
        <w:ind w:firstLine="0"/>
        <w:rPr>
          <w:sz w:val="18"/>
          <w:szCs w:val="18"/>
        </w:rPr>
      </w:pPr>
      <w:r w:rsidRPr="004B694B">
        <w:rPr>
          <w:rFonts w:asciiTheme="majorHAnsi" w:eastAsiaTheme="majorEastAsia" w:hAnsiTheme="majorHAnsi" w:cstheme="majorBidi"/>
          <w:i/>
          <w:iCs/>
          <w:sz w:val="18"/>
          <w:szCs w:val="18"/>
        </w:rPr>
        <w:t>Zpracování: ÚZEI</w:t>
      </w:r>
      <w:r w:rsidR="00143820" w:rsidRPr="004B694B">
        <w:rPr>
          <w:rFonts w:asciiTheme="majorHAnsi" w:eastAsiaTheme="majorEastAsia" w:hAnsiTheme="majorHAnsi" w:cstheme="majorBidi"/>
          <w:i/>
          <w:iCs/>
          <w:sz w:val="18"/>
          <w:szCs w:val="18"/>
        </w:rPr>
        <w:t xml:space="preserve"> </w:t>
      </w:r>
    </w:p>
    <w:p w14:paraId="5C267DF4" w14:textId="77777777" w:rsidR="00143820" w:rsidRPr="003A2718" w:rsidRDefault="00143820" w:rsidP="00143820">
      <w:pPr>
        <w:ind w:firstLine="0"/>
        <w:rPr>
          <w:sz w:val="18"/>
          <w:szCs w:val="18"/>
        </w:rPr>
      </w:pPr>
    </w:p>
    <w:p w14:paraId="4BBAD6ED" w14:textId="77777777" w:rsidR="00143820" w:rsidRPr="004B694B" w:rsidRDefault="00143820" w:rsidP="004B694B">
      <w:pPr>
        <w:pStyle w:val="Titulek"/>
        <w:keepNext/>
        <w:spacing w:after="0"/>
        <w:ind w:firstLine="0"/>
        <w:rPr>
          <w:rFonts w:asciiTheme="majorHAnsi" w:eastAsiaTheme="majorEastAsia" w:hAnsiTheme="majorHAnsi" w:cstheme="majorBidi"/>
          <w:b/>
          <w:bCs/>
          <w:i w:val="0"/>
          <w:iCs w:val="0"/>
          <w:color w:val="auto"/>
          <w:sz w:val="22"/>
          <w:szCs w:val="22"/>
        </w:rPr>
      </w:pPr>
      <w:bookmarkStart w:id="79" w:name="_Toc525727628"/>
      <w:bookmarkStart w:id="80" w:name="_Toc525735915"/>
      <w:bookmarkStart w:id="81" w:name="_Toc525738212"/>
      <w:r w:rsidRPr="004B694B">
        <w:rPr>
          <w:rFonts w:asciiTheme="majorHAnsi" w:eastAsiaTheme="majorEastAsia" w:hAnsiTheme="majorHAnsi" w:cstheme="majorBidi"/>
          <w:b/>
          <w:bCs/>
          <w:i w:val="0"/>
          <w:iCs w:val="0"/>
          <w:color w:val="auto"/>
          <w:sz w:val="22"/>
          <w:szCs w:val="22"/>
        </w:rPr>
        <w:lastRenderedPageBreak/>
        <w:t xml:space="preserve">Obrázek </w:t>
      </w:r>
      <w:r w:rsidR="0060489F">
        <w:rPr>
          <w:rFonts w:asciiTheme="majorHAnsi" w:eastAsiaTheme="majorEastAsia" w:hAnsiTheme="majorHAnsi" w:cstheme="majorBidi"/>
          <w:b/>
          <w:bCs/>
          <w:i w:val="0"/>
          <w:iCs w:val="0"/>
          <w:color w:val="auto"/>
          <w:sz w:val="22"/>
          <w:szCs w:val="22"/>
        </w:rPr>
        <w:t>7.</w:t>
      </w:r>
      <w:r w:rsidR="00240E36">
        <w:rPr>
          <w:rFonts w:asciiTheme="majorHAnsi" w:eastAsiaTheme="majorEastAsia" w:hAnsiTheme="majorHAnsi" w:cstheme="majorBidi"/>
          <w:b/>
          <w:bCs/>
          <w:i w:val="0"/>
          <w:iCs w:val="0"/>
          <w:color w:val="auto"/>
          <w:sz w:val="22"/>
          <w:szCs w:val="22"/>
        </w:rPr>
        <w:fldChar w:fldCharType="begin"/>
      </w:r>
      <w:r w:rsidR="00240E36">
        <w:rPr>
          <w:rFonts w:asciiTheme="majorHAnsi" w:eastAsiaTheme="majorEastAsia" w:hAnsiTheme="majorHAnsi" w:cstheme="majorBidi"/>
          <w:b/>
          <w:bCs/>
          <w:i w:val="0"/>
          <w:iCs w:val="0"/>
          <w:color w:val="auto"/>
          <w:sz w:val="22"/>
          <w:szCs w:val="22"/>
        </w:rPr>
        <w:instrText xml:space="preserve"> STYLEREF 1 \s </w:instrText>
      </w:r>
      <w:r w:rsidR="00240E36">
        <w:rPr>
          <w:rFonts w:asciiTheme="majorHAnsi" w:eastAsiaTheme="majorEastAsia" w:hAnsiTheme="majorHAnsi" w:cstheme="majorBidi"/>
          <w:b/>
          <w:bCs/>
          <w:i w:val="0"/>
          <w:iCs w:val="0"/>
          <w:color w:val="auto"/>
          <w:sz w:val="22"/>
          <w:szCs w:val="22"/>
        </w:rPr>
        <w:fldChar w:fldCharType="separate"/>
      </w:r>
      <w:r w:rsidR="00240E36">
        <w:rPr>
          <w:rFonts w:asciiTheme="majorHAnsi" w:eastAsiaTheme="majorEastAsia" w:hAnsiTheme="majorHAnsi" w:cstheme="majorBidi"/>
          <w:b/>
          <w:bCs/>
          <w:i w:val="0"/>
          <w:iCs w:val="0"/>
          <w:noProof/>
          <w:color w:val="auto"/>
          <w:sz w:val="22"/>
          <w:szCs w:val="22"/>
        </w:rPr>
        <w:t>3</w:t>
      </w:r>
      <w:r w:rsidR="00240E36">
        <w:rPr>
          <w:rFonts w:asciiTheme="majorHAnsi" w:eastAsiaTheme="majorEastAsia" w:hAnsiTheme="majorHAnsi" w:cstheme="majorBidi"/>
          <w:b/>
          <w:bCs/>
          <w:i w:val="0"/>
          <w:iCs w:val="0"/>
          <w:color w:val="auto"/>
          <w:sz w:val="22"/>
          <w:szCs w:val="22"/>
        </w:rPr>
        <w:fldChar w:fldCharType="end"/>
      </w:r>
      <w:r w:rsidR="00240E36">
        <w:rPr>
          <w:rFonts w:asciiTheme="majorHAnsi" w:eastAsiaTheme="majorEastAsia" w:hAnsiTheme="majorHAnsi" w:cstheme="majorBidi"/>
          <w:b/>
          <w:bCs/>
          <w:i w:val="0"/>
          <w:iCs w:val="0"/>
          <w:color w:val="auto"/>
          <w:sz w:val="22"/>
          <w:szCs w:val="22"/>
        </w:rPr>
        <w:t>.</w:t>
      </w:r>
      <w:r w:rsidR="00EB5B81">
        <w:rPr>
          <w:rFonts w:asciiTheme="majorHAnsi" w:eastAsiaTheme="majorEastAsia" w:hAnsiTheme="majorHAnsi" w:cstheme="majorBidi"/>
          <w:b/>
          <w:bCs/>
          <w:i w:val="0"/>
          <w:iCs w:val="0"/>
          <w:color w:val="auto"/>
          <w:sz w:val="22"/>
          <w:szCs w:val="22"/>
        </w:rPr>
        <w:fldChar w:fldCharType="begin"/>
      </w:r>
      <w:r w:rsidR="00EB5B81">
        <w:rPr>
          <w:rFonts w:asciiTheme="majorHAnsi" w:eastAsiaTheme="majorEastAsia" w:hAnsiTheme="majorHAnsi" w:cstheme="majorBidi"/>
          <w:b/>
          <w:bCs/>
          <w:i w:val="0"/>
          <w:iCs w:val="0"/>
          <w:color w:val="auto"/>
          <w:sz w:val="22"/>
          <w:szCs w:val="22"/>
        </w:rPr>
        <w:instrText xml:space="preserve"> SEQ Obrázek \* ARABIC \s 1 </w:instrText>
      </w:r>
      <w:r w:rsidR="00EB5B81">
        <w:rPr>
          <w:rFonts w:asciiTheme="majorHAnsi" w:eastAsiaTheme="majorEastAsia" w:hAnsiTheme="majorHAnsi" w:cstheme="majorBidi"/>
          <w:b/>
          <w:bCs/>
          <w:i w:val="0"/>
          <w:iCs w:val="0"/>
          <w:color w:val="auto"/>
          <w:sz w:val="22"/>
          <w:szCs w:val="22"/>
        </w:rPr>
        <w:fldChar w:fldCharType="separate"/>
      </w:r>
      <w:r w:rsidR="00EB5B81">
        <w:rPr>
          <w:rFonts w:asciiTheme="majorHAnsi" w:eastAsiaTheme="majorEastAsia" w:hAnsiTheme="majorHAnsi" w:cstheme="majorBidi"/>
          <w:b/>
          <w:bCs/>
          <w:i w:val="0"/>
          <w:iCs w:val="0"/>
          <w:noProof/>
          <w:color w:val="auto"/>
          <w:sz w:val="22"/>
          <w:szCs w:val="22"/>
        </w:rPr>
        <w:t>1</w:t>
      </w:r>
      <w:r w:rsidR="00EB5B81">
        <w:rPr>
          <w:rFonts w:asciiTheme="majorHAnsi" w:eastAsiaTheme="majorEastAsia" w:hAnsiTheme="majorHAnsi" w:cstheme="majorBidi"/>
          <w:b/>
          <w:bCs/>
          <w:i w:val="0"/>
          <w:iCs w:val="0"/>
          <w:color w:val="auto"/>
          <w:sz w:val="22"/>
          <w:szCs w:val="22"/>
        </w:rPr>
        <w:fldChar w:fldCharType="end"/>
      </w:r>
      <w:r w:rsidRPr="004B694B">
        <w:rPr>
          <w:rFonts w:asciiTheme="majorHAnsi" w:eastAsiaTheme="majorEastAsia" w:hAnsiTheme="majorHAnsi" w:cstheme="majorBidi"/>
          <w:b/>
          <w:bCs/>
          <w:i w:val="0"/>
          <w:iCs w:val="0"/>
          <w:color w:val="auto"/>
          <w:sz w:val="22"/>
          <w:szCs w:val="22"/>
        </w:rPr>
        <w:t>: Vývoj podílu HDP v cenách předchozího roku dle typologie městských a venkovských regionů (NUTS3) na celkovém HDP v ČR v letech 2006–2016 (%)</w:t>
      </w:r>
      <w:bookmarkEnd w:id="79"/>
      <w:bookmarkEnd w:id="80"/>
      <w:bookmarkEnd w:id="81"/>
    </w:p>
    <w:p w14:paraId="59D42168" w14:textId="77777777" w:rsidR="00143820" w:rsidRDefault="00143820" w:rsidP="00DD7469">
      <w:pPr>
        <w:keepNext/>
        <w:ind w:firstLine="0"/>
      </w:pPr>
      <w:r>
        <w:rPr>
          <w:noProof/>
        </w:rPr>
        <w:drawing>
          <wp:inline distT="0" distB="0" distL="0" distR="0" wp14:anchorId="5E4A757E" wp14:editId="698A3EA2">
            <wp:extent cx="3810000" cy="1866900"/>
            <wp:effectExtent l="0" t="0" r="0" b="0"/>
            <wp:docPr id="32" name="Graf 32">
              <a:extLst xmlns:a="http://schemas.openxmlformats.org/drawingml/2006/main">
                <a:ext uri="{FF2B5EF4-FFF2-40B4-BE49-F238E27FC236}">
                  <a16:creationId xmlns:a16="http://schemas.microsoft.com/office/drawing/2014/main" id="{809EDD88-7691-4892-BF4C-E8B25282FF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A126E6B" w14:textId="77777777" w:rsidR="00143820" w:rsidRPr="004B694B" w:rsidRDefault="00143820" w:rsidP="004B694B">
      <w:pPr>
        <w:pStyle w:val="Titulek"/>
        <w:spacing w:after="0"/>
        <w:ind w:firstLine="0"/>
        <w:rPr>
          <w:rFonts w:asciiTheme="majorHAnsi" w:eastAsiaTheme="majorEastAsia" w:hAnsiTheme="majorHAnsi" w:cstheme="majorBidi"/>
          <w:color w:val="auto"/>
        </w:rPr>
      </w:pPr>
      <w:r w:rsidRPr="004B694B">
        <w:rPr>
          <w:rFonts w:asciiTheme="majorHAnsi" w:eastAsiaTheme="majorEastAsia" w:hAnsiTheme="majorHAnsi" w:cstheme="majorBidi"/>
          <w:color w:val="auto"/>
        </w:rPr>
        <w:t>Zdroj: ČSÚ (Národní účty)</w:t>
      </w:r>
    </w:p>
    <w:p w14:paraId="7022DE54" w14:textId="77777777" w:rsidR="00143820" w:rsidRPr="00DD7469" w:rsidRDefault="00143820" w:rsidP="00DD7469">
      <w:pPr>
        <w:pStyle w:val="Titulek"/>
        <w:spacing w:before="60" w:after="0" w:line="360" w:lineRule="atLeast"/>
        <w:rPr>
          <w:rFonts w:eastAsiaTheme="minorHAnsi"/>
          <w:bCs/>
          <w:i w:val="0"/>
          <w:sz w:val="24"/>
          <w:szCs w:val="24"/>
        </w:rPr>
      </w:pPr>
    </w:p>
    <w:p w14:paraId="04B82618" w14:textId="77777777" w:rsidR="00143820" w:rsidRPr="004B694B" w:rsidRDefault="00143820" w:rsidP="004B694B">
      <w:pPr>
        <w:pStyle w:val="Titulek"/>
        <w:spacing w:before="60" w:after="0" w:line="360" w:lineRule="atLeast"/>
        <w:rPr>
          <w:rFonts w:asciiTheme="minorEastAsia" w:eastAsiaTheme="minorEastAsia" w:hAnsiTheme="minorEastAsia" w:cstheme="minorEastAsia"/>
          <w:i w:val="0"/>
          <w:iCs w:val="0"/>
          <w:color w:val="auto"/>
          <w:sz w:val="24"/>
          <w:szCs w:val="24"/>
        </w:rPr>
      </w:pPr>
      <w:r w:rsidRPr="004B694B">
        <w:rPr>
          <w:rFonts w:asciiTheme="minorEastAsia" w:eastAsiaTheme="minorEastAsia" w:hAnsiTheme="minorEastAsia" w:cstheme="minorEastAsia"/>
          <w:i w:val="0"/>
          <w:iCs w:val="0"/>
          <w:color w:val="auto"/>
          <w:sz w:val="24"/>
          <w:szCs w:val="24"/>
        </w:rPr>
        <w:t xml:space="preserve">Pro reálné srovnání ekonomické úrovně zemí EU se obvykle používá měrná jednotka PPS (standard kupní síly). Dle </w:t>
      </w:r>
      <w:proofErr w:type="spellStart"/>
      <w:r w:rsidRPr="004B694B">
        <w:rPr>
          <w:rFonts w:asciiTheme="minorEastAsia" w:eastAsiaTheme="minorEastAsia" w:hAnsiTheme="minorEastAsia" w:cstheme="minorEastAsia"/>
          <w:i w:val="0"/>
          <w:iCs w:val="0"/>
          <w:color w:val="auto"/>
          <w:sz w:val="24"/>
          <w:szCs w:val="24"/>
        </w:rPr>
        <w:t>Eurostatu</w:t>
      </w:r>
      <w:proofErr w:type="spellEnd"/>
      <w:r w:rsidRPr="004B694B">
        <w:rPr>
          <w:rFonts w:asciiTheme="minorEastAsia" w:eastAsiaTheme="minorEastAsia" w:hAnsiTheme="minorEastAsia" w:cstheme="minorEastAsia"/>
          <w:i w:val="0"/>
          <w:iCs w:val="0"/>
          <w:color w:val="auto"/>
          <w:sz w:val="24"/>
          <w:szCs w:val="24"/>
        </w:rPr>
        <w:t xml:space="preserve"> (Tabulka </w:t>
      </w:r>
      <w:r w:rsidR="0060489F">
        <w:rPr>
          <w:rFonts w:asciiTheme="minorEastAsia" w:eastAsiaTheme="minorEastAsia" w:hAnsiTheme="minorEastAsia" w:cstheme="minorEastAsia"/>
          <w:i w:val="0"/>
          <w:iCs w:val="0"/>
          <w:color w:val="auto"/>
          <w:sz w:val="24"/>
          <w:szCs w:val="24"/>
        </w:rPr>
        <w:t>7.</w:t>
      </w:r>
      <w:r w:rsidRPr="004B694B">
        <w:rPr>
          <w:rFonts w:asciiTheme="minorEastAsia" w:eastAsiaTheme="minorEastAsia" w:hAnsiTheme="minorEastAsia" w:cstheme="minorEastAsia"/>
          <w:i w:val="0"/>
          <w:iCs w:val="0"/>
          <w:color w:val="auto"/>
          <w:sz w:val="24"/>
          <w:szCs w:val="24"/>
        </w:rPr>
        <w:t xml:space="preserve">3.3) byl reálný ekonomický výkon celé ČR v roce 2016 na 88 procentech průměru celé EU. Nad 75 procenty se umístily kraje Středočeský, Plzeňský, Královéhradecký, Jihomoravský a Zlínský. Praha, jakožto šestý nejrozvinutější region v Evropské unii (ČSÚ, 2016), vykazovala v roce 2016 reálný ekonomický výkon na 182 procentech průměru celé EU. Regionem s nejnižším ekonomickým výkonem (ve srovnání s EU) byl region Karlovarský (59 %). </w:t>
      </w:r>
    </w:p>
    <w:p w14:paraId="279A17A6" w14:textId="77777777" w:rsidR="00143820" w:rsidRDefault="00143820" w:rsidP="00143820">
      <w:pPr>
        <w:pStyle w:val="Titulek"/>
        <w:rPr>
          <w:rFonts w:asciiTheme="minorHAnsi" w:eastAsiaTheme="minorHAnsi" w:hAnsiTheme="minorHAnsi" w:cstheme="minorBidi"/>
          <w:b/>
          <w:bCs/>
          <w:szCs w:val="22"/>
        </w:rPr>
      </w:pPr>
    </w:p>
    <w:p w14:paraId="5D8A063B" w14:textId="77777777" w:rsidR="00143820" w:rsidRPr="004B694B" w:rsidRDefault="00143820" w:rsidP="004B694B">
      <w:pPr>
        <w:pStyle w:val="Titulek"/>
        <w:keepNext/>
        <w:spacing w:after="0"/>
        <w:ind w:firstLine="0"/>
        <w:rPr>
          <w:rFonts w:asciiTheme="majorHAnsi" w:eastAsiaTheme="majorEastAsia" w:hAnsiTheme="majorHAnsi" w:cstheme="majorBidi"/>
          <w:b/>
          <w:bCs/>
          <w:i w:val="0"/>
          <w:iCs w:val="0"/>
          <w:color w:val="auto"/>
          <w:sz w:val="22"/>
          <w:szCs w:val="22"/>
        </w:rPr>
      </w:pPr>
      <w:bookmarkStart w:id="82" w:name="_Toc522869008"/>
      <w:r w:rsidRPr="004B694B">
        <w:rPr>
          <w:rFonts w:asciiTheme="majorHAnsi" w:eastAsiaTheme="majorEastAsia" w:hAnsiTheme="majorHAnsi" w:cstheme="majorBidi"/>
          <w:b/>
          <w:bCs/>
          <w:i w:val="0"/>
          <w:iCs w:val="0"/>
          <w:color w:val="auto"/>
          <w:sz w:val="22"/>
          <w:szCs w:val="22"/>
        </w:rPr>
        <w:t xml:space="preserve">Tabulka </w:t>
      </w:r>
      <w:r w:rsidR="0060489F">
        <w:rPr>
          <w:rFonts w:asciiTheme="majorHAnsi" w:eastAsiaTheme="majorEastAsia" w:hAnsiTheme="majorHAnsi" w:cstheme="majorBidi"/>
          <w:b/>
          <w:bCs/>
          <w:i w:val="0"/>
          <w:iCs w:val="0"/>
          <w:color w:val="auto"/>
          <w:sz w:val="22"/>
          <w:szCs w:val="22"/>
        </w:rPr>
        <w:t>7.</w:t>
      </w:r>
      <w:r w:rsidR="00E34D45">
        <w:rPr>
          <w:rFonts w:asciiTheme="majorHAnsi" w:eastAsiaTheme="majorEastAsia" w:hAnsiTheme="majorHAnsi" w:cstheme="majorBidi"/>
          <w:b/>
          <w:bCs/>
          <w:i w:val="0"/>
          <w:iCs w:val="0"/>
          <w:color w:val="auto"/>
          <w:sz w:val="22"/>
          <w:szCs w:val="22"/>
        </w:rPr>
        <w:fldChar w:fldCharType="begin"/>
      </w:r>
      <w:r w:rsidR="00E34D45">
        <w:rPr>
          <w:rFonts w:asciiTheme="majorHAnsi" w:eastAsiaTheme="majorEastAsia" w:hAnsiTheme="majorHAnsi" w:cstheme="majorBidi"/>
          <w:b/>
          <w:bCs/>
          <w:i w:val="0"/>
          <w:iCs w:val="0"/>
          <w:color w:val="auto"/>
          <w:sz w:val="22"/>
          <w:szCs w:val="22"/>
        </w:rPr>
        <w:instrText xml:space="preserve"> STYLEREF 1 \s </w:instrText>
      </w:r>
      <w:r w:rsidR="00E34D45">
        <w:rPr>
          <w:rFonts w:asciiTheme="majorHAnsi" w:eastAsiaTheme="majorEastAsia" w:hAnsiTheme="majorHAnsi" w:cstheme="majorBidi"/>
          <w:b/>
          <w:bCs/>
          <w:i w:val="0"/>
          <w:iCs w:val="0"/>
          <w:color w:val="auto"/>
          <w:sz w:val="22"/>
          <w:szCs w:val="22"/>
        </w:rPr>
        <w:fldChar w:fldCharType="separate"/>
      </w:r>
      <w:r w:rsidR="00E34D45">
        <w:rPr>
          <w:rFonts w:asciiTheme="majorHAnsi" w:eastAsiaTheme="majorEastAsia" w:hAnsiTheme="majorHAnsi" w:cstheme="majorBidi"/>
          <w:b/>
          <w:bCs/>
          <w:i w:val="0"/>
          <w:iCs w:val="0"/>
          <w:noProof/>
          <w:color w:val="auto"/>
          <w:sz w:val="22"/>
          <w:szCs w:val="22"/>
        </w:rPr>
        <w:t>3</w:t>
      </w:r>
      <w:r w:rsidR="00E34D45">
        <w:rPr>
          <w:rFonts w:asciiTheme="majorHAnsi" w:eastAsiaTheme="majorEastAsia" w:hAnsiTheme="majorHAnsi" w:cstheme="majorBidi"/>
          <w:b/>
          <w:bCs/>
          <w:i w:val="0"/>
          <w:iCs w:val="0"/>
          <w:color w:val="auto"/>
          <w:sz w:val="22"/>
          <w:szCs w:val="22"/>
        </w:rPr>
        <w:fldChar w:fldCharType="end"/>
      </w:r>
      <w:r w:rsidR="00E34D45">
        <w:rPr>
          <w:rFonts w:asciiTheme="majorHAnsi" w:eastAsiaTheme="majorEastAsia" w:hAnsiTheme="majorHAnsi" w:cstheme="majorBidi"/>
          <w:b/>
          <w:bCs/>
          <w:i w:val="0"/>
          <w:iCs w:val="0"/>
          <w:color w:val="auto"/>
          <w:sz w:val="22"/>
          <w:szCs w:val="22"/>
        </w:rPr>
        <w:t>.</w:t>
      </w:r>
      <w:r w:rsidR="00E34D45">
        <w:rPr>
          <w:rFonts w:asciiTheme="majorHAnsi" w:eastAsiaTheme="majorEastAsia" w:hAnsiTheme="majorHAnsi" w:cstheme="majorBidi"/>
          <w:b/>
          <w:bCs/>
          <w:i w:val="0"/>
          <w:iCs w:val="0"/>
          <w:color w:val="auto"/>
          <w:sz w:val="22"/>
          <w:szCs w:val="22"/>
        </w:rPr>
        <w:fldChar w:fldCharType="begin"/>
      </w:r>
      <w:r w:rsidR="00E34D45">
        <w:rPr>
          <w:rFonts w:asciiTheme="majorHAnsi" w:eastAsiaTheme="majorEastAsia" w:hAnsiTheme="majorHAnsi" w:cstheme="majorBidi"/>
          <w:b/>
          <w:bCs/>
          <w:i w:val="0"/>
          <w:iCs w:val="0"/>
          <w:color w:val="auto"/>
          <w:sz w:val="22"/>
          <w:szCs w:val="22"/>
        </w:rPr>
        <w:instrText xml:space="preserve"> SEQ Tabulka \* ARABIC \s 1 </w:instrText>
      </w:r>
      <w:r w:rsidR="00E34D45">
        <w:rPr>
          <w:rFonts w:asciiTheme="majorHAnsi" w:eastAsiaTheme="majorEastAsia" w:hAnsiTheme="majorHAnsi" w:cstheme="majorBidi"/>
          <w:b/>
          <w:bCs/>
          <w:i w:val="0"/>
          <w:iCs w:val="0"/>
          <w:color w:val="auto"/>
          <w:sz w:val="22"/>
          <w:szCs w:val="22"/>
        </w:rPr>
        <w:fldChar w:fldCharType="separate"/>
      </w:r>
      <w:r w:rsidR="00E34D45">
        <w:rPr>
          <w:rFonts w:asciiTheme="majorHAnsi" w:eastAsiaTheme="majorEastAsia" w:hAnsiTheme="majorHAnsi" w:cstheme="majorBidi"/>
          <w:b/>
          <w:bCs/>
          <w:i w:val="0"/>
          <w:iCs w:val="0"/>
          <w:noProof/>
          <w:color w:val="auto"/>
          <w:sz w:val="22"/>
          <w:szCs w:val="22"/>
        </w:rPr>
        <w:t>3</w:t>
      </w:r>
      <w:r w:rsidR="00E34D45">
        <w:rPr>
          <w:rFonts w:asciiTheme="majorHAnsi" w:eastAsiaTheme="majorEastAsia" w:hAnsiTheme="majorHAnsi" w:cstheme="majorBidi"/>
          <w:b/>
          <w:bCs/>
          <w:i w:val="0"/>
          <w:iCs w:val="0"/>
          <w:color w:val="auto"/>
          <w:sz w:val="22"/>
          <w:szCs w:val="22"/>
        </w:rPr>
        <w:fldChar w:fldCharType="end"/>
      </w:r>
      <w:r w:rsidRPr="004B694B">
        <w:rPr>
          <w:rFonts w:asciiTheme="majorHAnsi" w:eastAsiaTheme="majorEastAsia" w:hAnsiTheme="majorHAnsi" w:cstheme="majorBidi"/>
          <w:b/>
          <w:bCs/>
          <w:i w:val="0"/>
          <w:iCs w:val="0"/>
          <w:color w:val="auto"/>
          <w:sz w:val="22"/>
          <w:szCs w:val="22"/>
        </w:rPr>
        <w:t>: Hrubý domácí produkt na 1 obyvatele ve standardu kupní síly (PPS) v letech 2006–2016 dle typologie městských a venkovských regionů (NUTS3). (V %; EU 28 = 100 %)</w:t>
      </w:r>
      <w:bookmarkEnd w:id="82"/>
      <w:r w:rsidRPr="004B694B">
        <w:rPr>
          <w:rFonts w:asciiTheme="majorHAnsi" w:eastAsiaTheme="majorEastAsia" w:hAnsiTheme="majorHAnsi" w:cstheme="majorBidi"/>
          <w:b/>
          <w:bCs/>
          <w:i w:val="0"/>
          <w:iCs w:val="0"/>
          <w:color w:val="auto"/>
          <w:sz w:val="22"/>
          <w:szCs w:val="22"/>
        </w:rPr>
        <w:t xml:space="preserve"> </w:t>
      </w:r>
    </w:p>
    <w:p w14:paraId="131DF7DA" w14:textId="77777777" w:rsidR="00143820" w:rsidRPr="004B694B" w:rsidRDefault="00143820" w:rsidP="004B694B">
      <w:pPr>
        <w:spacing w:before="0" w:line="240" w:lineRule="auto"/>
        <w:ind w:firstLine="0"/>
        <w:rPr>
          <w:rFonts w:asciiTheme="majorHAnsi" w:eastAsiaTheme="majorEastAsia" w:hAnsiTheme="majorHAnsi" w:cstheme="majorBidi"/>
          <w:i/>
          <w:iCs/>
          <w:sz w:val="18"/>
          <w:szCs w:val="18"/>
        </w:rPr>
      </w:pPr>
      <w:r w:rsidRPr="00CD0360">
        <w:rPr>
          <w:noProof/>
        </w:rPr>
        <w:drawing>
          <wp:inline distT="0" distB="0" distL="0" distR="0" wp14:anchorId="7791C136" wp14:editId="2DAE3831">
            <wp:extent cx="5760720" cy="2733438"/>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733438"/>
                    </a:xfrm>
                    <a:prstGeom prst="rect">
                      <a:avLst/>
                    </a:prstGeom>
                    <a:noFill/>
                    <a:ln>
                      <a:noFill/>
                    </a:ln>
                  </pic:spPr>
                </pic:pic>
              </a:graphicData>
            </a:graphic>
          </wp:inline>
        </w:drawing>
      </w:r>
      <w:r w:rsidRPr="519AA2E2">
        <w:rPr>
          <w:rFonts w:asciiTheme="majorHAnsi" w:eastAsiaTheme="majorEastAsia" w:hAnsiTheme="majorHAnsi" w:cstheme="majorBidi"/>
          <w:i/>
          <w:iCs/>
          <w:sz w:val="18"/>
          <w:szCs w:val="18"/>
        </w:rPr>
        <w:t>Zdroj: Eurostat</w:t>
      </w:r>
    </w:p>
    <w:p w14:paraId="7FBA27AE" w14:textId="77777777" w:rsidR="00143820" w:rsidRDefault="00143820" w:rsidP="00143820">
      <w:pPr>
        <w:spacing w:after="200" w:line="276" w:lineRule="auto"/>
        <w:rPr>
          <w:rFonts w:ascii="Arial" w:hAnsi="Arial" w:cs="Arial"/>
          <w:b/>
          <w:i/>
          <w:sz w:val="20"/>
          <w:highlight w:val="yellow"/>
        </w:rPr>
      </w:pPr>
    </w:p>
    <w:p w14:paraId="239134F9" w14:textId="77777777" w:rsidR="00143820" w:rsidRPr="004B694B" w:rsidRDefault="00143820" w:rsidP="004B694B">
      <w:pPr>
        <w:pStyle w:val="Titulek"/>
        <w:keepNext/>
        <w:spacing w:after="0"/>
        <w:ind w:firstLine="0"/>
        <w:rPr>
          <w:rFonts w:asciiTheme="majorHAnsi" w:eastAsiaTheme="majorEastAsia" w:hAnsiTheme="majorHAnsi" w:cstheme="majorBidi"/>
          <w:b/>
          <w:bCs/>
          <w:i w:val="0"/>
          <w:iCs w:val="0"/>
          <w:color w:val="auto"/>
          <w:sz w:val="22"/>
          <w:szCs w:val="22"/>
        </w:rPr>
      </w:pPr>
      <w:bookmarkStart w:id="83" w:name="_Toc525727629"/>
      <w:bookmarkStart w:id="84" w:name="_Toc525735916"/>
      <w:bookmarkStart w:id="85" w:name="_Toc525738213"/>
      <w:r w:rsidRPr="004B694B">
        <w:rPr>
          <w:rFonts w:asciiTheme="majorHAnsi" w:eastAsiaTheme="majorEastAsia" w:hAnsiTheme="majorHAnsi" w:cstheme="majorBidi"/>
          <w:b/>
          <w:bCs/>
          <w:i w:val="0"/>
          <w:iCs w:val="0"/>
          <w:color w:val="auto"/>
          <w:sz w:val="22"/>
          <w:szCs w:val="22"/>
        </w:rPr>
        <w:lastRenderedPageBreak/>
        <w:t xml:space="preserve">Obrázek </w:t>
      </w:r>
      <w:r w:rsidR="0060489F">
        <w:rPr>
          <w:rFonts w:asciiTheme="majorHAnsi" w:eastAsiaTheme="majorEastAsia" w:hAnsiTheme="majorHAnsi" w:cstheme="majorBidi"/>
          <w:b/>
          <w:bCs/>
          <w:i w:val="0"/>
          <w:iCs w:val="0"/>
          <w:color w:val="auto"/>
          <w:sz w:val="22"/>
          <w:szCs w:val="22"/>
        </w:rPr>
        <w:t>7.</w:t>
      </w:r>
      <w:r w:rsidR="00240E36">
        <w:rPr>
          <w:rFonts w:asciiTheme="majorHAnsi" w:eastAsiaTheme="majorEastAsia" w:hAnsiTheme="majorHAnsi" w:cstheme="majorBidi"/>
          <w:b/>
          <w:bCs/>
          <w:i w:val="0"/>
          <w:iCs w:val="0"/>
          <w:color w:val="auto"/>
          <w:sz w:val="22"/>
          <w:szCs w:val="22"/>
        </w:rPr>
        <w:fldChar w:fldCharType="begin"/>
      </w:r>
      <w:r w:rsidR="00240E36">
        <w:rPr>
          <w:rFonts w:asciiTheme="majorHAnsi" w:eastAsiaTheme="majorEastAsia" w:hAnsiTheme="majorHAnsi" w:cstheme="majorBidi"/>
          <w:b/>
          <w:bCs/>
          <w:i w:val="0"/>
          <w:iCs w:val="0"/>
          <w:color w:val="auto"/>
          <w:sz w:val="22"/>
          <w:szCs w:val="22"/>
        </w:rPr>
        <w:instrText xml:space="preserve"> STYLEREF 1 \s </w:instrText>
      </w:r>
      <w:r w:rsidR="00240E36">
        <w:rPr>
          <w:rFonts w:asciiTheme="majorHAnsi" w:eastAsiaTheme="majorEastAsia" w:hAnsiTheme="majorHAnsi" w:cstheme="majorBidi"/>
          <w:b/>
          <w:bCs/>
          <w:i w:val="0"/>
          <w:iCs w:val="0"/>
          <w:color w:val="auto"/>
          <w:sz w:val="22"/>
          <w:szCs w:val="22"/>
        </w:rPr>
        <w:fldChar w:fldCharType="separate"/>
      </w:r>
      <w:r w:rsidR="00240E36">
        <w:rPr>
          <w:rFonts w:asciiTheme="majorHAnsi" w:eastAsiaTheme="majorEastAsia" w:hAnsiTheme="majorHAnsi" w:cstheme="majorBidi"/>
          <w:b/>
          <w:bCs/>
          <w:i w:val="0"/>
          <w:iCs w:val="0"/>
          <w:noProof/>
          <w:color w:val="auto"/>
          <w:sz w:val="22"/>
          <w:szCs w:val="22"/>
        </w:rPr>
        <w:t>3</w:t>
      </w:r>
      <w:r w:rsidR="00240E36">
        <w:rPr>
          <w:rFonts w:asciiTheme="majorHAnsi" w:eastAsiaTheme="majorEastAsia" w:hAnsiTheme="majorHAnsi" w:cstheme="majorBidi"/>
          <w:b/>
          <w:bCs/>
          <w:i w:val="0"/>
          <w:iCs w:val="0"/>
          <w:color w:val="auto"/>
          <w:sz w:val="22"/>
          <w:szCs w:val="22"/>
        </w:rPr>
        <w:fldChar w:fldCharType="end"/>
      </w:r>
      <w:r w:rsidR="00240E36">
        <w:rPr>
          <w:rFonts w:asciiTheme="majorHAnsi" w:eastAsiaTheme="majorEastAsia" w:hAnsiTheme="majorHAnsi" w:cstheme="majorBidi"/>
          <w:b/>
          <w:bCs/>
          <w:i w:val="0"/>
          <w:iCs w:val="0"/>
          <w:color w:val="auto"/>
          <w:sz w:val="22"/>
          <w:szCs w:val="22"/>
        </w:rPr>
        <w:t>.</w:t>
      </w:r>
      <w:r w:rsidR="00EB5B81">
        <w:rPr>
          <w:rFonts w:asciiTheme="majorHAnsi" w:eastAsiaTheme="majorEastAsia" w:hAnsiTheme="majorHAnsi" w:cstheme="majorBidi"/>
          <w:b/>
          <w:bCs/>
          <w:i w:val="0"/>
          <w:iCs w:val="0"/>
          <w:color w:val="auto"/>
          <w:sz w:val="22"/>
          <w:szCs w:val="22"/>
        </w:rPr>
        <w:fldChar w:fldCharType="begin"/>
      </w:r>
      <w:r w:rsidR="00EB5B81">
        <w:rPr>
          <w:rFonts w:asciiTheme="majorHAnsi" w:eastAsiaTheme="majorEastAsia" w:hAnsiTheme="majorHAnsi" w:cstheme="majorBidi"/>
          <w:b/>
          <w:bCs/>
          <w:i w:val="0"/>
          <w:iCs w:val="0"/>
          <w:color w:val="auto"/>
          <w:sz w:val="22"/>
          <w:szCs w:val="22"/>
        </w:rPr>
        <w:instrText xml:space="preserve"> SEQ Obrázek \* ARABIC \s 1 </w:instrText>
      </w:r>
      <w:r w:rsidR="00EB5B81">
        <w:rPr>
          <w:rFonts w:asciiTheme="majorHAnsi" w:eastAsiaTheme="majorEastAsia" w:hAnsiTheme="majorHAnsi" w:cstheme="majorBidi"/>
          <w:b/>
          <w:bCs/>
          <w:i w:val="0"/>
          <w:iCs w:val="0"/>
          <w:color w:val="auto"/>
          <w:sz w:val="22"/>
          <w:szCs w:val="22"/>
        </w:rPr>
        <w:fldChar w:fldCharType="separate"/>
      </w:r>
      <w:r w:rsidR="00EB5B81">
        <w:rPr>
          <w:rFonts w:asciiTheme="majorHAnsi" w:eastAsiaTheme="majorEastAsia" w:hAnsiTheme="majorHAnsi" w:cstheme="majorBidi"/>
          <w:b/>
          <w:bCs/>
          <w:i w:val="0"/>
          <w:iCs w:val="0"/>
          <w:noProof/>
          <w:color w:val="auto"/>
          <w:sz w:val="22"/>
          <w:szCs w:val="22"/>
        </w:rPr>
        <w:t>2</w:t>
      </w:r>
      <w:r w:rsidR="00EB5B81">
        <w:rPr>
          <w:rFonts w:asciiTheme="majorHAnsi" w:eastAsiaTheme="majorEastAsia" w:hAnsiTheme="majorHAnsi" w:cstheme="majorBidi"/>
          <w:b/>
          <w:bCs/>
          <w:i w:val="0"/>
          <w:iCs w:val="0"/>
          <w:color w:val="auto"/>
          <w:sz w:val="22"/>
          <w:szCs w:val="22"/>
        </w:rPr>
        <w:fldChar w:fldCharType="end"/>
      </w:r>
      <w:r w:rsidRPr="004B694B">
        <w:rPr>
          <w:rFonts w:asciiTheme="majorHAnsi" w:eastAsiaTheme="majorEastAsia" w:hAnsiTheme="majorHAnsi" w:cstheme="majorBidi"/>
          <w:b/>
          <w:bCs/>
          <w:i w:val="0"/>
          <w:iCs w:val="0"/>
          <w:color w:val="auto"/>
          <w:sz w:val="22"/>
          <w:szCs w:val="22"/>
        </w:rPr>
        <w:t>: Vývoj HDP na obyvatele v běžných cenách v krajích ČR v letech 2006</w:t>
      </w:r>
      <w:r w:rsidR="00EB720B" w:rsidRPr="004B694B">
        <w:rPr>
          <w:rFonts w:asciiTheme="majorHAnsi" w:eastAsiaTheme="majorEastAsia" w:hAnsiTheme="majorHAnsi" w:cstheme="majorBidi"/>
          <w:b/>
          <w:bCs/>
          <w:i w:val="0"/>
          <w:iCs w:val="0"/>
          <w:color w:val="auto"/>
          <w:sz w:val="22"/>
          <w:szCs w:val="22"/>
        </w:rPr>
        <w:t>-2016</w:t>
      </w:r>
      <w:r w:rsidRPr="004B694B">
        <w:rPr>
          <w:rFonts w:asciiTheme="majorHAnsi" w:eastAsiaTheme="majorEastAsia" w:hAnsiTheme="majorHAnsi" w:cstheme="majorBidi"/>
          <w:b/>
          <w:bCs/>
          <w:i w:val="0"/>
          <w:iCs w:val="0"/>
          <w:color w:val="auto"/>
          <w:sz w:val="22"/>
          <w:szCs w:val="22"/>
        </w:rPr>
        <w:t xml:space="preserve"> v tis. Kč</w:t>
      </w:r>
      <w:bookmarkEnd w:id="83"/>
      <w:bookmarkEnd w:id="84"/>
      <w:bookmarkEnd w:id="85"/>
      <w:r w:rsidRPr="004B694B">
        <w:rPr>
          <w:rFonts w:asciiTheme="majorHAnsi" w:eastAsiaTheme="majorEastAsia" w:hAnsiTheme="majorHAnsi" w:cstheme="majorBidi"/>
          <w:b/>
          <w:bCs/>
          <w:i w:val="0"/>
          <w:iCs w:val="0"/>
          <w:color w:val="auto"/>
          <w:sz w:val="22"/>
          <w:szCs w:val="22"/>
        </w:rPr>
        <w:t xml:space="preserve"> </w:t>
      </w:r>
    </w:p>
    <w:p w14:paraId="14AA0A8D" w14:textId="77777777" w:rsidR="00143820" w:rsidRDefault="00143820" w:rsidP="00DD7469">
      <w:pPr>
        <w:keepNext/>
        <w:spacing w:line="276" w:lineRule="auto"/>
        <w:ind w:firstLine="0"/>
      </w:pPr>
      <w:r>
        <w:rPr>
          <w:noProof/>
        </w:rPr>
        <w:drawing>
          <wp:inline distT="0" distB="0" distL="0" distR="0" wp14:anchorId="0FAE8825" wp14:editId="35A9ACD6">
            <wp:extent cx="5760720" cy="2165985"/>
            <wp:effectExtent l="0" t="0" r="11430" b="5715"/>
            <wp:docPr id="35" name="Graf 35">
              <a:extLst xmlns:a="http://schemas.openxmlformats.org/drawingml/2006/main">
                <a:ext uri="{FF2B5EF4-FFF2-40B4-BE49-F238E27FC236}">
                  <a16:creationId xmlns:a16="http://schemas.microsoft.com/office/drawing/2014/main" id="{AE2245B1-426F-4328-9629-AEAE175555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6391BF" w14:textId="77777777" w:rsidR="00143820" w:rsidRPr="004B694B" w:rsidRDefault="00143820" w:rsidP="004B694B">
      <w:pPr>
        <w:pStyle w:val="Titulek"/>
        <w:spacing w:after="0"/>
        <w:ind w:firstLine="0"/>
        <w:rPr>
          <w:rFonts w:asciiTheme="majorHAnsi" w:eastAsiaTheme="majorEastAsia" w:hAnsiTheme="majorHAnsi" w:cstheme="majorBidi"/>
          <w:color w:val="auto"/>
        </w:rPr>
      </w:pPr>
      <w:r w:rsidRPr="004B694B">
        <w:rPr>
          <w:rFonts w:asciiTheme="majorHAnsi" w:eastAsiaTheme="majorEastAsia" w:hAnsiTheme="majorHAnsi" w:cstheme="majorBidi"/>
          <w:color w:val="auto"/>
        </w:rPr>
        <w:t>Zdroj: ČSÚ (Národní účty)</w:t>
      </w:r>
    </w:p>
    <w:p w14:paraId="38DB3403" w14:textId="77777777" w:rsidR="00AE48D6" w:rsidRPr="004B694B" w:rsidRDefault="00AE48D6"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Zpracování: ÚZEI</w:t>
      </w:r>
    </w:p>
    <w:p w14:paraId="4C6738F2" w14:textId="77777777" w:rsidR="00143820" w:rsidRDefault="00143820" w:rsidP="00143820">
      <w:pPr>
        <w:spacing w:after="200" w:line="276" w:lineRule="auto"/>
        <w:rPr>
          <w:rFonts w:ascii="Arial" w:hAnsi="Arial" w:cs="Arial"/>
          <w:b/>
          <w:i/>
          <w:sz w:val="20"/>
          <w:highlight w:val="yellow"/>
        </w:rPr>
      </w:pPr>
    </w:p>
    <w:p w14:paraId="2F007E4C" w14:textId="77777777" w:rsidR="00143820" w:rsidRPr="004B694B" w:rsidRDefault="00143820">
      <w:pPr>
        <w:ind w:firstLine="0"/>
        <w:rPr>
          <w:rFonts w:asciiTheme="majorHAnsi" w:eastAsiaTheme="majorEastAsia" w:hAnsiTheme="majorHAnsi" w:cstheme="majorBidi"/>
          <w:b/>
          <w:bCs/>
        </w:rPr>
      </w:pPr>
      <w:r w:rsidRPr="004B694B">
        <w:rPr>
          <w:rFonts w:asciiTheme="majorHAnsi" w:eastAsiaTheme="majorEastAsia" w:hAnsiTheme="majorHAnsi" w:cstheme="majorBidi"/>
          <w:b/>
          <w:bCs/>
        </w:rPr>
        <w:t>Tvorba HPH: nejvyšší podíl zemědělství v krajích V, zde i nejvíce průmyslu</w:t>
      </w:r>
    </w:p>
    <w:p w14:paraId="40F9F00B" w14:textId="77777777" w:rsidR="00143820" w:rsidRDefault="00143820" w:rsidP="00DD7469">
      <w:r w:rsidRPr="0069559F">
        <w:t xml:space="preserve">Hrubá přidaná hodnota (HPH) je rozdílem mezi produkcí a </w:t>
      </w:r>
      <w:proofErr w:type="spellStart"/>
      <w:r w:rsidRPr="0069559F">
        <w:t>mezispotřebou</w:t>
      </w:r>
      <w:proofErr w:type="spellEnd"/>
      <w:r w:rsidRPr="0069559F">
        <w:t xml:space="preserve"> a od HDP se odlišuje pouze tzv. čistými daněmi na produkty. Jinými slovy: HDP se počítá jako součet hrubé přidané hodnoty jednotlivých odvětví a čistých daní na produkty, které však nejsou rozvrženy do odvětví. Proto nelze přesně rozdělit do jednotlivých odvětví ani HDP. O významu odvětví v národním hospodářství tak vypovídá nejlépe podíl jednotlivých odvětví na HPH (ČSÚ, 2018).</w:t>
      </w:r>
    </w:p>
    <w:p w14:paraId="4F7AA5F2" w14:textId="77777777" w:rsidR="00DD7469" w:rsidRPr="0069559F" w:rsidRDefault="00DD7469" w:rsidP="00DD7469">
      <w:pPr>
        <w:rPr>
          <w:rFonts w:ascii="Arial" w:hAnsi="Arial" w:cs="Arial"/>
          <w:b/>
          <w:i/>
        </w:rPr>
      </w:pPr>
    </w:p>
    <w:p w14:paraId="2F3D077D" w14:textId="77777777" w:rsidR="00143820" w:rsidRPr="004B694B" w:rsidRDefault="00143820" w:rsidP="004B694B">
      <w:pPr>
        <w:pStyle w:val="Titulek"/>
        <w:spacing w:after="0"/>
        <w:ind w:firstLine="0"/>
        <w:rPr>
          <w:rFonts w:asciiTheme="majorHAnsi" w:eastAsiaTheme="majorEastAsia" w:hAnsiTheme="majorHAnsi" w:cstheme="majorBidi"/>
          <w:b/>
          <w:bCs/>
          <w:i w:val="0"/>
          <w:iCs w:val="0"/>
          <w:color w:val="auto"/>
          <w:sz w:val="22"/>
          <w:szCs w:val="22"/>
        </w:rPr>
      </w:pPr>
      <w:bookmarkStart w:id="86" w:name="_Toc522869010"/>
      <w:r w:rsidRPr="004B694B">
        <w:rPr>
          <w:rFonts w:asciiTheme="majorHAnsi" w:eastAsiaTheme="majorEastAsia" w:hAnsiTheme="majorHAnsi" w:cstheme="majorBidi"/>
          <w:b/>
          <w:bCs/>
          <w:i w:val="0"/>
          <w:iCs w:val="0"/>
          <w:color w:val="auto"/>
          <w:sz w:val="22"/>
          <w:szCs w:val="22"/>
        </w:rPr>
        <w:t xml:space="preserve">Tabulka </w:t>
      </w:r>
      <w:r w:rsidR="0060489F">
        <w:rPr>
          <w:rFonts w:asciiTheme="majorHAnsi" w:eastAsiaTheme="majorEastAsia" w:hAnsiTheme="majorHAnsi" w:cstheme="majorBidi"/>
          <w:b/>
          <w:bCs/>
          <w:i w:val="0"/>
          <w:iCs w:val="0"/>
          <w:color w:val="auto"/>
          <w:sz w:val="22"/>
          <w:szCs w:val="22"/>
        </w:rPr>
        <w:t>7.</w:t>
      </w:r>
      <w:r w:rsidR="00E34D45">
        <w:rPr>
          <w:rFonts w:asciiTheme="majorHAnsi" w:eastAsiaTheme="majorEastAsia" w:hAnsiTheme="majorHAnsi" w:cstheme="majorBidi"/>
          <w:b/>
          <w:bCs/>
          <w:i w:val="0"/>
          <w:iCs w:val="0"/>
          <w:color w:val="auto"/>
          <w:sz w:val="22"/>
          <w:szCs w:val="22"/>
        </w:rPr>
        <w:fldChar w:fldCharType="begin"/>
      </w:r>
      <w:r w:rsidR="00E34D45">
        <w:rPr>
          <w:rFonts w:asciiTheme="majorHAnsi" w:eastAsiaTheme="majorEastAsia" w:hAnsiTheme="majorHAnsi" w:cstheme="majorBidi"/>
          <w:b/>
          <w:bCs/>
          <w:i w:val="0"/>
          <w:iCs w:val="0"/>
          <w:color w:val="auto"/>
          <w:sz w:val="22"/>
          <w:szCs w:val="22"/>
        </w:rPr>
        <w:instrText xml:space="preserve"> STYLEREF 1 \s </w:instrText>
      </w:r>
      <w:r w:rsidR="00E34D45">
        <w:rPr>
          <w:rFonts w:asciiTheme="majorHAnsi" w:eastAsiaTheme="majorEastAsia" w:hAnsiTheme="majorHAnsi" w:cstheme="majorBidi"/>
          <w:b/>
          <w:bCs/>
          <w:i w:val="0"/>
          <w:iCs w:val="0"/>
          <w:color w:val="auto"/>
          <w:sz w:val="22"/>
          <w:szCs w:val="22"/>
        </w:rPr>
        <w:fldChar w:fldCharType="separate"/>
      </w:r>
      <w:r w:rsidR="00E34D45">
        <w:rPr>
          <w:rFonts w:asciiTheme="majorHAnsi" w:eastAsiaTheme="majorEastAsia" w:hAnsiTheme="majorHAnsi" w:cstheme="majorBidi"/>
          <w:b/>
          <w:bCs/>
          <w:i w:val="0"/>
          <w:iCs w:val="0"/>
          <w:noProof/>
          <w:color w:val="auto"/>
          <w:sz w:val="22"/>
          <w:szCs w:val="22"/>
        </w:rPr>
        <w:t>3</w:t>
      </w:r>
      <w:r w:rsidR="00E34D45">
        <w:rPr>
          <w:rFonts w:asciiTheme="majorHAnsi" w:eastAsiaTheme="majorEastAsia" w:hAnsiTheme="majorHAnsi" w:cstheme="majorBidi"/>
          <w:b/>
          <w:bCs/>
          <w:i w:val="0"/>
          <w:iCs w:val="0"/>
          <w:color w:val="auto"/>
          <w:sz w:val="22"/>
          <w:szCs w:val="22"/>
        </w:rPr>
        <w:fldChar w:fldCharType="end"/>
      </w:r>
      <w:r w:rsidR="00E34D45">
        <w:rPr>
          <w:rFonts w:asciiTheme="majorHAnsi" w:eastAsiaTheme="majorEastAsia" w:hAnsiTheme="majorHAnsi" w:cstheme="majorBidi"/>
          <w:b/>
          <w:bCs/>
          <w:i w:val="0"/>
          <w:iCs w:val="0"/>
          <w:color w:val="auto"/>
          <w:sz w:val="22"/>
          <w:szCs w:val="22"/>
        </w:rPr>
        <w:t>.</w:t>
      </w:r>
      <w:r w:rsidR="00776DDB">
        <w:rPr>
          <w:rFonts w:asciiTheme="majorHAnsi" w:eastAsiaTheme="majorEastAsia" w:hAnsiTheme="majorHAnsi" w:cstheme="majorBidi"/>
          <w:b/>
          <w:bCs/>
          <w:i w:val="0"/>
          <w:iCs w:val="0"/>
          <w:color w:val="auto"/>
          <w:sz w:val="22"/>
          <w:szCs w:val="22"/>
        </w:rPr>
        <w:t>4</w:t>
      </w:r>
      <w:r w:rsidRPr="004B694B">
        <w:rPr>
          <w:rFonts w:asciiTheme="majorHAnsi" w:eastAsiaTheme="majorEastAsia" w:hAnsiTheme="majorHAnsi" w:cstheme="majorBidi"/>
          <w:b/>
          <w:bCs/>
          <w:i w:val="0"/>
          <w:iCs w:val="0"/>
          <w:color w:val="auto"/>
          <w:sz w:val="22"/>
          <w:szCs w:val="22"/>
        </w:rPr>
        <w:t>: Podíly hrubé přidané hodnoty v sektorech na celkové hrubé přidané hodnotě v NH dle typologie městských a venkovských regionů (NUTS3) v letech 2006–2016 (%).</w:t>
      </w:r>
      <w:bookmarkEnd w:id="86"/>
    </w:p>
    <w:p w14:paraId="53550054" w14:textId="77777777" w:rsidR="00143820" w:rsidRDefault="00143820" w:rsidP="00DD7469">
      <w:pPr>
        <w:ind w:firstLine="0"/>
      </w:pPr>
      <w:r w:rsidRPr="00913E57">
        <w:rPr>
          <w:noProof/>
        </w:rPr>
        <w:drawing>
          <wp:inline distT="0" distB="0" distL="0" distR="0" wp14:anchorId="49586CD3" wp14:editId="6053C7BF">
            <wp:extent cx="5998191" cy="2043884"/>
            <wp:effectExtent l="0" t="0" r="3175"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5996" cy="2046544"/>
                    </a:xfrm>
                    <a:prstGeom prst="rect">
                      <a:avLst/>
                    </a:prstGeom>
                    <a:noFill/>
                    <a:ln>
                      <a:noFill/>
                    </a:ln>
                  </pic:spPr>
                </pic:pic>
              </a:graphicData>
            </a:graphic>
          </wp:inline>
        </w:drawing>
      </w:r>
    </w:p>
    <w:p w14:paraId="7EFA8003" w14:textId="77777777" w:rsidR="00143820" w:rsidRPr="004B694B" w:rsidRDefault="00143820"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Pozn.: Zemědělství, lesnictví a rybářství (CZ-NACE A), průmysl (CZ-NACE B-F) a služby (CZ-NACE G-U)</w:t>
      </w:r>
    </w:p>
    <w:p w14:paraId="6B0DE9B3" w14:textId="77777777" w:rsidR="00143820" w:rsidRPr="004B694B" w:rsidRDefault="00143820"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 ČSÚ (Národní účty)</w:t>
      </w:r>
    </w:p>
    <w:p w14:paraId="0FCB668D" w14:textId="77777777" w:rsidR="001E245D" w:rsidRPr="004B694B" w:rsidRDefault="001E245D"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Zpracování: ÚZEI</w:t>
      </w:r>
    </w:p>
    <w:p w14:paraId="0929DFB4" w14:textId="77777777" w:rsidR="00143820" w:rsidRPr="00AD1392" w:rsidRDefault="00143820" w:rsidP="00DD7469">
      <w:pPr>
        <w:rPr>
          <w:sz w:val="18"/>
          <w:szCs w:val="18"/>
        </w:rPr>
      </w:pPr>
    </w:p>
    <w:p w14:paraId="2677C3E0" w14:textId="77777777" w:rsidR="00143820" w:rsidRPr="00AF156D" w:rsidRDefault="00143820" w:rsidP="00DD7469">
      <w:pPr>
        <w:rPr>
          <w:color w:val="000000" w:themeColor="text1"/>
        </w:rPr>
      </w:pPr>
      <w:r w:rsidRPr="00E0642C">
        <w:t>Podíl hrubé přidané hodnoty v</w:t>
      </w:r>
      <w:r>
        <w:t> </w:t>
      </w:r>
      <w:r w:rsidRPr="00E0642C">
        <w:t>zemědělství</w:t>
      </w:r>
      <w:r>
        <w:t>, lesnictví a rybářství</w:t>
      </w:r>
      <w:r w:rsidRPr="00E0642C">
        <w:t xml:space="preserve"> (CZ-NACE A) na celkové hrubé přidané hodnotě v NH je oproti ostatním sektorům nejnižší ve všech třech regionech dle typologie městských a venkovských regionů (převážně městské v</w:t>
      </w:r>
      <w:r>
        <w:t> </w:t>
      </w:r>
      <w:r w:rsidRPr="00E0642C">
        <w:t>průměru</w:t>
      </w:r>
      <w:r>
        <w:t xml:space="preserve"> let 2006–2016</w:t>
      </w:r>
      <w:r w:rsidRPr="00E0642C">
        <w:t xml:space="preserve"> 1,1 %, převážně venkovské 3,9 % a smíšené 2,3 %). Zároveň je tento podíl ze všech </w:t>
      </w:r>
      <w:r w:rsidRPr="00AF156D">
        <w:rPr>
          <w:color w:val="000000" w:themeColor="text1"/>
        </w:rPr>
        <w:lastRenderedPageBreak/>
        <w:t xml:space="preserve">tří regionů nejvyšší u regionů převážně venkovských – v roce 2016 je tento podíl 3,8 % (Tabulka </w:t>
      </w:r>
      <w:r w:rsidR="0060489F">
        <w:rPr>
          <w:color w:val="000000" w:themeColor="text1"/>
        </w:rPr>
        <w:t>7.</w:t>
      </w:r>
      <w:r w:rsidRPr="00AF156D">
        <w:rPr>
          <w:color w:val="000000" w:themeColor="text1"/>
        </w:rPr>
        <w:t>3.</w:t>
      </w:r>
      <w:r w:rsidR="00776DDB">
        <w:rPr>
          <w:color w:val="000000" w:themeColor="text1"/>
        </w:rPr>
        <w:t>4</w:t>
      </w:r>
      <w:r w:rsidRPr="00AF156D">
        <w:rPr>
          <w:color w:val="000000" w:themeColor="text1"/>
        </w:rPr>
        <w:t>).</w:t>
      </w:r>
    </w:p>
    <w:p w14:paraId="5BA226CA" w14:textId="77777777" w:rsidR="00143820" w:rsidRDefault="00143820" w:rsidP="00DD7469">
      <w:pPr>
        <w:keepNext/>
      </w:pPr>
      <w:r w:rsidRPr="00AF156D">
        <w:rPr>
          <w:color w:val="000000" w:themeColor="text1"/>
        </w:rPr>
        <w:t xml:space="preserve">Dle Souhrnného zemědělského účtu </w:t>
      </w:r>
      <w:r w:rsidR="00EB258C">
        <w:rPr>
          <w:color w:val="000000" w:themeColor="text1"/>
        </w:rPr>
        <w:t xml:space="preserve">(ČSÚ) </w:t>
      </w:r>
      <w:r w:rsidRPr="00AF156D">
        <w:rPr>
          <w:color w:val="000000" w:themeColor="text1"/>
        </w:rPr>
        <w:t xml:space="preserve">lze zjistit vývoj hrubé přidané hodnoty (HPH) v letech 2009-2017. Hrubá přidaná hodnota zde reprezentuje výsledný efekt odvětví zemědělství měřený rozdílem konečné produkce zemědělského odvětví a </w:t>
      </w:r>
      <w:proofErr w:type="spellStart"/>
      <w:r w:rsidRPr="00AF156D">
        <w:rPr>
          <w:color w:val="000000" w:themeColor="text1"/>
        </w:rPr>
        <w:t>mezispotřeby</w:t>
      </w:r>
      <w:proofErr w:type="spellEnd"/>
      <w:r w:rsidRPr="00AF156D">
        <w:rPr>
          <w:color w:val="000000" w:themeColor="text1"/>
        </w:rPr>
        <w:t xml:space="preserve">. Vývoj hrubé přidané hodnoty české ekonomiky mezi rokem 2009 a 2017 byl diferencovaný (Obrázek </w:t>
      </w:r>
      <w:r w:rsidR="0060489F">
        <w:rPr>
          <w:color w:val="000000" w:themeColor="text1"/>
        </w:rPr>
        <w:t>7.</w:t>
      </w:r>
      <w:r w:rsidRPr="00AF156D">
        <w:rPr>
          <w:color w:val="000000" w:themeColor="text1"/>
        </w:rPr>
        <w:t>3.3). Ve stálých cenách roku 2000 HPH střídavě roste a klesá (kromě let 2012</w:t>
      </w:r>
      <w:r>
        <w:t>-2014, kdy HPH pouze rostla).</w:t>
      </w:r>
    </w:p>
    <w:p w14:paraId="76B6F8FC" w14:textId="77777777" w:rsidR="00FB44D0" w:rsidRDefault="00FB44D0">
      <w:pPr>
        <w:spacing w:before="0" w:after="160" w:line="259" w:lineRule="auto"/>
        <w:ind w:firstLine="0"/>
        <w:jc w:val="left"/>
        <w:rPr>
          <w:rFonts w:asciiTheme="majorHAnsi" w:eastAsiaTheme="majorEastAsia" w:hAnsiTheme="majorHAnsi" w:cstheme="majorBidi"/>
          <w:b/>
          <w:bCs/>
          <w:sz w:val="22"/>
          <w:szCs w:val="22"/>
        </w:rPr>
      </w:pPr>
      <w:bookmarkStart w:id="87" w:name="_Toc525727630"/>
      <w:bookmarkStart w:id="88" w:name="_Toc525735917"/>
      <w:bookmarkStart w:id="89" w:name="_Toc525738214"/>
    </w:p>
    <w:p w14:paraId="647AC113" w14:textId="77777777" w:rsidR="00143820" w:rsidRPr="004B694B" w:rsidRDefault="00143820" w:rsidP="004B694B">
      <w:pPr>
        <w:pStyle w:val="Titulek"/>
        <w:spacing w:after="0"/>
        <w:ind w:firstLine="0"/>
        <w:rPr>
          <w:rFonts w:asciiTheme="majorHAnsi" w:eastAsiaTheme="majorEastAsia" w:hAnsiTheme="majorHAnsi" w:cstheme="majorBidi"/>
          <w:b/>
          <w:bCs/>
          <w:i w:val="0"/>
          <w:iCs w:val="0"/>
          <w:color w:val="auto"/>
          <w:sz w:val="22"/>
          <w:szCs w:val="22"/>
        </w:rPr>
      </w:pPr>
      <w:r w:rsidRPr="004B694B">
        <w:rPr>
          <w:rFonts w:asciiTheme="majorHAnsi" w:eastAsiaTheme="majorEastAsia" w:hAnsiTheme="majorHAnsi" w:cstheme="majorBidi"/>
          <w:b/>
          <w:bCs/>
          <w:i w:val="0"/>
          <w:iCs w:val="0"/>
          <w:color w:val="auto"/>
          <w:sz w:val="22"/>
          <w:szCs w:val="22"/>
        </w:rPr>
        <w:t xml:space="preserve">Obrázek </w:t>
      </w:r>
      <w:r w:rsidR="0060489F">
        <w:rPr>
          <w:rFonts w:asciiTheme="majorHAnsi" w:eastAsiaTheme="majorEastAsia" w:hAnsiTheme="majorHAnsi" w:cstheme="majorBidi"/>
          <w:b/>
          <w:bCs/>
          <w:i w:val="0"/>
          <w:iCs w:val="0"/>
          <w:color w:val="auto"/>
          <w:sz w:val="22"/>
          <w:szCs w:val="22"/>
        </w:rPr>
        <w:t>7.</w:t>
      </w:r>
      <w:r w:rsidR="00240E36">
        <w:rPr>
          <w:rFonts w:asciiTheme="majorHAnsi" w:eastAsiaTheme="majorEastAsia" w:hAnsiTheme="majorHAnsi" w:cstheme="majorBidi"/>
          <w:b/>
          <w:bCs/>
          <w:i w:val="0"/>
          <w:iCs w:val="0"/>
          <w:color w:val="auto"/>
          <w:sz w:val="22"/>
          <w:szCs w:val="22"/>
        </w:rPr>
        <w:fldChar w:fldCharType="begin"/>
      </w:r>
      <w:r w:rsidR="00240E36">
        <w:rPr>
          <w:rFonts w:asciiTheme="majorHAnsi" w:eastAsiaTheme="majorEastAsia" w:hAnsiTheme="majorHAnsi" w:cstheme="majorBidi"/>
          <w:b/>
          <w:bCs/>
          <w:i w:val="0"/>
          <w:iCs w:val="0"/>
          <w:color w:val="auto"/>
          <w:sz w:val="22"/>
          <w:szCs w:val="22"/>
        </w:rPr>
        <w:instrText xml:space="preserve"> STYLEREF 1 \s </w:instrText>
      </w:r>
      <w:r w:rsidR="00240E36">
        <w:rPr>
          <w:rFonts w:asciiTheme="majorHAnsi" w:eastAsiaTheme="majorEastAsia" w:hAnsiTheme="majorHAnsi" w:cstheme="majorBidi"/>
          <w:b/>
          <w:bCs/>
          <w:i w:val="0"/>
          <w:iCs w:val="0"/>
          <w:color w:val="auto"/>
          <w:sz w:val="22"/>
          <w:szCs w:val="22"/>
        </w:rPr>
        <w:fldChar w:fldCharType="separate"/>
      </w:r>
      <w:r w:rsidR="00240E36">
        <w:rPr>
          <w:rFonts w:asciiTheme="majorHAnsi" w:eastAsiaTheme="majorEastAsia" w:hAnsiTheme="majorHAnsi" w:cstheme="majorBidi"/>
          <w:b/>
          <w:bCs/>
          <w:i w:val="0"/>
          <w:iCs w:val="0"/>
          <w:noProof/>
          <w:color w:val="auto"/>
          <w:sz w:val="22"/>
          <w:szCs w:val="22"/>
        </w:rPr>
        <w:t>3</w:t>
      </w:r>
      <w:r w:rsidR="00240E36">
        <w:rPr>
          <w:rFonts w:asciiTheme="majorHAnsi" w:eastAsiaTheme="majorEastAsia" w:hAnsiTheme="majorHAnsi" w:cstheme="majorBidi"/>
          <w:b/>
          <w:bCs/>
          <w:i w:val="0"/>
          <w:iCs w:val="0"/>
          <w:color w:val="auto"/>
          <w:sz w:val="22"/>
          <w:szCs w:val="22"/>
        </w:rPr>
        <w:fldChar w:fldCharType="end"/>
      </w:r>
      <w:r w:rsidR="00240E36">
        <w:rPr>
          <w:rFonts w:asciiTheme="majorHAnsi" w:eastAsiaTheme="majorEastAsia" w:hAnsiTheme="majorHAnsi" w:cstheme="majorBidi"/>
          <w:b/>
          <w:bCs/>
          <w:i w:val="0"/>
          <w:iCs w:val="0"/>
          <w:color w:val="auto"/>
          <w:sz w:val="22"/>
          <w:szCs w:val="22"/>
        </w:rPr>
        <w:t>.</w:t>
      </w:r>
      <w:r w:rsidR="00EB5B81">
        <w:rPr>
          <w:rFonts w:asciiTheme="majorHAnsi" w:eastAsiaTheme="majorEastAsia" w:hAnsiTheme="majorHAnsi" w:cstheme="majorBidi"/>
          <w:b/>
          <w:bCs/>
          <w:i w:val="0"/>
          <w:iCs w:val="0"/>
          <w:color w:val="auto"/>
          <w:sz w:val="22"/>
          <w:szCs w:val="22"/>
        </w:rPr>
        <w:fldChar w:fldCharType="begin"/>
      </w:r>
      <w:r w:rsidR="00EB5B81">
        <w:rPr>
          <w:rFonts w:asciiTheme="majorHAnsi" w:eastAsiaTheme="majorEastAsia" w:hAnsiTheme="majorHAnsi" w:cstheme="majorBidi"/>
          <w:b/>
          <w:bCs/>
          <w:i w:val="0"/>
          <w:iCs w:val="0"/>
          <w:color w:val="auto"/>
          <w:sz w:val="22"/>
          <w:szCs w:val="22"/>
        </w:rPr>
        <w:instrText xml:space="preserve"> SEQ Obrázek \* ARABIC \s 1 </w:instrText>
      </w:r>
      <w:r w:rsidR="00EB5B81">
        <w:rPr>
          <w:rFonts w:asciiTheme="majorHAnsi" w:eastAsiaTheme="majorEastAsia" w:hAnsiTheme="majorHAnsi" w:cstheme="majorBidi"/>
          <w:b/>
          <w:bCs/>
          <w:i w:val="0"/>
          <w:iCs w:val="0"/>
          <w:color w:val="auto"/>
          <w:sz w:val="22"/>
          <w:szCs w:val="22"/>
        </w:rPr>
        <w:fldChar w:fldCharType="separate"/>
      </w:r>
      <w:r w:rsidR="00EB5B81">
        <w:rPr>
          <w:rFonts w:asciiTheme="majorHAnsi" w:eastAsiaTheme="majorEastAsia" w:hAnsiTheme="majorHAnsi" w:cstheme="majorBidi"/>
          <w:b/>
          <w:bCs/>
          <w:i w:val="0"/>
          <w:iCs w:val="0"/>
          <w:noProof/>
          <w:color w:val="auto"/>
          <w:sz w:val="22"/>
          <w:szCs w:val="22"/>
        </w:rPr>
        <w:t>3</w:t>
      </w:r>
      <w:r w:rsidR="00EB5B81">
        <w:rPr>
          <w:rFonts w:asciiTheme="majorHAnsi" w:eastAsiaTheme="majorEastAsia" w:hAnsiTheme="majorHAnsi" w:cstheme="majorBidi"/>
          <w:b/>
          <w:bCs/>
          <w:i w:val="0"/>
          <w:iCs w:val="0"/>
          <w:color w:val="auto"/>
          <w:sz w:val="22"/>
          <w:szCs w:val="22"/>
        </w:rPr>
        <w:fldChar w:fldCharType="end"/>
      </w:r>
      <w:r w:rsidRPr="004B694B">
        <w:rPr>
          <w:rFonts w:asciiTheme="majorHAnsi" w:eastAsiaTheme="majorEastAsia" w:hAnsiTheme="majorHAnsi" w:cstheme="majorBidi"/>
          <w:b/>
          <w:bCs/>
          <w:i w:val="0"/>
          <w:iCs w:val="0"/>
          <w:color w:val="auto"/>
          <w:sz w:val="22"/>
          <w:szCs w:val="22"/>
        </w:rPr>
        <w:t>: Vývoj HPH – zemědělství (CZ-NACE 01)</w:t>
      </w:r>
      <w:bookmarkEnd w:id="87"/>
      <w:bookmarkEnd w:id="88"/>
      <w:bookmarkEnd w:id="89"/>
    </w:p>
    <w:p w14:paraId="544DD489" w14:textId="77777777" w:rsidR="00143820" w:rsidRDefault="00143820" w:rsidP="00DD7469">
      <w:pPr>
        <w:keepNext/>
        <w:spacing w:line="276" w:lineRule="auto"/>
        <w:ind w:firstLine="0"/>
      </w:pPr>
      <w:r>
        <w:rPr>
          <w:noProof/>
        </w:rPr>
        <w:drawing>
          <wp:inline distT="0" distB="0" distL="0" distR="0" wp14:anchorId="0922D636" wp14:editId="188097B5">
            <wp:extent cx="4572000" cy="2743200"/>
            <wp:effectExtent l="0" t="0" r="0" b="0"/>
            <wp:docPr id="37" name="Graf 37">
              <a:extLst xmlns:a="http://schemas.openxmlformats.org/drawingml/2006/main">
                <a:ext uri="{FF2B5EF4-FFF2-40B4-BE49-F238E27FC236}">
                  <a16:creationId xmlns:a16="http://schemas.microsoft.com/office/drawing/2014/main" id="{97F70CF6-B8E8-4C99-A762-00048ED854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8DF756B" w14:textId="77777777" w:rsidR="00143820" w:rsidRPr="004B694B" w:rsidRDefault="00143820" w:rsidP="004B694B">
      <w:pPr>
        <w:pStyle w:val="Titulek"/>
        <w:spacing w:after="0"/>
        <w:ind w:firstLine="0"/>
        <w:rPr>
          <w:rFonts w:asciiTheme="majorHAnsi" w:eastAsiaTheme="majorEastAsia" w:hAnsiTheme="majorHAnsi" w:cstheme="majorBidi"/>
          <w:color w:val="auto"/>
        </w:rPr>
      </w:pPr>
      <w:r w:rsidRPr="004B694B">
        <w:rPr>
          <w:rFonts w:asciiTheme="majorHAnsi" w:eastAsiaTheme="majorEastAsia" w:hAnsiTheme="majorHAnsi" w:cstheme="majorBidi"/>
          <w:color w:val="auto"/>
        </w:rPr>
        <w:t>Zdroj: ČSÚ (Souhrnný zemědělský účet)</w:t>
      </w:r>
    </w:p>
    <w:p w14:paraId="3FA8680E" w14:textId="77777777" w:rsidR="00143820" w:rsidRDefault="00143820" w:rsidP="00DD7469">
      <w:pPr>
        <w:rPr>
          <w:rFonts w:ascii="Arial" w:hAnsi="Arial" w:cs="Arial"/>
          <w:b/>
          <w:i/>
          <w:sz w:val="20"/>
        </w:rPr>
      </w:pPr>
    </w:p>
    <w:p w14:paraId="3AACC74A" w14:textId="77777777" w:rsidR="00143820" w:rsidRDefault="00143820" w:rsidP="00DD7469">
      <w:pPr>
        <w:ind w:firstLine="708"/>
      </w:pPr>
      <w:r w:rsidRPr="0058085E">
        <w:t xml:space="preserve">Úhrn hrubé přidané hodnoty (HPH) za celou ČR dle regionálně členěných údajů ČSÚ dosáhl za rok 2016 hodnoty 4 292,4 mld. Kč (při meziročním nárůstu o 3,8 %; jeho </w:t>
      </w:r>
      <w:r>
        <w:t>tempo meziročně zpomalilo o </w:t>
      </w:r>
      <w:r w:rsidRPr="0058085E">
        <w:t xml:space="preserve">více než 2 p. b.), z toho v převážně venkovských regionech 1 175,6 mld. Kč (meziroční nárůst o 3,8 %) a v přechodných regionech 1 546,9 mld. Kč (meziroční nárůst o 5,9 %). Převážně venkovské regiony se svým úhrnným relativním nárůstem neodlišovaly od celorepublikově dosaženého meziročního nárůstu (přičemž však za průměrem výrazně zaostal kraj Pardubický), nejvyššího objemu HPH dosáhl mezi nimi kraj Plzeňský před krajem Jihočeským (situace opět shodná s předchozím rokem). Meziroční pokles HPH zaznamenal jeden kraj, a to Ústecký (patřící mezi přechodné regiony). Podíl jednotlivých sektorů na tvorbě HPH se při porovnání převážně venkovských a přechodných regionů příliš neodlišoval. V obou skupinách minimálně polovinu tvoří služby (50,2 %, resp. 53,8 %) a významný podíl si uchovává průmysl včetně stavebnictví (46,0 %, resp. 43,6 %). Obecně nízký podíl zemědělství (včetně lesnictví a rybářství) v ČR byl pak jednoznačně vyšší v převážně venkovských (3,8 %) než v přechodných regionech (2,6 %), přičemž však </w:t>
      </w:r>
      <w:r w:rsidRPr="0058085E">
        <w:lastRenderedPageBreak/>
        <w:t>meziročně oslabil pouze v převážně venkovských regionech (o 0,3 p. b.). Nejnižšího podílu pak dosahuje zemědělství v převážně městských regionech (1,3 %), kde naopak služby tvoří již téměř tři čtvrtiny HPH; meziročně však zde jejich podíl neposílil, naproti tomu nejvýrazněji vzrostl právě v převážně venkovských regionech (především na úkor již zmíněného zemědělství).</w:t>
      </w:r>
    </w:p>
    <w:p w14:paraId="1166326F" w14:textId="77777777" w:rsidR="00143820" w:rsidRPr="0058085E" w:rsidRDefault="00143820" w:rsidP="00DD7469">
      <w:pPr>
        <w:ind w:firstLine="708"/>
      </w:pPr>
      <w:r w:rsidRPr="0058085E">
        <w:t>Podíly jednotlivých sektorů na celkové tvorbě HPH a na zaměstnanosti se v hodnocených typech regionů více či méně přibližují a ve své kombinaci tak ještě silněji dokumentují vzájemné rozdíly z hlediska jejich odvětvových struktur. V ekonomice převážně venkovských i přechodných regionů si dosud uchovává velmi silnou pozici průmysl včetně stavebnictví. Zemědělství má v regionech ČR obecně velmi slabou pozici (neporovnatelnou s průmyslem či službami i některými zeměmi EU), nicméně přece jen si ještě nezanedbatelný význam udržuje především v převážně venkovských, případně některých přechodných regionech. Důležité je, že na samotné zemědělské výrobě je dále závislá významná část průmyslu a služeb na vstupu a výstupu ze sektoru. Pro převážně městské regiony je pak typická výrazná dominance služeb.</w:t>
      </w:r>
    </w:p>
    <w:p w14:paraId="18A989EB" w14:textId="77777777" w:rsidR="00143820" w:rsidRDefault="00143820" w:rsidP="00143820"/>
    <w:p w14:paraId="3B1CBBB0" w14:textId="77777777" w:rsidR="00143820" w:rsidRPr="004B694B" w:rsidRDefault="00143820">
      <w:pPr>
        <w:ind w:firstLine="0"/>
        <w:rPr>
          <w:rFonts w:asciiTheme="majorHAnsi" w:eastAsiaTheme="majorEastAsia" w:hAnsiTheme="majorHAnsi" w:cstheme="majorBidi"/>
          <w:b/>
          <w:bCs/>
        </w:rPr>
      </w:pPr>
      <w:r w:rsidRPr="004B694B">
        <w:rPr>
          <w:rFonts w:asciiTheme="majorHAnsi" w:eastAsiaTheme="majorEastAsia" w:hAnsiTheme="majorHAnsi" w:cstheme="majorBidi"/>
          <w:b/>
          <w:bCs/>
        </w:rPr>
        <w:t>Mikropodniky</w:t>
      </w:r>
    </w:p>
    <w:p w14:paraId="58591512" w14:textId="77777777" w:rsidR="00143820" w:rsidRPr="00C568A8" w:rsidRDefault="00143820" w:rsidP="00DD7469">
      <w:r w:rsidRPr="00210FD7">
        <w:t xml:space="preserve">Problémem venkova </w:t>
      </w:r>
      <w:r w:rsidR="00EB258C">
        <w:t>není</w:t>
      </w:r>
      <w:r w:rsidRPr="00210FD7">
        <w:t xml:space="preserve"> jen zachování zemědělství, ale také stabilizace obyvatelstva na venkově. Podíl pracovníků v zemědělském sektoru nebyl dostatečně stabilizujícím faktorem venkovského osídlení. Z tohoto důvodu byla nutná změna hospodářské struktury venkova a vytvoření atraktivního prostředí pro bydlení a podnikání, včetně podmínek pro malé podnikatele, tj. podpořit tvorbu nových pracovních míst diverzifikací činností mimo zemědělství a zlepšit kvalitu života ve venkovských oblastech. Bariérou pro zakládání mikropodniků na venkově zůstávala obava z podnikatelského rizika a nedostatek vstupního kapitálu.</w:t>
      </w:r>
    </w:p>
    <w:p w14:paraId="6C8A2DFA" w14:textId="77777777" w:rsidR="00143820" w:rsidRPr="00E24474" w:rsidRDefault="00143820">
      <w:pPr>
        <w:rPr>
          <w:rFonts w:eastAsiaTheme="minorEastAsia"/>
        </w:rPr>
      </w:pPr>
      <w:r w:rsidRPr="00E24474">
        <w:rPr>
          <w:rFonts w:eastAsiaTheme="minorEastAsia"/>
        </w:rPr>
        <w:t>K 31. 12. 2016 bylo v ČR registrováno dle údajů ČSÚ celkem 2 807 532 podnikatelských subjektů, přičemž jich meziročně přibylo necelých 39 tisíc (obdobně jako v předchozích dvou letech). Posílila drtivá většina jednotlivých odvětví (včetně zemědělství), výraznější úbytek se i tentokrát projevil v peněžnictví a pojišťovnictví (byl zaznamenán i v předchozích dvou letech), dále pak ve zdravotní a sociální péči. Situace v organizační struktuře národního hospodářství meziročně doznala jen minimálních změn (což je ovlivněno mj. významně i tím, že v registru setrvává značný počet podniků, jež ve své činnosti již ve skutečnosti nepokračují) – podle velikosti subjektů nadále dominovaly podniky bez zaměstnanců (89,7 %) následované mikropodniky s podílem 8,3 % na celkovém počtu podniků. Z odvětví (klasifikace CZ NACE) byl nejvíce zastoupen velkoobchod a maloobchod; opravy a údržba motorových vozidel (22,7</w:t>
      </w:r>
      <w:r w:rsidR="004F675C" w:rsidRPr="00E24474">
        <w:rPr>
          <w:rFonts w:eastAsiaTheme="minorEastAsia"/>
        </w:rPr>
        <w:t> </w:t>
      </w:r>
      <w:r w:rsidRPr="00E24474">
        <w:rPr>
          <w:rFonts w:eastAsiaTheme="minorEastAsia"/>
        </w:rPr>
        <w:t>%), dále profesní, vědecké a technické činnosti (12,5 %), průmysl (11,8 %) a stavebnictví (11,4</w:t>
      </w:r>
      <w:r w:rsidR="004F675C" w:rsidRPr="00E24474">
        <w:rPr>
          <w:rFonts w:eastAsiaTheme="minorEastAsia"/>
        </w:rPr>
        <w:t> </w:t>
      </w:r>
      <w:r w:rsidRPr="00E24474">
        <w:rPr>
          <w:rFonts w:eastAsiaTheme="minorEastAsia"/>
        </w:rPr>
        <w:t>%).</w:t>
      </w:r>
      <w:r w:rsidRPr="00E24474">
        <w:tab/>
      </w:r>
    </w:p>
    <w:p w14:paraId="0C12B2E1" w14:textId="77777777" w:rsidR="00143820" w:rsidRPr="00E24474" w:rsidRDefault="00143820">
      <w:pPr>
        <w:ind w:firstLine="708"/>
        <w:rPr>
          <w:rFonts w:eastAsiaTheme="minorEastAsia"/>
        </w:rPr>
      </w:pPr>
      <w:r w:rsidRPr="00E24474">
        <w:rPr>
          <w:rFonts w:eastAsiaTheme="minorEastAsia"/>
        </w:rPr>
        <w:lastRenderedPageBreak/>
        <w:t>V průměrech za jednotlivé typy regionů rozdělených dle jejich venkovskosti (typologie EU) se struktura podniků podle počtu zaměstnanců výrazně neliší, přičemž nejmenší rozdíly jsou mezi převážně venkovskými a přechodnými regiony (v obou skupinách činí podíl podniků bez zaměstnanců zhruba 90–90,5 %, mikropodniků 7,5–8 %, malých podniků kolem 1,5 % a podniků s 50 a více zaměstnanci zhruba 0,5 %). Převážně městské regiony se pak od výše uvedených odlišují ve dvou kategoriích; vykazují poněkud nižší podíl podniků bez zaměstnanců (88,7 %), a na druhé straně vyšší podíl mikropodniků (9,3 %). Meziročně nedošlo rámcově ke změně, mírně posílila kategorie mikropodniků na úkor podniků bez zaměstnanců.</w:t>
      </w:r>
    </w:p>
    <w:p w14:paraId="44651A4F" w14:textId="77777777" w:rsidR="00143820" w:rsidRPr="00E24474" w:rsidRDefault="00143820">
      <w:pPr>
        <w:ind w:firstLine="708"/>
        <w:rPr>
          <w:rFonts w:eastAsiaTheme="minorEastAsia"/>
        </w:rPr>
      </w:pPr>
      <w:r w:rsidRPr="00E24474">
        <w:rPr>
          <w:rFonts w:eastAsiaTheme="minorEastAsia"/>
        </w:rPr>
        <w:t>Charakteristické odlišnosti mezi jednotlivými typy regionů vykazuje odvětvová struktura podniků. Podíl zemědělských podniků (včetně lesnických a rybářských) je dle očekávání nejvyšší v regionech převážně venkovských (6,3 %) a nejnižší (méně než poloviční) pak v převážně městských (2,6 %). Obdobně je tomu v případě zastoupení průmyslových i stavebních podniků (zde při malých rozdílech mezi převážně venkovskými a přechodnými regiony). Opačně je tomu pak u všeobecně početně nejvýznamnějšího odvětví služeb, tj. velkoobchodu a maloobchodu (zahrnujícího i opravy motorových vozidel), jež jsou nejvíce rozvinuté v regionech převážně městských, nejméně v převážně venkovských. Uvedené charakteristiky platí jak pro podniky celkem, tak pro mikropodniky (v nich podíl zmíněného obchodu dosáhl v převážně venkovských oblastech 19,0 %, v přechodných 20,6 %, v převážně městských pak 26,7 %). Méně početné, avšak z hlediska zaměstnávání velmi významné podniky vyšších velikostních kategorií vykazují zcela odlišnou odvětvovou strukturu – mezi nimi zaujímá nejvyšší podíl průmysl, jenž má dokonce ve skupině největších podniků (250 a více zaměstnanců) nadpoloviční zastoupení v převážně venkovských i přechodných regionech (naproti tomu jejich podíl v převážně městských regionech činil necelých 25 %).</w:t>
      </w:r>
    </w:p>
    <w:p w14:paraId="75AF27DB" w14:textId="77777777" w:rsidR="00143820" w:rsidRPr="00E24474" w:rsidRDefault="00143820" w:rsidP="00143820">
      <w:pPr>
        <w:spacing w:line="276" w:lineRule="auto"/>
        <w:ind w:firstLine="708"/>
      </w:pPr>
    </w:p>
    <w:p w14:paraId="5B98F09F" w14:textId="77777777" w:rsidR="00143820" w:rsidRPr="004B694B" w:rsidRDefault="00143820" w:rsidP="004B694B">
      <w:pPr>
        <w:pStyle w:val="Titulek"/>
        <w:keepNext/>
        <w:spacing w:after="0"/>
        <w:ind w:firstLine="0"/>
        <w:rPr>
          <w:rFonts w:asciiTheme="majorHAnsi" w:eastAsiaTheme="majorEastAsia" w:hAnsiTheme="majorHAnsi" w:cstheme="majorBidi"/>
          <w:b/>
          <w:bCs/>
          <w:i w:val="0"/>
          <w:iCs w:val="0"/>
          <w:color w:val="auto"/>
          <w:sz w:val="22"/>
          <w:szCs w:val="22"/>
        </w:rPr>
      </w:pPr>
      <w:bookmarkStart w:id="90" w:name="_Toc522869011"/>
      <w:r w:rsidRPr="004B694B">
        <w:rPr>
          <w:rFonts w:asciiTheme="majorHAnsi" w:eastAsiaTheme="majorEastAsia" w:hAnsiTheme="majorHAnsi" w:cstheme="majorBidi"/>
          <w:b/>
          <w:bCs/>
          <w:i w:val="0"/>
          <w:iCs w:val="0"/>
          <w:color w:val="auto"/>
          <w:sz w:val="22"/>
          <w:szCs w:val="22"/>
        </w:rPr>
        <w:t xml:space="preserve">Tabulka </w:t>
      </w:r>
      <w:r w:rsidR="005208F1">
        <w:rPr>
          <w:rFonts w:asciiTheme="majorHAnsi" w:eastAsiaTheme="majorEastAsia" w:hAnsiTheme="majorHAnsi" w:cstheme="majorBidi"/>
          <w:b/>
          <w:bCs/>
          <w:i w:val="0"/>
          <w:iCs w:val="0"/>
          <w:color w:val="auto"/>
          <w:sz w:val="22"/>
          <w:szCs w:val="22"/>
        </w:rPr>
        <w:t>7.</w:t>
      </w:r>
      <w:r w:rsidR="00E34D45">
        <w:rPr>
          <w:rFonts w:asciiTheme="majorHAnsi" w:eastAsiaTheme="majorEastAsia" w:hAnsiTheme="majorHAnsi" w:cstheme="majorBidi"/>
          <w:b/>
          <w:bCs/>
          <w:i w:val="0"/>
          <w:iCs w:val="0"/>
          <w:color w:val="auto"/>
          <w:sz w:val="22"/>
          <w:szCs w:val="22"/>
        </w:rPr>
        <w:fldChar w:fldCharType="begin"/>
      </w:r>
      <w:r w:rsidR="00E34D45">
        <w:rPr>
          <w:rFonts w:asciiTheme="majorHAnsi" w:eastAsiaTheme="majorEastAsia" w:hAnsiTheme="majorHAnsi" w:cstheme="majorBidi"/>
          <w:b/>
          <w:bCs/>
          <w:i w:val="0"/>
          <w:iCs w:val="0"/>
          <w:color w:val="auto"/>
          <w:sz w:val="22"/>
          <w:szCs w:val="22"/>
        </w:rPr>
        <w:instrText xml:space="preserve"> STYLEREF 1 \s </w:instrText>
      </w:r>
      <w:r w:rsidR="00E34D45">
        <w:rPr>
          <w:rFonts w:asciiTheme="majorHAnsi" w:eastAsiaTheme="majorEastAsia" w:hAnsiTheme="majorHAnsi" w:cstheme="majorBidi"/>
          <w:b/>
          <w:bCs/>
          <w:i w:val="0"/>
          <w:iCs w:val="0"/>
          <w:color w:val="auto"/>
          <w:sz w:val="22"/>
          <w:szCs w:val="22"/>
        </w:rPr>
        <w:fldChar w:fldCharType="separate"/>
      </w:r>
      <w:r w:rsidR="00E34D45">
        <w:rPr>
          <w:rFonts w:asciiTheme="majorHAnsi" w:eastAsiaTheme="majorEastAsia" w:hAnsiTheme="majorHAnsi" w:cstheme="majorBidi"/>
          <w:b/>
          <w:bCs/>
          <w:i w:val="0"/>
          <w:iCs w:val="0"/>
          <w:noProof/>
          <w:color w:val="auto"/>
          <w:sz w:val="22"/>
          <w:szCs w:val="22"/>
        </w:rPr>
        <w:t>3</w:t>
      </w:r>
      <w:r w:rsidR="00E34D45">
        <w:rPr>
          <w:rFonts w:asciiTheme="majorHAnsi" w:eastAsiaTheme="majorEastAsia" w:hAnsiTheme="majorHAnsi" w:cstheme="majorBidi"/>
          <w:b/>
          <w:bCs/>
          <w:i w:val="0"/>
          <w:iCs w:val="0"/>
          <w:color w:val="auto"/>
          <w:sz w:val="22"/>
          <w:szCs w:val="22"/>
        </w:rPr>
        <w:fldChar w:fldCharType="end"/>
      </w:r>
      <w:r w:rsidR="00E34D45">
        <w:rPr>
          <w:rFonts w:asciiTheme="majorHAnsi" w:eastAsiaTheme="majorEastAsia" w:hAnsiTheme="majorHAnsi" w:cstheme="majorBidi"/>
          <w:b/>
          <w:bCs/>
          <w:i w:val="0"/>
          <w:iCs w:val="0"/>
          <w:color w:val="auto"/>
          <w:sz w:val="22"/>
          <w:szCs w:val="22"/>
        </w:rPr>
        <w:t>.</w:t>
      </w:r>
      <w:r w:rsidR="00776DDB">
        <w:rPr>
          <w:rFonts w:asciiTheme="majorHAnsi" w:eastAsiaTheme="majorEastAsia" w:hAnsiTheme="majorHAnsi" w:cstheme="majorBidi"/>
          <w:b/>
          <w:bCs/>
          <w:i w:val="0"/>
          <w:iCs w:val="0"/>
          <w:color w:val="auto"/>
          <w:sz w:val="22"/>
          <w:szCs w:val="22"/>
        </w:rPr>
        <w:t>5</w:t>
      </w:r>
      <w:r w:rsidRPr="004B694B">
        <w:rPr>
          <w:rFonts w:asciiTheme="majorHAnsi" w:eastAsiaTheme="majorEastAsia" w:hAnsiTheme="majorHAnsi" w:cstheme="majorBidi"/>
          <w:b/>
          <w:bCs/>
          <w:i w:val="0"/>
          <w:iCs w:val="0"/>
          <w:color w:val="auto"/>
          <w:sz w:val="22"/>
          <w:szCs w:val="22"/>
        </w:rPr>
        <w:t>: Počet mikropodniků na 1 000 obyv. v krajích ČR k 31. 12. 2016</w:t>
      </w:r>
      <w:bookmarkEnd w:id="90"/>
    </w:p>
    <w:p w14:paraId="1553EB8A" w14:textId="77777777" w:rsidR="00143820" w:rsidRDefault="00143820" w:rsidP="00DD7469">
      <w:pPr>
        <w:keepNext/>
        <w:spacing w:line="276" w:lineRule="auto"/>
        <w:ind w:firstLine="0"/>
      </w:pPr>
      <w:r w:rsidRPr="00657B58">
        <w:rPr>
          <w:noProof/>
        </w:rPr>
        <w:drawing>
          <wp:inline distT="0" distB="0" distL="0" distR="0" wp14:anchorId="1848B62D" wp14:editId="38819166">
            <wp:extent cx="5760720" cy="2186799"/>
            <wp:effectExtent l="0" t="0" r="0" b="444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186799"/>
                    </a:xfrm>
                    <a:prstGeom prst="rect">
                      <a:avLst/>
                    </a:prstGeom>
                    <a:noFill/>
                    <a:ln>
                      <a:noFill/>
                    </a:ln>
                  </pic:spPr>
                </pic:pic>
              </a:graphicData>
            </a:graphic>
          </wp:inline>
        </w:drawing>
      </w:r>
    </w:p>
    <w:p w14:paraId="4F7FD690" w14:textId="77777777" w:rsidR="00143820" w:rsidRPr="004B694B" w:rsidRDefault="00143820" w:rsidP="005208F1">
      <w:pPr>
        <w:keepNext/>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Pozn.: 1) EU klasifikace: PR = převážně venkovský region; IN = přechodný region; PU = převážně městský region</w:t>
      </w:r>
    </w:p>
    <w:p w14:paraId="76572C73" w14:textId="77777777" w:rsidR="00143820" w:rsidRPr="004B694B" w:rsidRDefault="00143820" w:rsidP="005208F1">
      <w:pPr>
        <w:keepNext/>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 Statistické ročenky krajů 2017, ČSÚ 2017</w:t>
      </w:r>
    </w:p>
    <w:p w14:paraId="09512554" w14:textId="77777777" w:rsidR="00143820" w:rsidRDefault="00143820" w:rsidP="00DD7469">
      <w:pPr>
        <w:rPr>
          <w:rFonts w:ascii="Arial" w:hAnsi="Arial" w:cs="Arial"/>
          <w:b/>
          <w:i/>
          <w:sz w:val="20"/>
        </w:rPr>
      </w:pPr>
    </w:p>
    <w:p w14:paraId="0911AA36" w14:textId="77777777" w:rsidR="00143820" w:rsidRDefault="00143820">
      <w:pPr>
        <w:rPr>
          <w:rFonts w:eastAsiaTheme="minorEastAsia"/>
        </w:rPr>
      </w:pPr>
      <w:r w:rsidRPr="00E24474">
        <w:rPr>
          <w:rFonts w:eastAsiaTheme="minorEastAsia"/>
        </w:rPr>
        <w:lastRenderedPageBreak/>
        <w:t>Malé soukromé podniky a mikropodniky tvoří na venkově významnou příležitost pro podnikání a zaměstnávání lidí a zároveň představují významný inovační potenciál. Proto na jejich podporu byla v rámci PRV na období 2007–2013 zaměřena opatření spadající pod první prioritu osy III (tvorba pracovních příležitostí a podpora využívání obnovitelných zdrojů energie). Jejím cílem bylo vytvoření pracovních míst a zajištění vyšší příjmové úrovně obyvatel venkova rozvojem a diverzifikací aktivit na venkově a podporou venkovské turistiky a dále zajištění naplnění závazků ČR v oblasti využití obnovitelných zdrojů energie.</w:t>
      </w:r>
    </w:p>
    <w:p w14:paraId="05BB90EB" w14:textId="77777777" w:rsidR="005208F1" w:rsidRPr="00E24474" w:rsidRDefault="005208F1">
      <w:pPr>
        <w:rPr>
          <w:rFonts w:eastAsiaTheme="minorEastAsia"/>
        </w:rPr>
      </w:pPr>
    </w:p>
    <w:p w14:paraId="07B33CCC" w14:textId="77777777" w:rsidR="00143820" w:rsidRPr="004B694B" w:rsidRDefault="00143820" w:rsidP="004B694B">
      <w:pPr>
        <w:pStyle w:val="Titulek"/>
        <w:keepNext/>
        <w:spacing w:after="0"/>
        <w:ind w:firstLine="0"/>
        <w:rPr>
          <w:rFonts w:asciiTheme="majorHAnsi" w:eastAsiaTheme="majorEastAsia" w:hAnsiTheme="majorHAnsi" w:cstheme="majorBidi"/>
          <w:b/>
          <w:bCs/>
          <w:i w:val="0"/>
          <w:iCs w:val="0"/>
          <w:color w:val="auto"/>
          <w:sz w:val="22"/>
          <w:szCs w:val="22"/>
        </w:rPr>
      </w:pPr>
      <w:bookmarkStart w:id="91" w:name="_Toc525727631"/>
      <w:bookmarkStart w:id="92" w:name="_Toc525735918"/>
      <w:bookmarkStart w:id="93" w:name="_Toc525738215"/>
      <w:r w:rsidRPr="004B694B">
        <w:rPr>
          <w:rFonts w:asciiTheme="majorHAnsi" w:eastAsiaTheme="majorEastAsia" w:hAnsiTheme="majorHAnsi" w:cstheme="majorBidi"/>
          <w:b/>
          <w:bCs/>
          <w:i w:val="0"/>
          <w:iCs w:val="0"/>
          <w:color w:val="auto"/>
          <w:sz w:val="22"/>
          <w:szCs w:val="22"/>
        </w:rPr>
        <w:t xml:space="preserve">Obrázek </w:t>
      </w:r>
      <w:r w:rsidR="005208F1">
        <w:rPr>
          <w:rFonts w:asciiTheme="majorHAnsi" w:eastAsiaTheme="majorEastAsia" w:hAnsiTheme="majorHAnsi" w:cstheme="majorBidi"/>
          <w:b/>
          <w:bCs/>
          <w:i w:val="0"/>
          <w:iCs w:val="0"/>
          <w:color w:val="auto"/>
          <w:sz w:val="22"/>
          <w:szCs w:val="22"/>
        </w:rPr>
        <w:t>7.</w:t>
      </w:r>
      <w:r w:rsidR="00240E36">
        <w:rPr>
          <w:rFonts w:asciiTheme="majorHAnsi" w:eastAsiaTheme="majorEastAsia" w:hAnsiTheme="majorHAnsi" w:cstheme="majorBidi"/>
          <w:b/>
          <w:bCs/>
          <w:i w:val="0"/>
          <w:iCs w:val="0"/>
          <w:color w:val="auto"/>
          <w:sz w:val="22"/>
          <w:szCs w:val="22"/>
        </w:rPr>
        <w:fldChar w:fldCharType="begin"/>
      </w:r>
      <w:r w:rsidR="00240E36">
        <w:rPr>
          <w:rFonts w:asciiTheme="majorHAnsi" w:eastAsiaTheme="majorEastAsia" w:hAnsiTheme="majorHAnsi" w:cstheme="majorBidi"/>
          <w:b/>
          <w:bCs/>
          <w:i w:val="0"/>
          <w:iCs w:val="0"/>
          <w:color w:val="auto"/>
          <w:sz w:val="22"/>
          <w:szCs w:val="22"/>
        </w:rPr>
        <w:instrText xml:space="preserve"> STYLEREF 1 \s </w:instrText>
      </w:r>
      <w:r w:rsidR="00240E36">
        <w:rPr>
          <w:rFonts w:asciiTheme="majorHAnsi" w:eastAsiaTheme="majorEastAsia" w:hAnsiTheme="majorHAnsi" w:cstheme="majorBidi"/>
          <w:b/>
          <w:bCs/>
          <w:i w:val="0"/>
          <w:iCs w:val="0"/>
          <w:color w:val="auto"/>
          <w:sz w:val="22"/>
          <w:szCs w:val="22"/>
        </w:rPr>
        <w:fldChar w:fldCharType="separate"/>
      </w:r>
      <w:r w:rsidR="00240E36">
        <w:rPr>
          <w:rFonts w:asciiTheme="majorHAnsi" w:eastAsiaTheme="majorEastAsia" w:hAnsiTheme="majorHAnsi" w:cstheme="majorBidi"/>
          <w:b/>
          <w:bCs/>
          <w:i w:val="0"/>
          <w:iCs w:val="0"/>
          <w:noProof/>
          <w:color w:val="auto"/>
          <w:sz w:val="22"/>
          <w:szCs w:val="22"/>
        </w:rPr>
        <w:t>3</w:t>
      </w:r>
      <w:r w:rsidR="00240E36">
        <w:rPr>
          <w:rFonts w:asciiTheme="majorHAnsi" w:eastAsiaTheme="majorEastAsia" w:hAnsiTheme="majorHAnsi" w:cstheme="majorBidi"/>
          <w:b/>
          <w:bCs/>
          <w:i w:val="0"/>
          <w:iCs w:val="0"/>
          <w:color w:val="auto"/>
          <w:sz w:val="22"/>
          <w:szCs w:val="22"/>
        </w:rPr>
        <w:fldChar w:fldCharType="end"/>
      </w:r>
      <w:r w:rsidR="00240E36">
        <w:rPr>
          <w:rFonts w:asciiTheme="majorHAnsi" w:eastAsiaTheme="majorEastAsia" w:hAnsiTheme="majorHAnsi" w:cstheme="majorBidi"/>
          <w:b/>
          <w:bCs/>
          <w:i w:val="0"/>
          <w:iCs w:val="0"/>
          <w:color w:val="auto"/>
          <w:sz w:val="22"/>
          <w:szCs w:val="22"/>
        </w:rPr>
        <w:t>.</w:t>
      </w:r>
      <w:r w:rsidR="00EB5B81">
        <w:rPr>
          <w:rFonts w:asciiTheme="majorHAnsi" w:eastAsiaTheme="majorEastAsia" w:hAnsiTheme="majorHAnsi" w:cstheme="majorBidi"/>
          <w:b/>
          <w:bCs/>
          <w:i w:val="0"/>
          <w:iCs w:val="0"/>
          <w:color w:val="auto"/>
          <w:sz w:val="22"/>
          <w:szCs w:val="22"/>
        </w:rPr>
        <w:fldChar w:fldCharType="begin"/>
      </w:r>
      <w:r w:rsidR="00EB5B81">
        <w:rPr>
          <w:rFonts w:asciiTheme="majorHAnsi" w:eastAsiaTheme="majorEastAsia" w:hAnsiTheme="majorHAnsi" w:cstheme="majorBidi"/>
          <w:b/>
          <w:bCs/>
          <w:i w:val="0"/>
          <w:iCs w:val="0"/>
          <w:color w:val="auto"/>
          <w:sz w:val="22"/>
          <w:szCs w:val="22"/>
        </w:rPr>
        <w:instrText xml:space="preserve"> SEQ Obrázek \* ARABIC \s 1 </w:instrText>
      </w:r>
      <w:r w:rsidR="00EB5B81">
        <w:rPr>
          <w:rFonts w:asciiTheme="majorHAnsi" w:eastAsiaTheme="majorEastAsia" w:hAnsiTheme="majorHAnsi" w:cstheme="majorBidi"/>
          <w:b/>
          <w:bCs/>
          <w:i w:val="0"/>
          <w:iCs w:val="0"/>
          <w:color w:val="auto"/>
          <w:sz w:val="22"/>
          <w:szCs w:val="22"/>
        </w:rPr>
        <w:fldChar w:fldCharType="separate"/>
      </w:r>
      <w:r w:rsidR="00EB5B81">
        <w:rPr>
          <w:rFonts w:asciiTheme="majorHAnsi" w:eastAsiaTheme="majorEastAsia" w:hAnsiTheme="majorHAnsi" w:cstheme="majorBidi"/>
          <w:b/>
          <w:bCs/>
          <w:i w:val="0"/>
          <w:iCs w:val="0"/>
          <w:noProof/>
          <w:color w:val="auto"/>
          <w:sz w:val="22"/>
          <w:szCs w:val="22"/>
        </w:rPr>
        <w:t>4</w:t>
      </w:r>
      <w:r w:rsidR="00EB5B81">
        <w:rPr>
          <w:rFonts w:asciiTheme="majorHAnsi" w:eastAsiaTheme="majorEastAsia" w:hAnsiTheme="majorHAnsi" w:cstheme="majorBidi"/>
          <w:b/>
          <w:bCs/>
          <w:i w:val="0"/>
          <w:iCs w:val="0"/>
          <w:color w:val="auto"/>
          <w:sz w:val="22"/>
          <w:szCs w:val="22"/>
        </w:rPr>
        <w:fldChar w:fldCharType="end"/>
      </w:r>
      <w:r w:rsidRPr="004B694B">
        <w:rPr>
          <w:rFonts w:asciiTheme="majorHAnsi" w:eastAsiaTheme="majorEastAsia" w:hAnsiTheme="majorHAnsi" w:cstheme="majorBidi"/>
          <w:b/>
          <w:bCs/>
          <w:i w:val="0"/>
          <w:iCs w:val="0"/>
          <w:color w:val="auto"/>
          <w:sz w:val="22"/>
          <w:szCs w:val="22"/>
        </w:rPr>
        <w:t>: Počet mikropodniků na 1000 obyv. v krajích ČR v letech 2010-2016;</w:t>
      </w:r>
      <w:r w:rsidR="009663F1" w:rsidRPr="004B694B">
        <w:rPr>
          <w:rFonts w:asciiTheme="majorHAnsi" w:eastAsiaTheme="majorEastAsia" w:hAnsiTheme="majorHAnsi" w:cstheme="majorBidi"/>
          <w:b/>
          <w:bCs/>
          <w:i w:val="0"/>
          <w:iCs w:val="0"/>
          <w:color w:val="auto"/>
          <w:sz w:val="22"/>
          <w:szCs w:val="22"/>
        </w:rPr>
        <w:t xml:space="preserve"> </w:t>
      </w:r>
      <w:r w:rsidRPr="004B694B">
        <w:rPr>
          <w:rFonts w:asciiTheme="majorHAnsi" w:eastAsiaTheme="majorEastAsia" w:hAnsiTheme="majorHAnsi" w:cstheme="majorBidi"/>
          <w:b/>
          <w:bCs/>
          <w:i w:val="0"/>
          <w:iCs w:val="0"/>
          <w:color w:val="auto"/>
          <w:sz w:val="22"/>
          <w:szCs w:val="22"/>
        </w:rPr>
        <w:t>Zemědělství, lesnictví a rybářství (CZ-NACE A)</w:t>
      </w:r>
      <w:bookmarkEnd w:id="91"/>
      <w:bookmarkEnd w:id="92"/>
      <w:bookmarkEnd w:id="93"/>
    </w:p>
    <w:p w14:paraId="02302525" w14:textId="77777777" w:rsidR="00143820" w:rsidRDefault="00143820" w:rsidP="009663F1">
      <w:pPr>
        <w:keepNext/>
        <w:spacing w:line="276" w:lineRule="auto"/>
        <w:ind w:firstLine="0"/>
      </w:pPr>
      <w:r>
        <w:rPr>
          <w:noProof/>
        </w:rPr>
        <w:drawing>
          <wp:inline distT="0" distB="0" distL="0" distR="0" wp14:anchorId="5DB3C09B" wp14:editId="53F0F03F">
            <wp:extent cx="5762445" cy="2355011"/>
            <wp:effectExtent l="0" t="0" r="10160" b="7620"/>
            <wp:docPr id="53" name="Graf 53">
              <a:extLst xmlns:a="http://schemas.openxmlformats.org/drawingml/2006/main">
                <a:ext uri="{FF2B5EF4-FFF2-40B4-BE49-F238E27FC236}">
                  <a16:creationId xmlns:a16="http://schemas.microsoft.com/office/drawing/2014/main" id="{9E4ACA9A-D6CC-49AE-B735-F90F869DAD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C0DB76A" w14:textId="77777777" w:rsidR="00143820" w:rsidRPr="004B694B" w:rsidRDefault="00143820" w:rsidP="004B694B">
      <w:pPr>
        <w:pStyle w:val="Titulek"/>
        <w:spacing w:after="0"/>
        <w:ind w:firstLine="0"/>
        <w:rPr>
          <w:rFonts w:asciiTheme="majorHAnsi" w:eastAsiaTheme="majorEastAsia" w:hAnsiTheme="majorHAnsi" w:cstheme="majorBidi"/>
          <w:color w:val="auto"/>
        </w:rPr>
      </w:pPr>
      <w:r w:rsidRPr="004B694B">
        <w:rPr>
          <w:rFonts w:asciiTheme="majorHAnsi" w:eastAsiaTheme="majorEastAsia" w:hAnsiTheme="majorHAnsi" w:cstheme="majorBidi"/>
          <w:color w:val="auto"/>
        </w:rPr>
        <w:t>Zdroj: ČSÚ</w:t>
      </w:r>
    </w:p>
    <w:p w14:paraId="05420F1E" w14:textId="77777777" w:rsidR="005208F1" w:rsidRDefault="005208F1" w:rsidP="005208F1">
      <w:pPr>
        <w:spacing w:after="200" w:line="276" w:lineRule="auto"/>
        <w:rPr>
          <w:rFonts w:ascii="Arial" w:hAnsi="Arial" w:cs="Arial"/>
          <w:b/>
          <w:i/>
          <w:sz w:val="20"/>
        </w:rPr>
      </w:pPr>
      <w:bookmarkStart w:id="94" w:name="_Toc525727632"/>
      <w:bookmarkStart w:id="95" w:name="_Toc525735919"/>
      <w:bookmarkStart w:id="96" w:name="_Toc525738216"/>
    </w:p>
    <w:p w14:paraId="524A9F72" w14:textId="77777777" w:rsidR="00143820" w:rsidRPr="004B694B" w:rsidRDefault="00143820" w:rsidP="004B694B">
      <w:pPr>
        <w:pStyle w:val="Titulek"/>
        <w:keepNext/>
        <w:spacing w:after="0"/>
        <w:ind w:firstLine="0"/>
        <w:rPr>
          <w:rFonts w:asciiTheme="majorHAnsi" w:eastAsiaTheme="majorEastAsia" w:hAnsiTheme="majorHAnsi" w:cstheme="majorBidi"/>
          <w:b/>
          <w:bCs/>
          <w:i w:val="0"/>
          <w:iCs w:val="0"/>
          <w:color w:val="auto"/>
          <w:sz w:val="22"/>
          <w:szCs w:val="22"/>
        </w:rPr>
      </w:pPr>
      <w:r w:rsidRPr="004B694B">
        <w:rPr>
          <w:rFonts w:asciiTheme="majorHAnsi" w:eastAsiaTheme="majorEastAsia" w:hAnsiTheme="majorHAnsi" w:cstheme="majorBidi"/>
          <w:b/>
          <w:bCs/>
          <w:i w:val="0"/>
          <w:iCs w:val="0"/>
          <w:color w:val="auto"/>
          <w:sz w:val="22"/>
          <w:szCs w:val="22"/>
        </w:rPr>
        <w:t xml:space="preserve">Obrázek </w:t>
      </w:r>
      <w:r w:rsidR="005208F1">
        <w:rPr>
          <w:rFonts w:asciiTheme="majorHAnsi" w:eastAsiaTheme="majorEastAsia" w:hAnsiTheme="majorHAnsi" w:cstheme="majorBidi"/>
          <w:b/>
          <w:bCs/>
          <w:i w:val="0"/>
          <w:iCs w:val="0"/>
          <w:color w:val="auto"/>
          <w:sz w:val="22"/>
          <w:szCs w:val="22"/>
        </w:rPr>
        <w:t>7.</w:t>
      </w:r>
      <w:r w:rsidR="00240E36">
        <w:rPr>
          <w:rFonts w:asciiTheme="majorHAnsi" w:eastAsiaTheme="majorEastAsia" w:hAnsiTheme="majorHAnsi" w:cstheme="majorBidi"/>
          <w:b/>
          <w:bCs/>
          <w:i w:val="0"/>
          <w:iCs w:val="0"/>
          <w:color w:val="auto"/>
          <w:sz w:val="22"/>
          <w:szCs w:val="22"/>
        </w:rPr>
        <w:fldChar w:fldCharType="begin"/>
      </w:r>
      <w:r w:rsidR="00240E36">
        <w:rPr>
          <w:rFonts w:asciiTheme="majorHAnsi" w:eastAsiaTheme="majorEastAsia" w:hAnsiTheme="majorHAnsi" w:cstheme="majorBidi"/>
          <w:b/>
          <w:bCs/>
          <w:i w:val="0"/>
          <w:iCs w:val="0"/>
          <w:color w:val="auto"/>
          <w:sz w:val="22"/>
          <w:szCs w:val="22"/>
        </w:rPr>
        <w:instrText xml:space="preserve"> STYLEREF 1 \s </w:instrText>
      </w:r>
      <w:r w:rsidR="00240E36">
        <w:rPr>
          <w:rFonts w:asciiTheme="majorHAnsi" w:eastAsiaTheme="majorEastAsia" w:hAnsiTheme="majorHAnsi" w:cstheme="majorBidi"/>
          <w:b/>
          <w:bCs/>
          <w:i w:val="0"/>
          <w:iCs w:val="0"/>
          <w:color w:val="auto"/>
          <w:sz w:val="22"/>
          <w:szCs w:val="22"/>
        </w:rPr>
        <w:fldChar w:fldCharType="separate"/>
      </w:r>
      <w:r w:rsidR="00240E36">
        <w:rPr>
          <w:rFonts w:asciiTheme="majorHAnsi" w:eastAsiaTheme="majorEastAsia" w:hAnsiTheme="majorHAnsi" w:cstheme="majorBidi"/>
          <w:b/>
          <w:bCs/>
          <w:i w:val="0"/>
          <w:iCs w:val="0"/>
          <w:noProof/>
          <w:color w:val="auto"/>
          <w:sz w:val="22"/>
          <w:szCs w:val="22"/>
        </w:rPr>
        <w:t>3</w:t>
      </w:r>
      <w:r w:rsidR="00240E36">
        <w:rPr>
          <w:rFonts w:asciiTheme="majorHAnsi" w:eastAsiaTheme="majorEastAsia" w:hAnsiTheme="majorHAnsi" w:cstheme="majorBidi"/>
          <w:b/>
          <w:bCs/>
          <w:i w:val="0"/>
          <w:iCs w:val="0"/>
          <w:color w:val="auto"/>
          <w:sz w:val="22"/>
          <w:szCs w:val="22"/>
        </w:rPr>
        <w:fldChar w:fldCharType="end"/>
      </w:r>
      <w:r w:rsidR="00240E36">
        <w:rPr>
          <w:rFonts w:asciiTheme="majorHAnsi" w:eastAsiaTheme="majorEastAsia" w:hAnsiTheme="majorHAnsi" w:cstheme="majorBidi"/>
          <w:b/>
          <w:bCs/>
          <w:i w:val="0"/>
          <w:iCs w:val="0"/>
          <w:color w:val="auto"/>
          <w:sz w:val="22"/>
          <w:szCs w:val="22"/>
        </w:rPr>
        <w:t>.</w:t>
      </w:r>
      <w:r w:rsidR="00EB5B81">
        <w:rPr>
          <w:rFonts w:asciiTheme="majorHAnsi" w:eastAsiaTheme="majorEastAsia" w:hAnsiTheme="majorHAnsi" w:cstheme="majorBidi"/>
          <w:b/>
          <w:bCs/>
          <w:i w:val="0"/>
          <w:iCs w:val="0"/>
          <w:color w:val="auto"/>
          <w:sz w:val="22"/>
          <w:szCs w:val="22"/>
        </w:rPr>
        <w:fldChar w:fldCharType="begin"/>
      </w:r>
      <w:r w:rsidR="00EB5B81">
        <w:rPr>
          <w:rFonts w:asciiTheme="majorHAnsi" w:eastAsiaTheme="majorEastAsia" w:hAnsiTheme="majorHAnsi" w:cstheme="majorBidi"/>
          <w:b/>
          <w:bCs/>
          <w:i w:val="0"/>
          <w:iCs w:val="0"/>
          <w:color w:val="auto"/>
          <w:sz w:val="22"/>
          <w:szCs w:val="22"/>
        </w:rPr>
        <w:instrText xml:space="preserve"> SEQ Obrázek \* ARABIC \s 1 </w:instrText>
      </w:r>
      <w:r w:rsidR="00EB5B81">
        <w:rPr>
          <w:rFonts w:asciiTheme="majorHAnsi" w:eastAsiaTheme="majorEastAsia" w:hAnsiTheme="majorHAnsi" w:cstheme="majorBidi"/>
          <w:b/>
          <w:bCs/>
          <w:i w:val="0"/>
          <w:iCs w:val="0"/>
          <w:color w:val="auto"/>
          <w:sz w:val="22"/>
          <w:szCs w:val="22"/>
        </w:rPr>
        <w:fldChar w:fldCharType="separate"/>
      </w:r>
      <w:r w:rsidR="00EB5B81">
        <w:rPr>
          <w:rFonts w:asciiTheme="majorHAnsi" w:eastAsiaTheme="majorEastAsia" w:hAnsiTheme="majorHAnsi" w:cstheme="majorBidi"/>
          <w:b/>
          <w:bCs/>
          <w:i w:val="0"/>
          <w:iCs w:val="0"/>
          <w:noProof/>
          <w:color w:val="auto"/>
          <w:sz w:val="22"/>
          <w:szCs w:val="22"/>
        </w:rPr>
        <w:t>5</w:t>
      </w:r>
      <w:r w:rsidR="00EB5B81">
        <w:rPr>
          <w:rFonts w:asciiTheme="majorHAnsi" w:eastAsiaTheme="majorEastAsia" w:hAnsiTheme="majorHAnsi" w:cstheme="majorBidi"/>
          <w:b/>
          <w:bCs/>
          <w:i w:val="0"/>
          <w:iCs w:val="0"/>
          <w:color w:val="auto"/>
          <w:sz w:val="22"/>
          <w:szCs w:val="22"/>
        </w:rPr>
        <w:fldChar w:fldCharType="end"/>
      </w:r>
      <w:r w:rsidRPr="004B694B">
        <w:rPr>
          <w:rFonts w:asciiTheme="majorHAnsi" w:eastAsiaTheme="majorEastAsia" w:hAnsiTheme="majorHAnsi" w:cstheme="majorBidi"/>
          <w:b/>
          <w:bCs/>
          <w:i w:val="0"/>
          <w:iCs w:val="0"/>
          <w:color w:val="auto"/>
          <w:sz w:val="22"/>
          <w:szCs w:val="22"/>
        </w:rPr>
        <w:t>: Počet mikropodniků na 1000 obyv. v krajích ČR v letech 2010-2016; Průmysl (CZ-NACE B-F)</w:t>
      </w:r>
      <w:bookmarkEnd w:id="94"/>
      <w:bookmarkEnd w:id="95"/>
      <w:bookmarkEnd w:id="96"/>
    </w:p>
    <w:p w14:paraId="13D3B3C8" w14:textId="77777777" w:rsidR="00143820" w:rsidRDefault="00143820" w:rsidP="009663F1">
      <w:pPr>
        <w:keepNext/>
        <w:spacing w:line="276" w:lineRule="auto"/>
        <w:ind w:firstLine="0"/>
      </w:pPr>
      <w:r>
        <w:rPr>
          <w:noProof/>
        </w:rPr>
        <w:drawing>
          <wp:inline distT="0" distB="0" distL="0" distR="0" wp14:anchorId="5D3D76FA" wp14:editId="1A0A49B6">
            <wp:extent cx="5753735" cy="2311879"/>
            <wp:effectExtent l="0" t="0" r="18415" b="12700"/>
            <wp:docPr id="54" name="Graf 54">
              <a:extLst xmlns:a="http://schemas.openxmlformats.org/drawingml/2006/main">
                <a:ext uri="{FF2B5EF4-FFF2-40B4-BE49-F238E27FC236}">
                  <a16:creationId xmlns:a16="http://schemas.microsoft.com/office/drawing/2014/main" id="{D000D065-0F30-4F23-B9B2-BC368BCC92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BA4CAA9" w14:textId="77777777" w:rsidR="00143820" w:rsidRPr="004B694B" w:rsidRDefault="00143820" w:rsidP="004B694B">
      <w:pPr>
        <w:pStyle w:val="Titulek"/>
        <w:spacing w:after="0"/>
        <w:ind w:firstLine="0"/>
        <w:rPr>
          <w:rFonts w:asciiTheme="majorHAnsi" w:eastAsiaTheme="majorEastAsia" w:hAnsiTheme="majorHAnsi" w:cstheme="majorBidi"/>
          <w:color w:val="auto"/>
        </w:rPr>
      </w:pPr>
      <w:r w:rsidRPr="004B694B">
        <w:rPr>
          <w:rFonts w:asciiTheme="majorHAnsi" w:eastAsiaTheme="majorEastAsia" w:hAnsiTheme="majorHAnsi" w:cstheme="majorBidi"/>
          <w:color w:val="auto"/>
        </w:rPr>
        <w:t>Zdroj: ČSÚ</w:t>
      </w:r>
    </w:p>
    <w:p w14:paraId="3BFF886A" w14:textId="77777777" w:rsidR="00E34D45" w:rsidRPr="004B694B" w:rsidRDefault="00143820" w:rsidP="004B694B">
      <w:pPr>
        <w:pStyle w:val="Titulek"/>
        <w:keepNext/>
        <w:spacing w:after="0"/>
        <w:ind w:firstLine="0"/>
        <w:rPr>
          <w:rFonts w:asciiTheme="majorHAnsi" w:eastAsiaTheme="majorEastAsia" w:hAnsiTheme="majorHAnsi" w:cstheme="majorBidi"/>
          <w:b/>
          <w:bCs/>
          <w:i w:val="0"/>
          <w:iCs w:val="0"/>
          <w:color w:val="auto"/>
          <w:sz w:val="22"/>
          <w:szCs w:val="22"/>
        </w:rPr>
      </w:pPr>
      <w:bookmarkStart w:id="97" w:name="_Toc525727633"/>
      <w:bookmarkStart w:id="98" w:name="_Toc525735920"/>
      <w:bookmarkStart w:id="99" w:name="_Toc525738217"/>
      <w:r w:rsidRPr="004B694B">
        <w:rPr>
          <w:rFonts w:asciiTheme="majorHAnsi" w:eastAsiaTheme="majorEastAsia" w:hAnsiTheme="majorHAnsi" w:cstheme="majorBidi"/>
          <w:b/>
          <w:bCs/>
          <w:i w:val="0"/>
          <w:iCs w:val="0"/>
          <w:color w:val="auto"/>
          <w:sz w:val="22"/>
          <w:szCs w:val="22"/>
        </w:rPr>
        <w:lastRenderedPageBreak/>
        <w:t xml:space="preserve">Obrázek </w:t>
      </w:r>
      <w:r w:rsidR="005208F1">
        <w:rPr>
          <w:rFonts w:asciiTheme="majorHAnsi" w:eastAsiaTheme="majorEastAsia" w:hAnsiTheme="majorHAnsi" w:cstheme="majorBidi"/>
          <w:b/>
          <w:bCs/>
          <w:i w:val="0"/>
          <w:iCs w:val="0"/>
          <w:color w:val="auto"/>
          <w:sz w:val="22"/>
          <w:szCs w:val="22"/>
        </w:rPr>
        <w:t>7.</w:t>
      </w:r>
      <w:r w:rsidR="00240E36">
        <w:rPr>
          <w:rFonts w:asciiTheme="majorHAnsi" w:eastAsiaTheme="majorEastAsia" w:hAnsiTheme="majorHAnsi" w:cstheme="majorBidi"/>
          <w:b/>
          <w:bCs/>
          <w:i w:val="0"/>
          <w:iCs w:val="0"/>
          <w:color w:val="auto"/>
          <w:sz w:val="22"/>
          <w:szCs w:val="22"/>
        </w:rPr>
        <w:fldChar w:fldCharType="begin"/>
      </w:r>
      <w:r w:rsidR="00240E36">
        <w:rPr>
          <w:rFonts w:asciiTheme="majorHAnsi" w:eastAsiaTheme="majorEastAsia" w:hAnsiTheme="majorHAnsi" w:cstheme="majorBidi"/>
          <w:b/>
          <w:bCs/>
          <w:i w:val="0"/>
          <w:iCs w:val="0"/>
          <w:color w:val="auto"/>
          <w:sz w:val="22"/>
          <w:szCs w:val="22"/>
        </w:rPr>
        <w:instrText xml:space="preserve"> STYLEREF 1 \s </w:instrText>
      </w:r>
      <w:r w:rsidR="00240E36">
        <w:rPr>
          <w:rFonts w:asciiTheme="majorHAnsi" w:eastAsiaTheme="majorEastAsia" w:hAnsiTheme="majorHAnsi" w:cstheme="majorBidi"/>
          <w:b/>
          <w:bCs/>
          <w:i w:val="0"/>
          <w:iCs w:val="0"/>
          <w:color w:val="auto"/>
          <w:sz w:val="22"/>
          <w:szCs w:val="22"/>
        </w:rPr>
        <w:fldChar w:fldCharType="separate"/>
      </w:r>
      <w:r w:rsidR="00240E36">
        <w:rPr>
          <w:rFonts w:asciiTheme="majorHAnsi" w:eastAsiaTheme="majorEastAsia" w:hAnsiTheme="majorHAnsi" w:cstheme="majorBidi"/>
          <w:b/>
          <w:bCs/>
          <w:i w:val="0"/>
          <w:iCs w:val="0"/>
          <w:noProof/>
          <w:color w:val="auto"/>
          <w:sz w:val="22"/>
          <w:szCs w:val="22"/>
        </w:rPr>
        <w:t>3</w:t>
      </w:r>
      <w:r w:rsidR="00240E36">
        <w:rPr>
          <w:rFonts w:asciiTheme="majorHAnsi" w:eastAsiaTheme="majorEastAsia" w:hAnsiTheme="majorHAnsi" w:cstheme="majorBidi"/>
          <w:b/>
          <w:bCs/>
          <w:i w:val="0"/>
          <w:iCs w:val="0"/>
          <w:color w:val="auto"/>
          <w:sz w:val="22"/>
          <w:szCs w:val="22"/>
        </w:rPr>
        <w:fldChar w:fldCharType="end"/>
      </w:r>
      <w:r w:rsidR="00240E36">
        <w:rPr>
          <w:rFonts w:asciiTheme="majorHAnsi" w:eastAsiaTheme="majorEastAsia" w:hAnsiTheme="majorHAnsi" w:cstheme="majorBidi"/>
          <w:b/>
          <w:bCs/>
          <w:i w:val="0"/>
          <w:iCs w:val="0"/>
          <w:color w:val="auto"/>
          <w:sz w:val="22"/>
          <w:szCs w:val="22"/>
        </w:rPr>
        <w:t>.</w:t>
      </w:r>
      <w:r w:rsidR="00EB5B81">
        <w:rPr>
          <w:rFonts w:asciiTheme="majorHAnsi" w:eastAsiaTheme="majorEastAsia" w:hAnsiTheme="majorHAnsi" w:cstheme="majorBidi"/>
          <w:b/>
          <w:bCs/>
          <w:i w:val="0"/>
          <w:iCs w:val="0"/>
          <w:color w:val="auto"/>
          <w:sz w:val="22"/>
          <w:szCs w:val="22"/>
        </w:rPr>
        <w:fldChar w:fldCharType="begin"/>
      </w:r>
      <w:r w:rsidR="00EB5B81">
        <w:rPr>
          <w:rFonts w:asciiTheme="majorHAnsi" w:eastAsiaTheme="majorEastAsia" w:hAnsiTheme="majorHAnsi" w:cstheme="majorBidi"/>
          <w:b/>
          <w:bCs/>
          <w:i w:val="0"/>
          <w:iCs w:val="0"/>
          <w:color w:val="auto"/>
          <w:sz w:val="22"/>
          <w:szCs w:val="22"/>
        </w:rPr>
        <w:instrText xml:space="preserve"> SEQ Obrázek \* ARABIC \s 1 </w:instrText>
      </w:r>
      <w:r w:rsidR="00EB5B81">
        <w:rPr>
          <w:rFonts w:asciiTheme="majorHAnsi" w:eastAsiaTheme="majorEastAsia" w:hAnsiTheme="majorHAnsi" w:cstheme="majorBidi"/>
          <w:b/>
          <w:bCs/>
          <w:i w:val="0"/>
          <w:iCs w:val="0"/>
          <w:color w:val="auto"/>
          <w:sz w:val="22"/>
          <w:szCs w:val="22"/>
        </w:rPr>
        <w:fldChar w:fldCharType="separate"/>
      </w:r>
      <w:r w:rsidR="00EB5B81">
        <w:rPr>
          <w:rFonts w:asciiTheme="majorHAnsi" w:eastAsiaTheme="majorEastAsia" w:hAnsiTheme="majorHAnsi" w:cstheme="majorBidi"/>
          <w:b/>
          <w:bCs/>
          <w:i w:val="0"/>
          <w:iCs w:val="0"/>
          <w:noProof/>
          <w:color w:val="auto"/>
          <w:sz w:val="22"/>
          <w:szCs w:val="22"/>
        </w:rPr>
        <w:t>6</w:t>
      </w:r>
      <w:r w:rsidR="00EB5B81">
        <w:rPr>
          <w:rFonts w:asciiTheme="majorHAnsi" w:eastAsiaTheme="majorEastAsia" w:hAnsiTheme="majorHAnsi" w:cstheme="majorBidi"/>
          <w:b/>
          <w:bCs/>
          <w:i w:val="0"/>
          <w:iCs w:val="0"/>
          <w:color w:val="auto"/>
          <w:sz w:val="22"/>
          <w:szCs w:val="22"/>
        </w:rPr>
        <w:fldChar w:fldCharType="end"/>
      </w:r>
      <w:r w:rsidRPr="004B694B">
        <w:rPr>
          <w:rFonts w:asciiTheme="majorHAnsi" w:eastAsiaTheme="majorEastAsia" w:hAnsiTheme="majorHAnsi" w:cstheme="majorBidi"/>
          <w:b/>
          <w:bCs/>
          <w:i w:val="0"/>
          <w:iCs w:val="0"/>
          <w:color w:val="auto"/>
          <w:sz w:val="22"/>
          <w:szCs w:val="22"/>
        </w:rPr>
        <w:t>: Počet mikropodniků na 1000 obyv. v krajích ČR v letech 2010-2016; Služby (CZ-NACE G-U)</w:t>
      </w:r>
      <w:bookmarkEnd w:id="97"/>
      <w:bookmarkEnd w:id="98"/>
      <w:bookmarkEnd w:id="99"/>
    </w:p>
    <w:p w14:paraId="55212E3D" w14:textId="77777777" w:rsidR="00143820" w:rsidRDefault="00143820" w:rsidP="009663F1">
      <w:pPr>
        <w:spacing w:line="276" w:lineRule="auto"/>
        <w:ind w:firstLine="0"/>
        <w:rPr>
          <w:rFonts w:ascii="Arial" w:hAnsi="Arial" w:cs="Arial"/>
          <w:b/>
          <w:i/>
          <w:sz w:val="20"/>
        </w:rPr>
      </w:pPr>
      <w:r>
        <w:rPr>
          <w:noProof/>
        </w:rPr>
        <w:drawing>
          <wp:inline distT="0" distB="0" distL="0" distR="0" wp14:anchorId="17BA8C62" wp14:editId="6AA84718">
            <wp:extent cx="5800725" cy="2381250"/>
            <wp:effectExtent l="0" t="0" r="9525" b="0"/>
            <wp:docPr id="55" name="Graf 55">
              <a:extLst xmlns:a="http://schemas.openxmlformats.org/drawingml/2006/main">
                <a:ext uri="{FF2B5EF4-FFF2-40B4-BE49-F238E27FC236}">
                  <a16:creationId xmlns:a16="http://schemas.microsoft.com/office/drawing/2014/main" id="{EF719642-45DB-497C-B6EC-015E895614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4F7AAEE" w14:textId="77777777" w:rsidR="00143820" w:rsidRPr="004B694B" w:rsidRDefault="00143820" w:rsidP="004B694B">
      <w:pPr>
        <w:pStyle w:val="Titulek"/>
        <w:spacing w:after="0"/>
        <w:ind w:firstLine="0"/>
        <w:rPr>
          <w:rFonts w:asciiTheme="majorHAnsi" w:eastAsiaTheme="majorEastAsia" w:hAnsiTheme="majorHAnsi" w:cstheme="majorBidi"/>
          <w:color w:val="auto"/>
        </w:rPr>
      </w:pPr>
      <w:r w:rsidRPr="004B694B">
        <w:rPr>
          <w:rFonts w:asciiTheme="majorHAnsi" w:eastAsiaTheme="majorEastAsia" w:hAnsiTheme="majorHAnsi" w:cstheme="majorBidi"/>
          <w:color w:val="auto"/>
        </w:rPr>
        <w:t>Zdroj: ČSÚ</w:t>
      </w:r>
    </w:p>
    <w:p w14:paraId="5C656552" w14:textId="77777777" w:rsidR="00143820" w:rsidRPr="00B97FA6" w:rsidRDefault="00143820">
      <w:pPr>
        <w:rPr>
          <w:rFonts w:eastAsiaTheme="minorEastAsia"/>
        </w:rPr>
      </w:pPr>
      <w:r w:rsidRPr="00B97FA6">
        <w:rPr>
          <w:rFonts w:eastAsiaTheme="minorEastAsia"/>
        </w:rPr>
        <w:t xml:space="preserve">Počet mikropodniků na 1 000 obyvatel v krajích ČR a v odvětví </w:t>
      </w:r>
      <w:r w:rsidRPr="00AF156D">
        <w:rPr>
          <w:rFonts w:eastAsiaTheme="minorEastAsia"/>
          <w:color w:val="000000" w:themeColor="text1"/>
        </w:rPr>
        <w:t>ukazují Obrázky 3.4</w:t>
      </w:r>
      <w:r w:rsidR="004F675C" w:rsidRPr="00AF156D">
        <w:rPr>
          <w:rFonts w:eastAsiaTheme="minorEastAsia"/>
          <w:color w:val="000000" w:themeColor="text1"/>
        </w:rPr>
        <w:t>-</w:t>
      </w:r>
      <w:r w:rsidRPr="00AF156D">
        <w:rPr>
          <w:rFonts w:eastAsiaTheme="minorEastAsia"/>
          <w:color w:val="000000" w:themeColor="text1"/>
        </w:rPr>
        <w:t xml:space="preserve">3.6. </w:t>
      </w:r>
      <w:r w:rsidRPr="00B97FA6">
        <w:rPr>
          <w:rFonts w:eastAsiaTheme="minorEastAsia"/>
        </w:rPr>
        <w:t>Nejméně mikropodniků na 1 000 obyvatel je v odvětví Zemědělství, lesnictví a rybolovu (CZ-NACE A) – v průměru 0,78 mikropodniků v roce 2016, nejvíce potom v odvětví služeb (CZ-NACE G-U; v průměru 14,10 mikropodniků na 1 000 obyvatel v roce 2016). Dle regionálně členěných krajů ČR je nejvíce mikropodniků na 1 000 obyvatel v kraji Hlavní město Praha v odvětví průmyslu a služeb, v odvětví zemědělství v kraji Jihočeském. Ze všech tří odvětví zaznamenává zemědělství meziroční nárůst mikropodniků na 1 000 obyvatel, zatímco v odvětví služeb se jedná spíše o pokles.</w:t>
      </w:r>
    </w:p>
    <w:p w14:paraId="38ECD42E" w14:textId="77777777" w:rsidR="00E34D45" w:rsidRPr="00E24474" w:rsidRDefault="00E34D45" w:rsidP="004B694B">
      <w:pPr>
        <w:spacing w:after="200" w:line="276" w:lineRule="auto"/>
        <w:rPr>
          <w:rFonts w:eastAsiaTheme="minorEastAsia"/>
        </w:rPr>
      </w:pPr>
    </w:p>
    <w:p w14:paraId="7094B6EF" w14:textId="77777777" w:rsidR="782BA009" w:rsidRPr="00E24474" w:rsidRDefault="782BA009" w:rsidP="005208F1">
      <w:pPr>
        <w:ind w:firstLine="0"/>
        <w:rPr>
          <w:rFonts w:eastAsia="Calibri"/>
          <w:b/>
          <w:bCs/>
          <w:szCs w:val="24"/>
        </w:rPr>
      </w:pPr>
      <w:r w:rsidRPr="00E24474">
        <w:rPr>
          <w:rFonts w:eastAsia="Calibri"/>
          <w:b/>
          <w:bCs/>
          <w:szCs w:val="24"/>
        </w:rPr>
        <w:t>Podnikatelská struktura na venkově</w:t>
      </w:r>
      <w:r w:rsidR="1998DD82" w:rsidRPr="00E24474">
        <w:rPr>
          <w:rFonts w:eastAsia="Calibri"/>
          <w:b/>
          <w:bCs/>
          <w:szCs w:val="24"/>
        </w:rPr>
        <w:t xml:space="preserve"> </w:t>
      </w:r>
      <w:r w:rsidR="66EDEA62" w:rsidRPr="00E24474">
        <w:rPr>
          <w:rFonts w:eastAsia="Calibri"/>
          <w:b/>
          <w:bCs/>
          <w:szCs w:val="24"/>
        </w:rPr>
        <w:t>(A</w:t>
      </w:r>
      <w:r w:rsidR="446B1DCF" w:rsidRPr="00E24474">
        <w:rPr>
          <w:rFonts w:eastAsia="Calibri"/>
          <w:b/>
          <w:bCs/>
          <w:szCs w:val="24"/>
        </w:rPr>
        <w:t>MS</w:t>
      </w:r>
      <w:r w:rsidR="66EDEA62" w:rsidRPr="00E24474">
        <w:rPr>
          <w:rFonts w:eastAsia="Calibri"/>
          <w:b/>
          <w:bCs/>
          <w:szCs w:val="24"/>
        </w:rPr>
        <w:t>P ČR)</w:t>
      </w:r>
    </w:p>
    <w:p w14:paraId="143AE0F1" w14:textId="77777777" w:rsidR="610F5457" w:rsidRPr="00E24474" w:rsidRDefault="3EF06211" w:rsidP="005208F1">
      <w:pPr>
        <w:ind w:firstLine="0"/>
        <w:rPr>
          <w:rFonts w:eastAsia="Calibri"/>
          <w:b/>
          <w:bCs/>
          <w:szCs w:val="24"/>
        </w:rPr>
      </w:pPr>
      <w:r w:rsidRPr="00E24474">
        <w:rPr>
          <w:rFonts w:eastAsia="Calibri"/>
          <w:b/>
          <w:bCs/>
          <w:szCs w:val="24"/>
        </w:rPr>
        <w:t>Venkov dle podnikatelské struktury s ohledem na velikost firem</w:t>
      </w:r>
      <w:r w:rsidR="00E34D45" w:rsidRPr="00E24474">
        <w:rPr>
          <w:rStyle w:val="Znakapoznpodarou"/>
          <w:rFonts w:eastAsia="Calibri"/>
          <w:b/>
          <w:bCs/>
          <w:szCs w:val="24"/>
        </w:rPr>
        <w:footnoteReference w:id="7"/>
      </w:r>
      <w:r w:rsidRPr="00E24474">
        <w:rPr>
          <w:rFonts w:eastAsia="Calibri"/>
          <w:b/>
          <w:bCs/>
          <w:szCs w:val="24"/>
        </w:rPr>
        <w:t>:</w:t>
      </w:r>
    </w:p>
    <w:p w14:paraId="31D4499B" w14:textId="77777777" w:rsidR="009663F1" w:rsidRPr="00E24474" w:rsidRDefault="3EF06211" w:rsidP="005208F1">
      <w:pPr>
        <w:pStyle w:val="Odstavecseseznamem"/>
        <w:numPr>
          <w:ilvl w:val="0"/>
          <w:numId w:val="1"/>
        </w:numPr>
        <w:rPr>
          <w:rFonts w:eastAsiaTheme="minorEastAsia"/>
          <w:szCs w:val="24"/>
        </w:rPr>
      </w:pPr>
      <w:r w:rsidRPr="00E24474">
        <w:rPr>
          <w:rFonts w:eastAsia="Calibri"/>
          <w:szCs w:val="24"/>
        </w:rPr>
        <w:t xml:space="preserve">Podnikatelé bez zaměstnanců: </w:t>
      </w:r>
      <w:r w:rsidRPr="00E24474">
        <w:rPr>
          <w:rFonts w:eastAsia="Calibri"/>
          <w:b/>
          <w:bCs/>
          <w:szCs w:val="24"/>
        </w:rPr>
        <w:t>90,5 %</w:t>
      </w:r>
      <w:r w:rsidRPr="00E24474">
        <w:rPr>
          <w:rFonts w:eastAsia="Calibri"/>
          <w:szCs w:val="24"/>
        </w:rPr>
        <w:t xml:space="preserve"> (předcházející rok: 90 %)</w:t>
      </w:r>
    </w:p>
    <w:p w14:paraId="381880CC" w14:textId="77777777" w:rsidR="009663F1" w:rsidRPr="00E24474" w:rsidRDefault="3EF06211" w:rsidP="005208F1">
      <w:pPr>
        <w:pStyle w:val="Odstavecseseznamem"/>
        <w:numPr>
          <w:ilvl w:val="0"/>
          <w:numId w:val="1"/>
        </w:numPr>
        <w:rPr>
          <w:rFonts w:eastAsiaTheme="minorEastAsia"/>
          <w:szCs w:val="24"/>
        </w:rPr>
      </w:pPr>
      <w:r w:rsidRPr="00E24474">
        <w:rPr>
          <w:rFonts w:eastAsia="Calibri"/>
          <w:szCs w:val="24"/>
        </w:rPr>
        <w:t xml:space="preserve">Podnikatelé s 1-9 zaměstnanci: </w:t>
      </w:r>
      <w:r w:rsidRPr="00E24474">
        <w:rPr>
          <w:rFonts w:eastAsia="Calibri"/>
          <w:b/>
          <w:bCs/>
          <w:szCs w:val="24"/>
        </w:rPr>
        <w:t>8 %</w:t>
      </w:r>
      <w:r w:rsidRPr="00E24474">
        <w:rPr>
          <w:rFonts w:eastAsia="Calibri"/>
          <w:szCs w:val="24"/>
        </w:rPr>
        <w:t xml:space="preserve"> (předcházející rok: 8 %)</w:t>
      </w:r>
    </w:p>
    <w:p w14:paraId="1F11E283" w14:textId="77777777" w:rsidR="009663F1" w:rsidRPr="00E24474" w:rsidRDefault="3EF06211" w:rsidP="005208F1">
      <w:pPr>
        <w:pStyle w:val="Odstavecseseznamem"/>
        <w:numPr>
          <w:ilvl w:val="0"/>
          <w:numId w:val="1"/>
        </w:numPr>
        <w:rPr>
          <w:rFonts w:eastAsiaTheme="minorEastAsia"/>
          <w:szCs w:val="24"/>
        </w:rPr>
      </w:pPr>
      <w:r w:rsidRPr="00E24474">
        <w:rPr>
          <w:rFonts w:eastAsia="Calibri"/>
          <w:szCs w:val="24"/>
        </w:rPr>
        <w:t>Podnikatelé s</w:t>
      </w:r>
      <w:r w:rsidR="005208F1">
        <w:rPr>
          <w:rFonts w:eastAsia="Calibri"/>
          <w:szCs w:val="24"/>
        </w:rPr>
        <w:t> </w:t>
      </w:r>
      <w:r w:rsidRPr="00E24474">
        <w:rPr>
          <w:rFonts w:eastAsia="Calibri"/>
          <w:szCs w:val="24"/>
        </w:rPr>
        <w:t>10</w:t>
      </w:r>
      <w:r w:rsidR="005208F1">
        <w:rPr>
          <w:rFonts w:eastAsia="Calibri"/>
          <w:szCs w:val="24"/>
        </w:rPr>
        <w:t>-</w:t>
      </w:r>
      <w:r w:rsidRPr="00E24474">
        <w:rPr>
          <w:rFonts w:eastAsia="Calibri"/>
          <w:szCs w:val="24"/>
        </w:rPr>
        <w:t xml:space="preserve">49 zaměstnanci: </w:t>
      </w:r>
      <w:r w:rsidRPr="00E24474">
        <w:rPr>
          <w:rFonts w:eastAsia="Calibri"/>
          <w:b/>
          <w:bCs/>
          <w:szCs w:val="24"/>
        </w:rPr>
        <w:t>1,5 %</w:t>
      </w:r>
      <w:r w:rsidRPr="00E24474">
        <w:rPr>
          <w:rFonts w:eastAsia="Calibri"/>
          <w:szCs w:val="24"/>
        </w:rPr>
        <w:t xml:space="preserve"> (předcházející rok: 2 %)</w:t>
      </w:r>
    </w:p>
    <w:p w14:paraId="0C2B6B3F" w14:textId="77777777" w:rsidR="009663F1" w:rsidRPr="005208F1" w:rsidRDefault="3EF06211" w:rsidP="005208F1">
      <w:pPr>
        <w:pStyle w:val="Odstavecseseznamem"/>
        <w:numPr>
          <w:ilvl w:val="0"/>
          <w:numId w:val="1"/>
        </w:numPr>
        <w:rPr>
          <w:rFonts w:eastAsiaTheme="minorEastAsia"/>
          <w:szCs w:val="24"/>
        </w:rPr>
      </w:pPr>
      <w:r w:rsidRPr="00E24474">
        <w:rPr>
          <w:rFonts w:eastAsia="Calibri"/>
          <w:szCs w:val="24"/>
        </w:rPr>
        <w:t xml:space="preserve">Podnikatelé s 50 a více zaměstnanci: </w:t>
      </w:r>
      <w:r w:rsidRPr="00E24474">
        <w:rPr>
          <w:rFonts w:eastAsia="Calibri"/>
          <w:b/>
          <w:bCs/>
          <w:szCs w:val="24"/>
        </w:rPr>
        <w:t>0,5 %</w:t>
      </w:r>
      <w:r w:rsidRPr="00E24474">
        <w:rPr>
          <w:rFonts w:eastAsia="Calibri"/>
          <w:szCs w:val="24"/>
        </w:rPr>
        <w:t xml:space="preserve"> (předcházející rok: 0,1 %) </w:t>
      </w:r>
    </w:p>
    <w:p w14:paraId="78BE1771" w14:textId="77777777" w:rsidR="005208F1" w:rsidRDefault="005208F1" w:rsidP="005208F1">
      <w:pPr>
        <w:spacing w:after="200" w:line="276" w:lineRule="auto"/>
        <w:rPr>
          <w:rFonts w:eastAsiaTheme="minorEastAsia"/>
          <w:szCs w:val="24"/>
        </w:rPr>
      </w:pPr>
    </w:p>
    <w:p w14:paraId="2F9635CD" w14:textId="77777777" w:rsidR="005208F1" w:rsidRDefault="005208F1" w:rsidP="005208F1">
      <w:pPr>
        <w:spacing w:after="200" w:line="276" w:lineRule="auto"/>
        <w:rPr>
          <w:rFonts w:eastAsiaTheme="minorEastAsia"/>
          <w:szCs w:val="24"/>
        </w:rPr>
      </w:pPr>
    </w:p>
    <w:p w14:paraId="309AB4BE" w14:textId="77777777" w:rsidR="005208F1" w:rsidRDefault="005208F1" w:rsidP="005208F1">
      <w:pPr>
        <w:spacing w:after="200" w:line="276" w:lineRule="auto"/>
        <w:rPr>
          <w:rFonts w:eastAsiaTheme="minorEastAsia"/>
          <w:szCs w:val="24"/>
        </w:rPr>
      </w:pPr>
    </w:p>
    <w:p w14:paraId="3A14AA80" w14:textId="77777777" w:rsidR="005208F1" w:rsidRDefault="005208F1" w:rsidP="005208F1">
      <w:pPr>
        <w:spacing w:after="200" w:line="276" w:lineRule="auto"/>
        <w:rPr>
          <w:rFonts w:eastAsiaTheme="minorEastAsia"/>
          <w:szCs w:val="24"/>
        </w:rPr>
      </w:pPr>
    </w:p>
    <w:p w14:paraId="45DDC34C" w14:textId="77777777" w:rsidR="005208F1" w:rsidRPr="005208F1" w:rsidRDefault="005208F1" w:rsidP="005208F1">
      <w:pPr>
        <w:spacing w:after="200" w:line="276" w:lineRule="auto"/>
        <w:rPr>
          <w:rFonts w:eastAsiaTheme="minorEastAsia"/>
          <w:szCs w:val="24"/>
        </w:rPr>
      </w:pPr>
    </w:p>
    <w:p w14:paraId="679A096F" w14:textId="77777777" w:rsidR="00E34D45" w:rsidRPr="005208F1" w:rsidRDefault="00E34D45" w:rsidP="005208F1">
      <w:pPr>
        <w:keepNext/>
        <w:spacing w:before="0" w:line="240" w:lineRule="auto"/>
        <w:ind w:firstLine="0"/>
        <w:rPr>
          <w:rFonts w:asciiTheme="majorHAnsi" w:hAnsiTheme="majorHAnsi" w:cstheme="majorHAnsi"/>
          <w:b/>
          <w:sz w:val="22"/>
          <w:szCs w:val="22"/>
        </w:rPr>
      </w:pPr>
      <w:bookmarkStart w:id="100" w:name="_Toc522869012"/>
      <w:r w:rsidRPr="005208F1">
        <w:rPr>
          <w:rFonts w:asciiTheme="majorHAnsi" w:hAnsiTheme="majorHAnsi" w:cstheme="majorHAnsi"/>
          <w:b/>
          <w:iCs/>
          <w:sz w:val="22"/>
          <w:szCs w:val="22"/>
        </w:rPr>
        <w:lastRenderedPageBreak/>
        <w:t xml:space="preserve">Tabulka </w:t>
      </w:r>
      <w:r w:rsidR="00776DDB">
        <w:rPr>
          <w:rFonts w:asciiTheme="majorHAnsi" w:hAnsiTheme="majorHAnsi" w:cstheme="majorHAnsi"/>
          <w:b/>
          <w:iCs/>
          <w:sz w:val="22"/>
          <w:szCs w:val="22"/>
        </w:rPr>
        <w:t>7.</w:t>
      </w:r>
      <w:r w:rsidRPr="005208F1">
        <w:rPr>
          <w:rFonts w:asciiTheme="majorHAnsi" w:hAnsiTheme="majorHAnsi" w:cstheme="majorHAnsi"/>
          <w:b/>
          <w:iCs/>
          <w:sz w:val="22"/>
          <w:szCs w:val="22"/>
        </w:rPr>
        <w:fldChar w:fldCharType="begin"/>
      </w:r>
      <w:r w:rsidRPr="005208F1">
        <w:rPr>
          <w:rFonts w:asciiTheme="majorHAnsi" w:hAnsiTheme="majorHAnsi" w:cstheme="majorHAnsi"/>
          <w:b/>
          <w:iCs/>
          <w:sz w:val="22"/>
          <w:szCs w:val="22"/>
        </w:rPr>
        <w:instrText xml:space="preserve"> STYLEREF 1 \s </w:instrText>
      </w:r>
      <w:r w:rsidRPr="005208F1">
        <w:rPr>
          <w:rFonts w:asciiTheme="majorHAnsi" w:hAnsiTheme="majorHAnsi" w:cstheme="majorHAnsi"/>
          <w:b/>
          <w:iCs/>
          <w:sz w:val="22"/>
          <w:szCs w:val="22"/>
        </w:rPr>
        <w:fldChar w:fldCharType="separate"/>
      </w:r>
      <w:r w:rsidRPr="005208F1">
        <w:rPr>
          <w:rFonts w:asciiTheme="majorHAnsi" w:hAnsiTheme="majorHAnsi" w:cstheme="majorHAnsi"/>
          <w:b/>
          <w:iCs/>
          <w:noProof/>
          <w:sz w:val="22"/>
          <w:szCs w:val="22"/>
        </w:rPr>
        <w:t>3</w:t>
      </w:r>
      <w:r w:rsidRPr="005208F1">
        <w:rPr>
          <w:rFonts w:asciiTheme="majorHAnsi" w:hAnsiTheme="majorHAnsi" w:cstheme="majorHAnsi"/>
          <w:b/>
          <w:iCs/>
          <w:sz w:val="22"/>
          <w:szCs w:val="22"/>
        </w:rPr>
        <w:fldChar w:fldCharType="end"/>
      </w:r>
      <w:r w:rsidRPr="005208F1">
        <w:rPr>
          <w:rFonts w:asciiTheme="majorHAnsi" w:hAnsiTheme="majorHAnsi" w:cstheme="majorHAnsi"/>
          <w:b/>
          <w:iCs/>
          <w:sz w:val="22"/>
          <w:szCs w:val="22"/>
        </w:rPr>
        <w:t>.</w:t>
      </w:r>
      <w:r w:rsidR="00776DDB">
        <w:rPr>
          <w:rFonts w:asciiTheme="majorHAnsi" w:hAnsiTheme="majorHAnsi" w:cstheme="majorHAnsi"/>
          <w:b/>
          <w:iCs/>
          <w:sz w:val="22"/>
          <w:szCs w:val="22"/>
        </w:rPr>
        <w:t>6</w:t>
      </w:r>
      <w:r w:rsidR="68ED4599" w:rsidRPr="005208F1">
        <w:rPr>
          <w:rFonts w:asciiTheme="majorHAnsi" w:eastAsia="Calibri" w:hAnsiTheme="majorHAnsi" w:cstheme="majorHAnsi"/>
          <w:b/>
          <w:bCs/>
          <w:iCs/>
          <w:sz w:val="22"/>
          <w:szCs w:val="22"/>
        </w:rPr>
        <w:t xml:space="preserve">: </w:t>
      </w:r>
      <w:r w:rsidR="3EF06211" w:rsidRPr="005208F1">
        <w:rPr>
          <w:rFonts w:asciiTheme="majorHAnsi" w:eastAsia="Calibri" w:hAnsiTheme="majorHAnsi" w:cstheme="majorHAnsi"/>
          <w:b/>
          <w:bCs/>
          <w:iCs/>
          <w:sz w:val="22"/>
          <w:szCs w:val="22"/>
        </w:rPr>
        <w:t>Venkovské oblasti dle podnikatelské struktury s ohledem na odvětví</w:t>
      </w:r>
      <w:bookmarkEnd w:id="100"/>
    </w:p>
    <w:tbl>
      <w:tblPr>
        <w:tblStyle w:val="Mkatabulky"/>
        <w:tblW w:w="8996" w:type="dxa"/>
        <w:tblLayout w:type="fixed"/>
        <w:tblLook w:val="06A0" w:firstRow="1" w:lastRow="0" w:firstColumn="1" w:lastColumn="0" w:noHBand="1" w:noVBand="1"/>
      </w:tblPr>
      <w:tblGrid>
        <w:gridCol w:w="5993"/>
        <w:gridCol w:w="3003"/>
      </w:tblGrid>
      <w:tr w:rsidR="3EF06211" w14:paraId="16206C0B" w14:textId="77777777" w:rsidTr="00346853">
        <w:trPr>
          <w:trHeight w:val="726"/>
        </w:trPr>
        <w:tc>
          <w:tcPr>
            <w:tcW w:w="5993" w:type="dxa"/>
            <w:vAlign w:val="center"/>
          </w:tcPr>
          <w:p w14:paraId="1B68C476" w14:textId="77777777" w:rsidR="3EF06211" w:rsidRPr="00346853" w:rsidRDefault="3EF06211" w:rsidP="2DF3DADF">
            <w:pPr>
              <w:ind w:firstLine="0"/>
              <w:jc w:val="center"/>
              <w:rPr>
                <w:rFonts w:asciiTheme="majorHAnsi" w:hAnsiTheme="majorHAnsi" w:cstheme="majorHAnsi"/>
                <w:sz w:val="22"/>
                <w:szCs w:val="22"/>
              </w:rPr>
            </w:pPr>
            <w:r w:rsidRPr="00346853">
              <w:rPr>
                <w:rFonts w:asciiTheme="majorHAnsi" w:hAnsiTheme="majorHAnsi" w:cstheme="majorHAnsi"/>
                <w:b/>
                <w:bCs/>
                <w:sz w:val="22"/>
                <w:szCs w:val="22"/>
              </w:rPr>
              <w:t>Odvětví</w:t>
            </w:r>
          </w:p>
        </w:tc>
        <w:tc>
          <w:tcPr>
            <w:tcW w:w="3003" w:type="dxa"/>
            <w:vAlign w:val="center"/>
          </w:tcPr>
          <w:p w14:paraId="1D45B43E" w14:textId="77777777" w:rsidR="3EF06211" w:rsidRPr="00346853" w:rsidRDefault="3EF06211" w:rsidP="00346853">
            <w:pPr>
              <w:ind w:firstLine="0"/>
              <w:jc w:val="center"/>
              <w:rPr>
                <w:rFonts w:asciiTheme="majorHAnsi" w:hAnsiTheme="majorHAnsi" w:cstheme="majorHAnsi"/>
                <w:sz w:val="22"/>
                <w:szCs w:val="22"/>
              </w:rPr>
            </w:pPr>
            <w:r w:rsidRPr="00346853">
              <w:rPr>
                <w:rFonts w:asciiTheme="majorHAnsi" w:hAnsiTheme="majorHAnsi" w:cstheme="majorHAnsi"/>
                <w:b/>
                <w:bCs/>
                <w:sz w:val="22"/>
                <w:szCs w:val="22"/>
              </w:rPr>
              <w:t>Podíl podnikatelských aktivit</w:t>
            </w:r>
          </w:p>
        </w:tc>
      </w:tr>
      <w:tr w:rsidR="3EF06211" w14:paraId="115120D9" w14:textId="77777777" w:rsidTr="004B694B">
        <w:trPr>
          <w:trHeight w:val="712"/>
        </w:trPr>
        <w:tc>
          <w:tcPr>
            <w:tcW w:w="5993" w:type="dxa"/>
          </w:tcPr>
          <w:p w14:paraId="74DD9A57" w14:textId="77777777" w:rsidR="3EF06211" w:rsidRPr="00346853" w:rsidRDefault="3EF06211" w:rsidP="004B694B">
            <w:pPr>
              <w:ind w:firstLine="0"/>
              <w:rPr>
                <w:rFonts w:asciiTheme="majorHAnsi" w:hAnsiTheme="majorHAnsi" w:cstheme="majorHAnsi"/>
                <w:sz w:val="22"/>
                <w:szCs w:val="22"/>
              </w:rPr>
            </w:pPr>
            <w:r w:rsidRPr="00346853">
              <w:rPr>
                <w:rFonts w:asciiTheme="majorHAnsi" w:hAnsiTheme="majorHAnsi" w:cstheme="majorHAnsi"/>
                <w:sz w:val="22"/>
                <w:szCs w:val="22"/>
              </w:rPr>
              <w:t>Maloobchod, velkoobchod (vč. opravy a údržby motorových vozidel)</w:t>
            </w:r>
          </w:p>
        </w:tc>
        <w:tc>
          <w:tcPr>
            <w:tcW w:w="3003" w:type="dxa"/>
          </w:tcPr>
          <w:p w14:paraId="7476EC38" w14:textId="77777777" w:rsidR="3EF06211" w:rsidRPr="00346853" w:rsidRDefault="3EF06211" w:rsidP="005208F1">
            <w:pPr>
              <w:jc w:val="right"/>
              <w:rPr>
                <w:rFonts w:asciiTheme="majorHAnsi" w:hAnsiTheme="majorHAnsi" w:cstheme="majorHAnsi"/>
                <w:sz w:val="22"/>
                <w:szCs w:val="22"/>
              </w:rPr>
            </w:pPr>
            <w:r w:rsidRPr="00346853">
              <w:rPr>
                <w:rFonts w:asciiTheme="majorHAnsi" w:hAnsiTheme="majorHAnsi" w:cstheme="majorHAnsi"/>
                <w:sz w:val="22"/>
                <w:szCs w:val="22"/>
              </w:rPr>
              <w:t>20,4 %</w:t>
            </w:r>
          </w:p>
        </w:tc>
      </w:tr>
      <w:tr w:rsidR="3EF06211" w14:paraId="6D0BE92F" w14:textId="77777777" w:rsidTr="004B694B">
        <w:trPr>
          <w:trHeight w:val="391"/>
        </w:trPr>
        <w:tc>
          <w:tcPr>
            <w:tcW w:w="5993" w:type="dxa"/>
          </w:tcPr>
          <w:p w14:paraId="7065EC16" w14:textId="77777777" w:rsidR="3EF06211" w:rsidRPr="00346853" w:rsidRDefault="3EF06211" w:rsidP="004B694B">
            <w:pPr>
              <w:ind w:firstLine="0"/>
              <w:rPr>
                <w:rFonts w:asciiTheme="majorHAnsi" w:hAnsiTheme="majorHAnsi" w:cstheme="majorHAnsi"/>
                <w:sz w:val="22"/>
                <w:szCs w:val="22"/>
              </w:rPr>
            </w:pPr>
            <w:r w:rsidRPr="00346853">
              <w:rPr>
                <w:rFonts w:asciiTheme="majorHAnsi" w:hAnsiTheme="majorHAnsi" w:cstheme="majorHAnsi"/>
                <w:sz w:val="22"/>
                <w:szCs w:val="22"/>
              </w:rPr>
              <w:t>Průmysl</w:t>
            </w:r>
          </w:p>
        </w:tc>
        <w:tc>
          <w:tcPr>
            <w:tcW w:w="3003" w:type="dxa"/>
          </w:tcPr>
          <w:p w14:paraId="111EFE3B" w14:textId="77777777" w:rsidR="3EF06211" w:rsidRPr="00346853" w:rsidRDefault="3EF06211" w:rsidP="005208F1">
            <w:pPr>
              <w:jc w:val="right"/>
              <w:rPr>
                <w:rFonts w:asciiTheme="majorHAnsi" w:hAnsiTheme="majorHAnsi" w:cstheme="majorHAnsi"/>
                <w:sz w:val="22"/>
                <w:szCs w:val="22"/>
              </w:rPr>
            </w:pPr>
            <w:r w:rsidRPr="00346853">
              <w:rPr>
                <w:rFonts w:asciiTheme="majorHAnsi" w:hAnsiTheme="majorHAnsi" w:cstheme="majorHAnsi"/>
                <w:sz w:val="22"/>
                <w:szCs w:val="22"/>
              </w:rPr>
              <w:t>14,9 %</w:t>
            </w:r>
          </w:p>
        </w:tc>
      </w:tr>
      <w:tr w:rsidR="3EF06211" w14:paraId="7B4499A9" w14:textId="77777777" w:rsidTr="004B694B">
        <w:trPr>
          <w:trHeight w:val="391"/>
        </w:trPr>
        <w:tc>
          <w:tcPr>
            <w:tcW w:w="5993" w:type="dxa"/>
          </w:tcPr>
          <w:p w14:paraId="7CFDA269" w14:textId="77777777" w:rsidR="3EF06211" w:rsidRPr="00346853" w:rsidRDefault="3EF06211" w:rsidP="004B694B">
            <w:pPr>
              <w:ind w:firstLine="0"/>
              <w:rPr>
                <w:rFonts w:asciiTheme="majorHAnsi" w:hAnsiTheme="majorHAnsi" w:cstheme="majorHAnsi"/>
                <w:sz w:val="22"/>
                <w:szCs w:val="22"/>
              </w:rPr>
            </w:pPr>
            <w:r w:rsidRPr="00346853">
              <w:rPr>
                <w:rFonts w:asciiTheme="majorHAnsi" w:hAnsiTheme="majorHAnsi" w:cstheme="majorHAnsi"/>
                <w:sz w:val="22"/>
                <w:szCs w:val="22"/>
              </w:rPr>
              <w:t>Profesní a technické činnosti</w:t>
            </w:r>
          </w:p>
        </w:tc>
        <w:tc>
          <w:tcPr>
            <w:tcW w:w="3003" w:type="dxa"/>
          </w:tcPr>
          <w:p w14:paraId="294C9D8B" w14:textId="77777777" w:rsidR="3EF06211" w:rsidRPr="00346853" w:rsidRDefault="3EF06211" w:rsidP="005208F1">
            <w:pPr>
              <w:jc w:val="right"/>
              <w:rPr>
                <w:rFonts w:asciiTheme="majorHAnsi" w:hAnsiTheme="majorHAnsi" w:cstheme="majorHAnsi"/>
                <w:sz w:val="22"/>
                <w:szCs w:val="22"/>
              </w:rPr>
            </w:pPr>
            <w:r w:rsidRPr="00346853">
              <w:rPr>
                <w:rFonts w:asciiTheme="majorHAnsi" w:hAnsiTheme="majorHAnsi" w:cstheme="majorHAnsi"/>
                <w:sz w:val="22"/>
                <w:szCs w:val="22"/>
              </w:rPr>
              <w:t>10,0 %</w:t>
            </w:r>
          </w:p>
        </w:tc>
      </w:tr>
      <w:tr w:rsidR="3EF06211" w14:paraId="779BAFB9" w14:textId="77777777" w:rsidTr="004B694B">
        <w:trPr>
          <w:trHeight w:val="377"/>
        </w:trPr>
        <w:tc>
          <w:tcPr>
            <w:tcW w:w="5993" w:type="dxa"/>
          </w:tcPr>
          <w:p w14:paraId="11C7E321" w14:textId="77777777" w:rsidR="3EF06211" w:rsidRPr="00346853" w:rsidRDefault="3EF06211" w:rsidP="004B694B">
            <w:pPr>
              <w:ind w:firstLine="0"/>
              <w:rPr>
                <w:rFonts w:asciiTheme="majorHAnsi" w:hAnsiTheme="majorHAnsi" w:cstheme="majorHAnsi"/>
                <w:sz w:val="22"/>
                <w:szCs w:val="22"/>
              </w:rPr>
            </w:pPr>
            <w:r w:rsidRPr="00346853">
              <w:rPr>
                <w:rFonts w:asciiTheme="majorHAnsi" w:hAnsiTheme="majorHAnsi" w:cstheme="majorHAnsi"/>
                <w:sz w:val="22"/>
                <w:szCs w:val="22"/>
              </w:rPr>
              <w:t>Stavebnictví</w:t>
            </w:r>
          </w:p>
        </w:tc>
        <w:tc>
          <w:tcPr>
            <w:tcW w:w="3003" w:type="dxa"/>
          </w:tcPr>
          <w:p w14:paraId="3C6130D8" w14:textId="77777777" w:rsidR="3EF06211" w:rsidRPr="00346853" w:rsidRDefault="3EF06211" w:rsidP="005208F1">
            <w:pPr>
              <w:jc w:val="right"/>
              <w:rPr>
                <w:rFonts w:asciiTheme="majorHAnsi" w:hAnsiTheme="majorHAnsi" w:cstheme="majorHAnsi"/>
                <w:sz w:val="22"/>
                <w:szCs w:val="22"/>
              </w:rPr>
            </w:pPr>
            <w:r w:rsidRPr="00346853">
              <w:rPr>
                <w:rFonts w:asciiTheme="majorHAnsi" w:hAnsiTheme="majorHAnsi" w:cstheme="majorHAnsi"/>
                <w:sz w:val="22"/>
                <w:szCs w:val="22"/>
              </w:rPr>
              <w:t>9,8 %</w:t>
            </w:r>
          </w:p>
        </w:tc>
      </w:tr>
      <w:tr w:rsidR="3EF06211" w14:paraId="7B582116" w14:textId="77777777" w:rsidTr="004B694B">
        <w:trPr>
          <w:trHeight w:val="391"/>
        </w:trPr>
        <w:tc>
          <w:tcPr>
            <w:tcW w:w="5993" w:type="dxa"/>
          </w:tcPr>
          <w:p w14:paraId="2AB14392" w14:textId="77777777" w:rsidR="3EF06211" w:rsidRPr="00346853" w:rsidRDefault="3EF06211" w:rsidP="004B694B">
            <w:pPr>
              <w:ind w:firstLine="0"/>
              <w:rPr>
                <w:rFonts w:asciiTheme="majorHAnsi" w:hAnsiTheme="majorHAnsi" w:cstheme="majorHAnsi"/>
                <w:sz w:val="22"/>
                <w:szCs w:val="22"/>
              </w:rPr>
            </w:pPr>
            <w:r w:rsidRPr="00346853">
              <w:rPr>
                <w:rFonts w:asciiTheme="majorHAnsi" w:hAnsiTheme="majorHAnsi" w:cstheme="majorHAnsi"/>
                <w:sz w:val="22"/>
                <w:szCs w:val="22"/>
              </w:rPr>
              <w:t>Profese v oblasti zdravotní a sociální péče</w:t>
            </w:r>
          </w:p>
        </w:tc>
        <w:tc>
          <w:tcPr>
            <w:tcW w:w="3003" w:type="dxa"/>
          </w:tcPr>
          <w:p w14:paraId="6D79F926" w14:textId="77777777" w:rsidR="3EF06211" w:rsidRPr="00346853" w:rsidRDefault="3EF06211" w:rsidP="005208F1">
            <w:pPr>
              <w:jc w:val="right"/>
              <w:rPr>
                <w:rFonts w:asciiTheme="majorHAnsi" w:hAnsiTheme="majorHAnsi" w:cstheme="majorHAnsi"/>
                <w:sz w:val="22"/>
                <w:szCs w:val="22"/>
              </w:rPr>
            </w:pPr>
            <w:r w:rsidRPr="00346853">
              <w:rPr>
                <w:rFonts w:asciiTheme="majorHAnsi" w:hAnsiTheme="majorHAnsi" w:cstheme="majorHAnsi"/>
                <w:sz w:val="22"/>
                <w:szCs w:val="22"/>
              </w:rPr>
              <w:t>9,7 %</w:t>
            </w:r>
          </w:p>
        </w:tc>
      </w:tr>
      <w:tr w:rsidR="3EF06211" w14:paraId="577BAE91" w14:textId="77777777" w:rsidTr="004B694B">
        <w:trPr>
          <w:trHeight w:val="391"/>
        </w:trPr>
        <w:tc>
          <w:tcPr>
            <w:tcW w:w="5993" w:type="dxa"/>
          </w:tcPr>
          <w:p w14:paraId="7EFA339D" w14:textId="77777777" w:rsidR="3EF06211" w:rsidRPr="00346853" w:rsidRDefault="3EF06211" w:rsidP="004B694B">
            <w:pPr>
              <w:ind w:firstLine="0"/>
              <w:rPr>
                <w:rFonts w:asciiTheme="majorHAnsi" w:hAnsiTheme="majorHAnsi" w:cstheme="majorHAnsi"/>
                <w:sz w:val="22"/>
                <w:szCs w:val="22"/>
              </w:rPr>
            </w:pPr>
            <w:r w:rsidRPr="00346853">
              <w:rPr>
                <w:rFonts w:asciiTheme="majorHAnsi" w:hAnsiTheme="majorHAnsi" w:cstheme="majorHAnsi"/>
                <w:sz w:val="22"/>
                <w:szCs w:val="22"/>
              </w:rPr>
              <w:t>Ubytování, stravování, pohostinství</w:t>
            </w:r>
          </w:p>
        </w:tc>
        <w:tc>
          <w:tcPr>
            <w:tcW w:w="3003" w:type="dxa"/>
          </w:tcPr>
          <w:p w14:paraId="5F9AFA28" w14:textId="77777777" w:rsidR="3EF06211" w:rsidRPr="00346853" w:rsidRDefault="3EF06211" w:rsidP="005208F1">
            <w:pPr>
              <w:jc w:val="right"/>
              <w:rPr>
                <w:rFonts w:asciiTheme="majorHAnsi" w:hAnsiTheme="majorHAnsi" w:cstheme="majorHAnsi"/>
                <w:sz w:val="22"/>
                <w:szCs w:val="22"/>
              </w:rPr>
            </w:pPr>
            <w:r w:rsidRPr="00346853">
              <w:rPr>
                <w:rFonts w:asciiTheme="majorHAnsi" w:hAnsiTheme="majorHAnsi" w:cstheme="majorHAnsi"/>
                <w:sz w:val="22"/>
                <w:szCs w:val="22"/>
              </w:rPr>
              <w:t>9,2 %</w:t>
            </w:r>
          </w:p>
        </w:tc>
      </w:tr>
      <w:tr w:rsidR="3EF06211" w14:paraId="41B052D0" w14:textId="77777777" w:rsidTr="004B694B">
        <w:trPr>
          <w:trHeight w:val="377"/>
        </w:trPr>
        <w:tc>
          <w:tcPr>
            <w:tcW w:w="5993" w:type="dxa"/>
          </w:tcPr>
          <w:p w14:paraId="3EE4C8F1" w14:textId="77777777" w:rsidR="3EF06211" w:rsidRPr="00346853" w:rsidRDefault="3EF06211" w:rsidP="004B694B">
            <w:pPr>
              <w:ind w:firstLine="0"/>
              <w:rPr>
                <w:rFonts w:asciiTheme="majorHAnsi" w:hAnsiTheme="majorHAnsi" w:cstheme="majorHAnsi"/>
                <w:sz w:val="22"/>
                <w:szCs w:val="22"/>
              </w:rPr>
            </w:pPr>
            <w:r w:rsidRPr="00346853">
              <w:rPr>
                <w:rFonts w:asciiTheme="majorHAnsi" w:hAnsiTheme="majorHAnsi" w:cstheme="majorHAnsi"/>
                <w:sz w:val="22"/>
                <w:szCs w:val="22"/>
              </w:rPr>
              <w:t>Zemědělství</w:t>
            </w:r>
          </w:p>
        </w:tc>
        <w:tc>
          <w:tcPr>
            <w:tcW w:w="3003" w:type="dxa"/>
          </w:tcPr>
          <w:p w14:paraId="69FD9E57" w14:textId="77777777" w:rsidR="3EF06211" w:rsidRPr="00346853" w:rsidRDefault="3EF06211" w:rsidP="005208F1">
            <w:pPr>
              <w:jc w:val="right"/>
              <w:rPr>
                <w:rFonts w:asciiTheme="majorHAnsi" w:hAnsiTheme="majorHAnsi" w:cstheme="majorHAnsi"/>
                <w:sz w:val="22"/>
                <w:szCs w:val="22"/>
              </w:rPr>
            </w:pPr>
            <w:r w:rsidRPr="00346853">
              <w:rPr>
                <w:rFonts w:asciiTheme="majorHAnsi" w:hAnsiTheme="majorHAnsi" w:cstheme="majorHAnsi"/>
                <w:sz w:val="22"/>
                <w:szCs w:val="22"/>
              </w:rPr>
              <w:t>5,0 %</w:t>
            </w:r>
          </w:p>
        </w:tc>
      </w:tr>
      <w:tr w:rsidR="3EF06211" w14:paraId="5538E42C" w14:textId="77777777" w:rsidTr="004B694B">
        <w:trPr>
          <w:trHeight w:val="391"/>
        </w:trPr>
        <w:tc>
          <w:tcPr>
            <w:tcW w:w="5993" w:type="dxa"/>
          </w:tcPr>
          <w:p w14:paraId="2465BBEC" w14:textId="77777777" w:rsidR="3EF06211" w:rsidRPr="00346853" w:rsidRDefault="3EF06211" w:rsidP="004B694B">
            <w:pPr>
              <w:ind w:firstLine="0"/>
              <w:rPr>
                <w:rFonts w:asciiTheme="majorHAnsi" w:hAnsiTheme="majorHAnsi" w:cstheme="majorHAnsi"/>
                <w:sz w:val="22"/>
                <w:szCs w:val="22"/>
              </w:rPr>
            </w:pPr>
            <w:r w:rsidRPr="00346853">
              <w:rPr>
                <w:rFonts w:asciiTheme="majorHAnsi" w:hAnsiTheme="majorHAnsi" w:cstheme="majorHAnsi"/>
                <w:sz w:val="22"/>
                <w:szCs w:val="22"/>
              </w:rPr>
              <w:t>Ostatní</w:t>
            </w:r>
          </w:p>
        </w:tc>
        <w:tc>
          <w:tcPr>
            <w:tcW w:w="3003" w:type="dxa"/>
          </w:tcPr>
          <w:p w14:paraId="6DE715B6" w14:textId="77777777" w:rsidR="3EF06211" w:rsidRPr="00346853" w:rsidRDefault="3EF06211" w:rsidP="005208F1">
            <w:pPr>
              <w:jc w:val="right"/>
              <w:rPr>
                <w:rFonts w:asciiTheme="majorHAnsi" w:hAnsiTheme="majorHAnsi" w:cstheme="majorHAnsi"/>
                <w:sz w:val="22"/>
                <w:szCs w:val="22"/>
              </w:rPr>
            </w:pPr>
            <w:r w:rsidRPr="00346853">
              <w:rPr>
                <w:rFonts w:asciiTheme="majorHAnsi" w:hAnsiTheme="majorHAnsi" w:cstheme="majorHAnsi"/>
                <w:sz w:val="22"/>
                <w:szCs w:val="22"/>
              </w:rPr>
              <w:t>21,0 %</w:t>
            </w:r>
          </w:p>
        </w:tc>
      </w:tr>
    </w:tbl>
    <w:p w14:paraId="02964BF9" w14:textId="77777777" w:rsidR="4696C687" w:rsidRPr="004B694B" w:rsidRDefault="2FB10D41" w:rsidP="005208F1">
      <w:pPr>
        <w:spacing w:before="0" w:line="240" w:lineRule="auto"/>
        <w:ind w:firstLine="0"/>
        <w:rPr>
          <w:rFonts w:ascii="Calibri" w:eastAsia="Calibri" w:hAnsi="Calibri" w:cs="Calibri"/>
          <w:b/>
          <w:bCs/>
          <w:szCs w:val="24"/>
        </w:rPr>
      </w:pPr>
      <w:r w:rsidRPr="004B694B">
        <w:rPr>
          <w:rFonts w:ascii="Calibri" w:eastAsia="Calibri" w:hAnsi="Calibri" w:cs="Calibri"/>
          <w:i/>
          <w:iCs/>
          <w:sz w:val="18"/>
          <w:szCs w:val="18"/>
        </w:rPr>
        <w:t>Zdroj: Statistické ročenky krajů 2017, ČSÚ 2017, ÚZEI, Zpráva o stavu zemědělství, 2017. Výpočet vzniknul na základě interpolace dat tzv. převážně venkovských regionů: JIH K, PLZ K, PUA K, VYS, OL K, ZL K (klasifikace EU).</w:t>
      </w:r>
      <w:r w:rsidR="3EF06211" w:rsidRPr="004B694B">
        <w:rPr>
          <w:rFonts w:ascii="Calibri" w:eastAsia="Calibri" w:hAnsi="Calibri" w:cs="Calibri"/>
          <w:i/>
          <w:iCs/>
          <w:sz w:val="18"/>
          <w:szCs w:val="18"/>
        </w:rPr>
        <w:t xml:space="preserve"> </w:t>
      </w:r>
    </w:p>
    <w:p w14:paraId="5AED36B8" w14:textId="77777777" w:rsidR="005208F1" w:rsidRPr="005208F1" w:rsidRDefault="005208F1" w:rsidP="005208F1">
      <w:pPr>
        <w:spacing w:after="200" w:line="276" w:lineRule="auto"/>
        <w:ind w:firstLine="0"/>
        <w:rPr>
          <w:rFonts w:eastAsia="Calibri"/>
          <w:b/>
          <w:bCs/>
          <w:szCs w:val="24"/>
        </w:rPr>
      </w:pPr>
    </w:p>
    <w:p w14:paraId="59591194" w14:textId="77777777" w:rsidR="04D3BA9E" w:rsidRPr="005208F1" w:rsidRDefault="04D3BA9E" w:rsidP="005208F1">
      <w:pPr>
        <w:ind w:firstLine="0"/>
        <w:rPr>
          <w:rFonts w:eastAsia="Calibri"/>
          <w:b/>
          <w:bCs/>
          <w:szCs w:val="24"/>
        </w:rPr>
      </w:pPr>
      <w:r w:rsidRPr="005208F1">
        <w:rPr>
          <w:rFonts w:eastAsia="Calibri"/>
          <w:b/>
          <w:bCs/>
          <w:szCs w:val="24"/>
        </w:rPr>
        <w:t>Více jak 20 % ze všech firem</w:t>
      </w:r>
      <w:r w:rsidRPr="005208F1">
        <w:rPr>
          <w:rFonts w:eastAsia="Calibri"/>
          <w:szCs w:val="24"/>
        </w:rPr>
        <w:t xml:space="preserve"> na venkově jsou podnikatelé v oblasti </w:t>
      </w:r>
      <w:r w:rsidRPr="005208F1">
        <w:rPr>
          <w:rFonts w:eastAsia="Calibri"/>
          <w:b/>
          <w:bCs/>
          <w:szCs w:val="24"/>
        </w:rPr>
        <w:t>obchodu a drobných služeb</w:t>
      </w:r>
      <w:r w:rsidRPr="005208F1">
        <w:rPr>
          <w:rFonts w:eastAsia="Calibri"/>
          <w:szCs w:val="24"/>
        </w:rPr>
        <w:t xml:space="preserve">, </w:t>
      </w:r>
      <w:r w:rsidRPr="005208F1">
        <w:rPr>
          <w:rFonts w:eastAsia="Calibri"/>
          <w:b/>
          <w:bCs/>
          <w:szCs w:val="24"/>
        </w:rPr>
        <w:t>15 %</w:t>
      </w:r>
      <w:r w:rsidRPr="005208F1">
        <w:rPr>
          <w:rFonts w:eastAsia="Calibri"/>
          <w:szCs w:val="24"/>
        </w:rPr>
        <w:t xml:space="preserve"> drobné </w:t>
      </w:r>
      <w:r w:rsidRPr="005208F1">
        <w:rPr>
          <w:rFonts w:eastAsia="Calibri"/>
          <w:b/>
          <w:bCs/>
          <w:szCs w:val="24"/>
        </w:rPr>
        <w:t>průmyslové aktivity</w:t>
      </w:r>
      <w:r w:rsidRPr="005208F1">
        <w:rPr>
          <w:rFonts w:eastAsia="Calibri"/>
          <w:szCs w:val="24"/>
        </w:rPr>
        <w:t xml:space="preserve">, </w:t>
      </w:r>
      <w:r w:rsidRPr="005208F1">
        <w:rPr>
          <w:rFonts w:eastAsia="Calibri"/>
          <w:b/>
          <w:bCs/>
          <w:szCs w:val="24"/>
        </w:rPr>
        <w:t>po 10 %</w:t>
      </w:r>
      <w:r w:rsidRPr="005208F1">
        <w:rPr>
          <w:rFonts w:eastAsia="Calibri"/>
          <w:szCs w:val="24"/>
        </w:rPr>
        <w:t xml:space="preserve"> drží firmy z </w:t>
      </w:r>
      <w:r w:rsidRPr="005208F1">
        <w:rPr>
          <w:rFonts w:eastAsia="Calibri"/>
          <w:b/>
          <w:bCs/>
          <w:szCs w:val="24"/>
        </w:rPr>
        <w:t>profesních oborů, stavebnictví, ubytování a sociálních služeb</w:t>
      </w:r>
      <w:r w:rsidRPr="005208F1">
        <w:rPr>
          <w:rFonts w:eastAsia="Calibri"/>
          <w:szCs w:val="24"/>
        </w:rPr>
        <w:t xml:space="preserve">. </w:t>
      </w:r>
      <w:r w:rsidRPr="005208F1">
        <w:rPr>
          <w:rFonts w:eastAsia="Calibri"/>
          <w:b/>
          <w:bCs/>
          <w:szCs w:val="24"/>
        </w:rPr>
        <w:t>Podnikatelé v zemědělství</w:t>
      </w:r>
      <w:r w:rsidRPr="005208F1">
        <w:rPr>
          <w:rFonts w:eastAsia="Calibri"/>
          <w:szCs w:val="24"/>
        </w:rPr>
        <w:t xml:space="preserve"> jsou na venkově zastoupeny z </w:t>
      </w:r>
      <w:r w:rsidRPr="005208F1">
        <w:rPr>
          <w:rFonts w:eastAsia="Calibri"/>
          <w:b/>
          <w:bCs/>
          <w:szCs w:val="24"/>
        </w:rPr>
        <w:t>5 %.</w:t>
      </w:r>
    </w:p>
    <w:p w14:paraId="4904385A" w14:textId="77777777" w:rsidR="4696C687" w:rsidRPr="005208F1" w:rsidRDefault="4696C687" w:rsidP="005208F1">
      <w:pPr>
        <w:spacing w:after="200" w:line="276" w:lineRule="auto"/>
        <w:ind w:firstLine="0"/>
        <w:rPr>
          <w:rFonts w:eastAsia="Calibri"/>
          <w:szCs w:val="24"/>
        </w:rPr>
      </w:pPr>
    </w:p>
    <w:p w14:paraId="41F2A984" w14:textId="77777777" w:rsidR="00143820" w:rsidRPr="004B694B" w:rsidRDefault="00143820">
      <w:pPr>
        <w:ind w:firstLine="0"/>
        <w:rPr>
          <w:rFonts w:asciiTheme="majorHAnsi" w:eastAsiaTheme="majorEastAsia" w:hAnsiTheme="majorHAnsi" w:cstheme="majorBidi"/>
          <w:b/>
          <w:bCs/>
        </w:rPr>
      </w:pPr>
      <w:r w:rsidRPr="004B694B">
        <w:rPr>
          <w:rFonts w:asciiTheme="majorHAnsi" w:eastAsiaTheme="majorEastAsia" w:hAnsiTheme="majorHAnsi" w:cstheme="majorBidi"/>
          <w:b/>
          <w:bCs/>
        </w:rPr>
        <w:t>Diverzifikace</w:t>
      </w:r>
    </w:p>
    <w:p w14:paraId="155DF81C" w14:textId="77777777" w:rsidR="00143820" w:rsidRPr="004739EB" w:rsidRDefault="00143820" w:rsidP="005208F1">
      <w:pPr>
        <w:spacing w:after="240"/>
      </w:pPr>
      <w:r w:rsidRPr="00617715">
        <w:t xml:space="preserve">Podíl </w:t>
      </w:r>
      <w:proofErr w:type="spellStart"/>
      <w:r w:rsidRPr="00617715">
        <w:t>diverzifikujících</w:t>
      </w:r>
      <w:proofErr w:type="spellEnd"/>
      <w:r w:rsidRPr="00617715">
        <w:t xml:space="preserve"> podniků v ČR do 20 % (Dánsko 60 % nebo Rakousko</w:t>
      </w:r>
      <w:r w:rsidR="004030E7">
        <w:t xml:space="preserve"> 50 % v r. 2013). </w:t>
      </w:r>
      <w:r w:rsidRPr="002500AE">
        <w:t xml:space="preserve">V roce 2013 </w:t>
      </w:r>
      <w:r>
        <w:t xml:space="preserve">diverzifikovalo svou činnost průměrně 15,6 % zemědělských podniků </w:t>
      </w:r>
      <w:r w:rsidRPr="002500AE">
        <w:t>v</w:t>
      </w:r>
      <w:r>
        <w:t> </w:t>
      </w:r>
      <w:r w:rsidRPr="002500AE">
        <w:t>EU</w:t>
      </w:r>
      <w:r w:rsidR="00E87A90">
        <w:t xml:space="preserve"> (</w:t>
      </w:r>
      <w:r w:rsidR="00E87A90" w:rsidRPr="004739EB">
        <w:t xml:space="preserve">Obrázek </w:t>
      </w:r>
      <w:r w:rsidR="00776DDB">
        <w:t>7.</w:t>
      </w:r>
      <w:r w:rsidR="00E87A90" w:rsidRPr="004739EB">
        <w:t>3.8</w:t>
      </w:r>
      <w:r w:rsidRPr="004739EB">
        <w:t xml:space="preserve">). Situace je v členských státech hluboce kontrastována: v Portugalsku, Lotyšsku, Rumunsku, Polsku, Řecku, Španělsku, Bulharsku, Litvě, Kypru a na Maltě je tento podíl nižší než 5 %, v Dánsku dosahuje až 60,1 %, v Rakousku 51,7 %, ve Švédsku 37, 3 %, v Německu 33 % a Lucembursku 30,3 %. V České republice diverzifikovalo v roce 2016 18,6 % podniků, což je o 3 % více, než je průměr EU (15,6 %). Nejběžnější z těchto činností jsou smluvní práce, zpracování zemědělských produktů, výroba obnovitelné energie a cestovní ruch </w:t>
      </w:r>
      <w:r w:rsidRPr="004739EB">
        <w:rPr>
          <w:color w:val="000000" w:themeColor="text1"/>
        </w:rPr>
        <w:t xml:space="preserve">(Obrázek </w:t>
      </w:r>
      <w:r w:rsidR="005208F1">
        <w:rPr>
          <w:color w:val="000000" w:themeColor="text1"/>
        </w:rPr>
        <w:t>7.</w:t>
      </w:r>
      <w:r w:rsidRPr="004739EB">
        <w:rPr>
          <w:color w:val="000000" w:themeColor="text1"/>
        </w:rPr>
        <w:t>3.</w:t>
      </w:r>
      <w:r w:rsidR="00E34D45" w:rsidRPr="004739EB">
        <w:rPr>
          <w:color w:val="000000" w:themeColor="text1"/>
        </w:rPr>
        <w:t>8</w:t>
      </w:r>
      <w:r w:rsidRPr="004739EB">
        <w:rPr>
          <w:color w:val="000000" w:themeColor="text1"/>
        </w:rPr>
        <w:t>).</w:t>
      </w:r>
    </w:p>
    <w:p w14:paraId="510404C4" w14:textId="77777777" w:rsidR="00E34D45" w:rsidRPr="005208F1" w:rsidRDefault="00E34D45" w:rsidP="005208F1">
      <w:pPr>
        <w:pStyle w:val="Titulek"/>
        <w:keepNext/>
        <w:spacing w:after="0"/>
        <w:ind w:firstLine="0"/>
        <w:rPr>
          <w:rFonts w:asciiTheme="majorHAnsi" w:eastAsiaTheme="majorEastAsia" w:hAnsiTheme="majorHAnsi" w:cstheme="majorHAnsi"/>
          <w:b/>
          <w:bCs/>
          <w:i w:val="0"/>
          <w:iCs w:val="0"/>
          <w:color w:val="auto"/>
          <w:sz w:val="22"/>
          <w:szCs w:val="22"/>
        </w:rPr>
      </w:pPr>
      <w:bookmarkStart w:id="101" w:name="_Toc525727635"/>
      <w:bookmarkStart w:id="102" w:name="_Toc525735922"/>
      <w:bookmarkStart w:id="103" w:name="_Toc525738219"/>
      <w:r w:rsidRPr="005208F1">
        <w:rPr>
          <w:rFonts w:asciiTheme="majorHAnsi" w:hAnsiTheme="majorHAnsi" w:cstheme="majorHAnsi"/>
          <w:b/>
          <w:i w:val="0"/>
          <w:color w:val="auto"/>
          <w:sz w:val="22"/>
          <w:szCs w:val="22"/>
        </w:rPr>
        <w:lastRenderedPageBreak/>
        <w:t xml:space="preserve">Obrázek </w:t>
      </w:r>
      <w:r w:rsidR="005208F1">
        <w:rPr>
          <w:rFonts w:asciiTheme="majorHAnsi" w:hAnsiTheme="majorHAnsi" w:cstheme="majorHAnsi"/>
          <w:b/>
          <w:i w:val="0"/>
          <w:color w:val="auto"/>
          <w:sz w:val="22"/>
          <w:szCs w:val="22"/>
        </w:rPr>
        <w:t>7.</w:t>
      </w:r>
      <w:r w:rsidR="00240E36" w:rsidRPr="005208F1">
        <w:rPr>
          <w:rFonts w:asciiTheme="majorHAnsi" w:hAnsiTheme="majorHAnsi" w:cstheme="majorHAnsi"/>
          <w:b/>
          <w:i w:val="0"/>
          <w:color w:val="auto"/>
          <w:sz w:val="22"/>
          <w:szCs w:val="22"/>
        </w:rPr>
        <w:fldChar w:fldCharType="begin"/>
      </w:r>
      <w:r w:rsidR="00240E36" w:rsidRPr="005208F1">
        <w:rPr>
          <w:rFonts w:asciiTheme="majorHAnsi" w:hAnsiTheme="majorHAnsi" w:cstheme="majorHAnsi"/>
          <w:b/>
          <w:i w:val="0"/>
          <w:color w:val="auto"/>
          <w:sz w:val="22"/>
          <w:szCs w:val="22"/>
        </w:rPr>
        <w:instrText xml:space="preserve"> STYLEREF 1 \s </w:instrText>
      </w:r>
      <w:r w:rsidR="00240E36" w:rsidRPr="005208F1">
        <w:rPr>
          <w:rFonts w:asciiTheme="majorHAnsi" w:hAnsiTheme="majorHAnsi" w:cstheme="majorHAnsi"/>
          <w:b/>
          <w:i w:val="0"/>
          <w:color w:val="auto"/>
          <w:sz w:val="22"/>
          <w:szCs w:val="22"/>
        </w:rPr>
        <w:fldChar w:fldCharType="separate"/>
      </w:r>
      <w:r w:rsidR="00240E36" w:rsidRPr="005208F1">
        <w:rPr>
          <w:rFonts w:asciiTheme="majorHAnsi" w:hAnsiTheme="majorHAnsi" w:cstheme="majorHAnsi"/>
          <w:b/>
          <w:i w:val="0"/>
          <w:noProof/>
          <w:color w:val="auto"/>
          <w:sz w:val="22"/>
          <w:szCs w:val="22"/>
        </w:rPr>
        <w:t>3</w:t>
      </w:r>
      <w:r w:rsidR="00240E36" w:rsidRPr="005208F1">
        <w:rPr>
          <w:rFonts w:asciiTheme="majorHAnsi" w:hAnsiTheme="majorHAnsi" w:cstheme="majorHAnsi"/>
          <w:b/>
          <w:i w:val="0"/>
          <w:color w:val="auto"/>
          <w:sz w:val="22"/>
          <w:szCs w:val="22"/>
        </w:rPr>
        <w:fldChar w:fldCharType="end"/>
      </w:r>
      <w:r w:rsidR="00240E36" w:rsidRPr="005208F1">
        <w:rPr>
          <w:rFonts w:asciiTheme="majorHAnsi" w:hAnsiTheme="majorHAnsi" w:cstheme="majorHAnsi"/>
          <w:b/>
          <w:i w:val="0"/>
          <w:color w:val="auto"/>
          <w:sz w:val="22"/>
          <w:szCs w:val="22"/>
        </w:rPr>
        <w:t>.</w:t>
      </w:r>
      <w:r w:rsidR="00EB5B81" w:rsidRPr="005208F1">
        <w:rPr>
          <w:rFonts w:asciiTheme="majorHAnsi" w:hAnsiTheme="majorHAnsi" w:cstheme="majorHAnsi"/>
          <w:b/>
          <w:i w:val="0"/>
          <w:color w:val="auto"/>
          <w:sz w:val="22"/>
          <w:szCs w:val="22"/>
        </w:rPr>
        <w:fldChar w:fldCharType="begin"/>
      </w:r>
      <w:r w:rsidR="00EB5B81" w:rsidRPr="005208F1">
        <w:rPr>
          <w:rFonts w:asciiTheme="majorHAnsi" w:hAnsiTheme="majorHAnsi" w:cstheme="majorHAnsi"/>
          <w:b/>
          <w:i w:val="0"/>
          <w:color w:val="auto"/>
          <w:sz w:val="22"/>
          <w:szCs w:val="22"/>
        </w:rPr>
        <w:instrText xml:space="preserve"> SEQ Obrázek \* ARABIC \s 1 </w:instrText>
      </w:r>
      <w:r w:rsidR="00EB5B81" w:rsidRPr="005208F1">
        <w:rPr>
          <w:rFonts w:asciiTheme="majorHAnsi" w:hAnsiTheme="majorHAnsi" w:cstheme="majorHAnsi"/>
          <w:b/>
          <w:i w:val="0"/>
          <w:color w:val="auto"/>
          <w:sz w:val="22"/>
          <w:szCs w:val="22"/>
        </w:rPr>
        <w:fldChar w:fldCharType="separate"/>
      </w:r>
      <w:r w:rsidR="00EB5B81" w:rsidRPr="005208F1">
        <w:rPr>
          <w:rFonts w:asciiTheme="majorHAnsi" w:hAnsiTheme="majorHAnsi" w:cstheme="majorHAnsi"/>
          <w:b/>
          <w:i w:val="0"/>
          <w:noProof/>
          <w:color w:val="auto"/>
          <w:sz w:val="22"/>
          <w:szCs w:val="22"/>
        </w:rPr>
        <w:t>8</w:t>
      </w:r>
      <w:r w:rsidR="00EB5B81" w:rsidRPr="005208F1">
        <w:rPr>
          <w:rFonts w:asciiTheme="majorHAnsi" w:hAnsiTheme="majorHAnsi" w:cstheme="majorHAnsi"/>
          <w:b/>
          <w:i w:val="0"/>
          <w:color w:val="auto"/>
          <w:sz w:val="22"/>
          <w:szCs w:val="22"/>
        </w:rPr>
        <w:fldChar w:fldCharType="end"/>
      </w:r>
      <w:r w:rsidRPr="005208F1">
        <w:rPr>
          <w:rFonts w:asciiTheme="majorHAnsi" w:hAnsiTheme="majorHAnsi" w:cstheme="majorHAnsi"/>
          <w:b/>
          <w:i w:val="0"/>
          <w:color w:val="auto"/>
          <w:sz w:val="22"/>
          <w:szCs w:val="22"/>
        </w:rPr>
        <w:t xml:space="preserve">: </w:t>
      </w:r>
      <w:r w:rsidRPr="005208F1">
        <w:rPr>
          <w:rFonts w:asciiTheme="majorHAnsi" w:eastAsiaTheme="majorEastAsia" w:hAnsiTheme="majorHAnsi" w:cstheme="majorHAnsi"/>
          <w:b/>
          <w:bCs/>
          <w:i w:val="0"/>
          <w:iCs w:val="0"/>
          <w:color w:val="auto"/>
          <w:sz w:val="22"/>
          <w:szCs w:val="22"/>
        </w:rPr>
        <w:t>Podíl zemědělských podniků s nezemědělskou činností na celkovém počtu zem. podniků v členských státech EU v roce 2010 a 2013</w:t>
      </w:r>
      <w:bookmarkEnd w:id="101"/>
      <w:bookmarkEnd w:id="102"/>
      <w:bookmarkEnd w:id="103"/>
    </w:p>
    <w:p w14:paraId="2237AEB1" w14:textId="77777777" w:rsidR="00143820" w:rsidRPr="004739EB" w:rsidRDefault="00143820" w:rsidP="009663F1">
      <w:pPr>
        <w:keepNext/>
        <w:ind w:firstLine="0"/>
      </w:pPr>
      <w:r w:rsidRPr="004739EB">
        <w:rPr>
          <w:noProof/>
        </w:rPr>
        <w:drawing>
          <wp:inline distT="0" distB="0" distL="0" distR="0" wp14:anchorId="54BC4619" wp14:editId="55DA19E0">
            <wp:extent cx="5503545" cy="1914525"/>
            <wp:effectExtent l="0" t="0" r="1905" b="9525"/>
            <wp:docPr id="38" name="Graf 38">
              <a:extLst xmlns:a="http://schemas.openxmlformats.org/drawingml/2006/main">
                <a:ext uri="{FF2B5EF4-FFF2-40B4-BE49-F238E27FC236}">
                  <a16:creationId xmlns:a16="http://schemas.microsoft.com/office/drawing/2014/main" id="{7078ECF7-00CD-45D8-B9A3-1051D055C4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D358DD3" w14:textId="77777777" w:rsidR="00143820" w:rsidRPr="005208F1" w:rsidRDefault="00143820" w:rsidP="004B694B">
      <w:pPr>
        <w:pStyle w:val="Titulek"/>
        <w:spacing w:after="0"/>
        <w:ind w:firstLine="0"/>
        <w:rPr>
          <w:rFonts w:asciiTheme="majorHAnsi" w:eastAsiaTheme="majorEastAsia" w:hAnsiTheme="majorHAnsi" w:cstheme="majorHAnsi"/>
          <w:color w:val="auto"/>
        </w:rPr>
      </w:pPr>
      <w:r w:rsidRPr="005208F1">
        <w:rPr>
          <w:rFonts w:asciiTheme="majorHAnsi" w:eastAsiaTheme="majorEastAsia" w:hAnsiTheme="majorHAnsi" w:cstheme="majorHAnsi"/>
          <w:color w:val="auto"/>
        </w:rPr>
        <w:t xml:space="preserve">Zdroj: </w:t>
      </w:r>
      <w:proofErr w:type="spellStart"/>
      <w:r w:rsidRPr="005208F1">
        <w:rPr>
          <w:rFonts w:asciiTheme="majorHAnsi" w:eastAsiaTheme="majorEastAsia" w:hAnsiTheme="majorHAnsi" w:cstheme="majorHAnsi"/>
          <w:color w:val="auto"/>
        </w:rPr>
        <w:t>Eurostat</w:t>
      </w:r>
      <w:proofErr w:type="spellEnd"/>
      <w:r w:rsidRPr="005208F1">
        <w:rPr>
          <w:rFonts w:asciiTheme="majorHAnsi" w:eastAsiaTheme="majorEastAsia" w:hAnsiTheme="majorHAnsi" w:cstheme="majorHAnsi"/>
          <w:color w:val="auto"/>
        </w:rPr>
        <w:t xml:space="preserve"> (</w:t>
      </w:r>
      <w:proofErr w:type="spellStart"/>
      <w:r w:rsidRPr="005208F1">
        <w:rPr>
          <w:rFonts w:asciiTheme="majorHAnsi" w:eastAsiaTheme="majorEastAsia" w:hAnsiTheme="majorHAnsi" w:cstheme="majorHAnsi"/>
          <w:color w:val="auto"/>
        </w:rPr>
        <w:t>Farm</w:t>
      </w:r>
      <w:proofErr w:type="spellEnd"/>
      <w:r w:rsidRPr="005208F1">
        <w:rPr>
          <w:rFonts w:asciiTheme="majorHAnsi" w:eastAsiaTheme="majorEastAsia" w:hAnsiTheme="majorHAnsi" w:cstheme="majorHAnsi"/>
          <w:color w:val="auto"/>
        </w:rPr>
        <w:t xml:space="preserve"> </w:t>
      </w:r>
      <w:proofErr w:type="spellStart"/>
      <w:r w:rsidRPr="005208F1">
        <w:rPr>
          <w:rFonts w:asciiTheme="majorHAnsi" w:eastAsiaTheme="majorEastAsia" w:hAnsiTheme="majorHAnsi" w:cstheme="majorHAnsi"/>
          <w:color w:val="auto"/>
        </w:rPr>
        <w:t>Structure</w:t>
      </w:r>
      <w:proofErr w:type="spellEnd"/>
      <w:r w:rsidRPr="005208F1">
        <w:rPr>
          <w:rFonts w:asciiTheme="majorHAnsi" w:eastAsiaTheme="majorEastAsia" w:hAnsiTheme="majorHAnsi" w:cstheme="majorHAnsi"/>
          <w:color w:val="auto"/>
        </w:rPr>
        <w:t xml:space="preserve"> </w:t>
      </w:r>
      <w:proofErr w:type="spellStart"/>
      <w:r w:rsidRPr="005208F1">
        <w:rPr>
          <w:rFonts w:asciiTheme="majorHAnsi" w:eastAsiaTheme="majorEastAsia" w:hAnsiTheme="majorHAnsi" w:cstheme="majorHAnsi"/>
          <w:color w:val="auto"/>
        </w:rPr>
        <w:t>Survey</w:t>
      </w:r>
      <w:proofErr w:type="spellEnd"/>
      <w:r w:rsidRPr="005208F1">
        <w:rPr>
          <w:rFonts w:asciiTheme="majorHAnsi" w:eastAsiaTheme="majorEastAsia" w:hAnsiTheme="majorHAnsi" w:cstheme="majorHAnsi"/>
          <w:color w:val="auto"/>
        </w:rPr>
        <w:t xml:space="preserve"> 2013,2016)</w:t>
      </w:r>
    </w:p>
    <w:p w14:paraId="1A8EA31C" w14:textId="77777777" w:rsidR="004030E7" w:rsidRDefault="004030E7" w:rsidP="009663F1">
      <w:pPr>
        <w:rPr>
          <w:color w:val="000000" w:themeColor="text1"/>
        </w:rPr>
      </w:pPr>
    </w:p>
    <w:p w14:paraId="6D141946" w14:textId="77777777" w:rsidR="00143820" w:rsidRDefault="00143820" w:rsidP="009663F1">
      <w:pPr>
        <w:rPr>
          <w:color w:val="000000" w:themeColor="text1"/>
        </w:rPr>
      </w:pPr>
      <w:r w:rsidRPr="004739EB">
        <w:rPr>
          <w:color w:val="000000" w:themeColor="text1"/>
        </w:rPr>
        <w:t xml:space="preserve">Zemědělské podniky v České republice dle dat ČSÚ nejvíce diverzifikují svou činnost formou smluvních prací, dále lesnictvím, zpracováním zemědělských produktů a cestovním ruchem (Obrázek </w:t>
      </w:r>
      <w:r w:rsidR="00776DDB">
        <w:rPr>
          <w:color w:val="000000" w:themeColor="text1"/>
        </w:rPr>
        <w:t>7.</w:t>
      </w:r>
      <w:r w:rsidRPr="004739EB">
        <w:rPr>
          <w:color w:val="000000" w:themeColor="text1"/>
        </w:rPr>
        <w:t>3.</w:t>
      </w:r>
      <w:r w:rsidR="00E34D45" w:rsidRPr="004739EB">
        <w:rPr>
          <w:color w:val="000000" w:themeColor="text1"/>
        </w:rPr>
        <w:t>9</w:t>
      </w:r>
      <w:r w:rsidRPr="004739EB">
        <w:rPr>
          <w:color w:val="000000" w:themeColor="text1"/>
        </w:rPr>
        <w:t>).</w:t>
      </w:r>
    </w:p>
    <w:p w14:paraId="371A83CC" w14:textId="77777777" w:rsidR="005208F1" w:rsidRPr="004739EB" w:rsidRDefault="005208F1" w:rsidP="009663F1">
      <w:pPr>
        <w:rPr>
          <w:color w:val="000000" w:themeColor="text1"/>
        </w:rPr>
      </w:pPr>
    </w:p>
    <w:p w14:paraId="0F3EFC35" w14:textId="77777777" w:rsidR="00143820" w:rsidRPr="004739EB" w:rsidRDefault="00143820" w:rsidP="004B694B">
      <w:pPr>
        <w:keepNext/>
        <w:spacing w:before="0" w:line="240" w:lineRule="auto"/>
        <w:ind w:firstLine="0"/>
        <w:jc w:val="left"/>
        <w:rPr>
          <w:b/>
          <w:bCs/>
          <w:sz w:val="22"/>
          <w:szCs w:val="22"/>
        </w:rPr>
      </w:pPr>
      <w:bookmarkStart w:id="104" w:name="_Toc525727636"/>
      <w:bookmarkStart w:id="105" w:name="_Toc525735923"/>
      <w:bookmarkStart w:id="106" w:name="_Toc525738220"/>
      <w:r w:rsidRPr="005208F1">
        <w:rPr>
          <w:rFonts w:asciiTheme="majorHAnsi" w:eastAsiaTheme="majorEastAsia" w:hAnsiTheme="majorHAnsi" w:cstheme="majorHAnsi"/>
          <w:b/>
          <w:bCs/>
          <w:sz w:val="22"/>
          <w:szCs w:val="22"/>
        </w:rPr>
        <w:t xml:space="preserve">Obrázek </w:t>
      </w:r>
      <w:r w:rsidR="005208F1">
        <w:rPr>
          <w:rFonts w:asciiTheme="majorHAnsi" w:eastAsiaTheme="majorEastAsia" w:hAnsiTheme="majorHAnsi" w:cstheme="majorHAnsi"/>
          <w:b/>
          <w:bCs/>
          <w:sz w:val="22"/>
          <w:szCs w:val="22"/>
        </w:rPr>
        <w:t>7.</w:t>
      </w:r>
      <w:r w:rsidR="00240E36" w:rsidRPr="005208F1">
        <w:rPr>
          <w:rFonts w:asciiTheme="majorHAnsi" w:eastAsiaTheme="majorEastAsia" w:hAnsiTheme="majorHAnsi" w:cstheme="majorHAnsi"/>
          <w:b/>
          <w:bCs/>
          <w:sz w:val="22"/>
          <w:szCs w:val="22"/>
        </w:rPr>
        <w:fldChar w:fldCharType="begin"/>
      </w:r>
      <w:r w:rsidR="00240E36" w:rsidRPr="005208F1">
        <w:rPr>
          <w:rFonts w:asciiTheme="majorHAnsi" w:eastAsiaTheme="majorEastAsia" w:hAnsiTheme="majorHAnsi" w:cstheme="majorHAnsi"/>
          <w:b/>
          <w:bCs/>
          <w:sz w:val="22"/>
          <w:szCs w:val="22"/>
        </w:rPr>
        <w:instrText xml:space="preserve"> STYLEREF 1 \s </w:instrText>
      </w:r>
      <w:r w:rsidR="00240E36" w:rsidRPr="005208F1">
        <w:rPr>
          <w:rFonts w:asciiTheme="majorHAnsi" w:eastAsiaTheme="majorEastAsia" w:hAnsiTheme="majorHAnsi" w:cstheme="majorHAnsi"/>
          <w:b/>
          <w:bCs/>
          <w:sz w:val="22"/>
          <w:szCs w:val="22"/>
        </w:rPr>
        <w:fldChar w:fldCharType="separate"/>
      </w:r>
      <w:r w:rsidR="00240E36" w:rsidRPr="005208F1">
        <w:rPr>
          <w:rFonts w:asciiTheme="majorHAnsi" w:eastAsiaTheme="majorEastAsia" w:hAnsiTheme="majorHAnsi" w:cstheme="majorHAnsi"/>
          <w:b/>
          <w:bCs/>
          <w:noProof/>
          <w:sz w:val="22"/>
          <w:szCs w:val="22"/>
        </w:rPr>
        <w:t>3</w:t>
      </w:r>
      <w:r w:rsidR="00240E36" w:rsidRPr="005208F1">
        <w:rPr>
          <w:rFonts w:asciiTheme="majorHAnsi" w:eastAsiaTheme="majorEastAsia" w:hAnsiTheme="majorHAnsi" w:cstheme="majorHAnsi"/>
          <w:b/>
          <w:bCs/>
          <w:sz w:val="22"/>
          <w:szCs w:val="22"/>
        </w:rPr>
        <w:fldChar w:fldCharType="end"/>
      </w:r>
      <w:r w:rsidR="00240E36" w:rsidRPr="005208F1">
        <w:rPr>
          <w:rFonts w:asciiTheme="majorHAnsi" w:eastAsiaTheme="majorEastAsia" w:hAnsiTheme="majorHAnsi" w:cstheme="majorHAnsi"/>
          <w:b/>
          <w:bCs/>
          <w:sz w:val="22"/>
          <w:szCs w:val="22"/>
        </w:rPr>
        <w:t>.</w:t>
      </w:r>
      <w:r w:rsidR="00EB5B81" w:rsidRPr="005208F1">
        <w:rPr>
          <w:rFonts w:asciiTheme="majorHAnsi" w:eastAsiaTheme="majorEastAsia" w:hAnsiTheme="majorHAnsi" w:cstheme="majorHAnsi"/>
          <w:b/>
          <w:bCs/>
          <w:sz w:val="22"/>
          <w:szCs w:val="22"/>
        </w:rPr>
        <w:fldChar w:fldCharType="begin"/>
      </w:r>
      <w:r w:rsidR="00EB5B81" w:rsidRPr="005208F1">
        <w:rPr>
          <w:rFonts w:asciiTheme="majorHAnsi" w:eastAsiaTheme="majorEastAsia" w:hAnsiTheme="majorHAnsi" w:cstheme="majorHAnsi"/>
          <w:b/>
          <w:bCs/>
          <w:sz w:val="22"/>
          <w:szCs w:val="22"/>
        </w:rPr>
        <w:instrText xml:space="preserve"> SEQ Obrázek \* ARABIC \s 1 </w:instrText>
      </w:r>
      <w:r w:rsidR="00EB5B81" w:rsidRPr="005208F1">
        <w:rPr>
          <w:rFonts w:asciiTheme="majorHAnsi" w:eastAsiaTheme="majorEastAsia" w:hAnsiTheme="majorHAnsi" w:cstheme="majorHAnsi"/>
          <w:b/>
          <w:bCs/>
          <w:sz w:val="22"/>
          <w:szCs w:val="22"/>
        </w:rPr>
        <w:fldChar w:fldCharType="separate"/>
      </w:r>
      <w:r w:rsidR="00EB5B81" w:rsidRPr="005208F1">
        <w:rPr>
          <w:rFonts w:asciiTheme="majorHAnsi" w:eastAsiaTheme="majorEastAsia" w:hAnsiTheme="majorHAnsi" w:cstheme="majorHAnsi"/>
          <w:b/>
          <w:bCs/>
          <w:noProof/>
          <w:sz w:val="22"/>
          <w:szCs w:val="22"/>
        </w:rPr>
        <w:t>9</w:t>
      </w:r>
      <w:r w:rsidR="00EB5B81" w:rsidRPr="005208F1">
        <w:rPr>
          <w:rFonts w:asciiTheme="majorHAnsi" w:eastAsiaTheme="majorEastAsia" w:hAnsiTheme="majorHAnsi" w:cstheme="majorHAnsi"/>
          <w:b/>
          <w:bCs/>
          <w:sz w:val="22"/>
          <w:szCs w:val="22"/>
        </w:rPr>
        <w:fldChar w:fldCharType="end"/>
      </w:r>
      <w:r w:rsidRPr="005208F1">
        <w:rPr>
          <w:rFonts w:asciiTheme="majorHAnsi" w:eastAsiaTheme="majorEastAsia" w:hAnsiTheme="majorHAnsi" w:cstheme="majorHAnsi"/>
          <w:b/>
          <w:bCs/>
          <w:sz w:val="22"/>
          <w:szCs w:val="22"/>
        </w:rPr>
        <w:t>: Podniky provozující nezemědělskou činnost podle druhu v roce 2010, 2013 a 2016</w:t>
      </w:r>
      <w:r w:rsidRPr="00C101A1">
        <w:rPr>
          <w:rFonts w:cstheme="minorHAnsi"/>
          <w:b/>
          <w:noProof/>
          <w:sz w:val="22"/>
          <w:szCs w:val="22"/>
        </w:rPr>
        <w:drawing>
          <wp:inline distT="0" distB="0" distL="0" distR="0" wp14:anchorId="2B1F9CB0" wp14:editId="76CADE81">
            <wp:extent cx="5739130" cy="2295525"/>
            <wp:effectExtent l="0" t="0" r="0" b="952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2194" cy="2300750"/>
                    </a:xfrm>
                    <a:prstGeom prst="rect">
                      <a:avLst/>
                    </a:prstGeom>
                    <a:noFill/>
                  </pic:spPr>
                </pic:pic>
              </a:graphicData>
            </a:graphic>
          </wp:inline>
        </w:drawing>
      </w:r>
      <w:bookmarkEnd w:id="104"/>
      <w:bookmarkEnd w:id="105"/>
      <w:bookmarkEnd w:id="106"/>
    </w:p>
    <w:p w14:paraId="7E5E4196" w14:textId="77777777" w:rsidR="00143820" w:rsidRPr="005208F1" w:rsidRDefault="00143820" w:rsidP="005208F1">
      <w:pPr>
        <w:keepNext/>
        <w:spacing w:before="0" w:line="240" w:lineRule="auto"/>
        <w:ind w:firstLine="0"/>
        <w:rPr>
          <w:rFonts w:asciiTheme="majorHAnsi" w:eastAsiaTheme="majorEastAsia" w:hAnsiTheme="majorHAnsi" w:cstheme="majorHAnsi"/>
          <w:i/>
          <w:iCs/>
          <w:sz w:val="18"/>
          <w:szCs w:val="18"/>
        </w:rPr>
      </w:pPr>
      <w:r w:rsidRPr="005208F1">
        <w:rPr>
          <w:rFonts w:asciiTheme="majorHAnsi" w:eastAsiaTheme="majorEastAsia" w:hAnsiTheme="majorHAnsi" w:cstheme="majorHAnsi"/>
          <w:i/>
          <w:iCs/>
          <w:sz w:val="18"/>
          <w:szCs w:val="18"/>
        </w:rPr>
        <w:t xml:space="preserve">Zdroj: </w:t>
      </w:r>
      <w:proofErr w:type="spellStart"/>
      <w:r w:rsidRPr="005208F1">
        <w:rPr>
          <w:rFonts w:asciiTheme="majorHAnsi" w:eastAsiaTheme="majorEastAsia" w:hAnsiTheme="majorHAnsi" w:cstheme="majorHAnsi"/>
          <w:i/>
          <w:iCs/>
          <w:sz w:val="18"/>
          <w:szCs w:val="18"/>
        </w:rPr>
        <w:t>Agrocenzus</w:t>
      </w:r>
      <w:proofErr w:type="spellEnd"/>
      <w:r w:rsidRPr="005208F1">
        <w:rPr>
          <w:rFonts w:asciiTheme="majorHAnsi" w:eastAsiaTheme="majorEastAsia" w:hAnsiTheme="majorHAnsi" w:cstheme="majorHAnsi"/>
          <w:i/>
          <w:iCs/>
          <w:sz w:val="18"/>
          <w:szCs w:val="18"/>
        </w:rPr>
        <w:t xml:space="preserve"> 2010, Strukturální šetření v zemědělství 2013, 2016</w:t>
      </w:r>
    </w:p>
    <w:p w14:paraId="01070A83" w14:textId="77777777" w:rsidR="00143820" w:rsidRPr="004739EB" w:rsidRDefault="00143820" w:rsidP="009663F1">
      <w:pPr>
        <w:rPr>
          <w:b/>
          <w:i/>
          <w:sz w:val="20"/>
        </w:rPr>
      </w:pPr>
    </w:p>
    <w:p w14:paraId="062AF02D" w14:textId="77777777" w:rsidR="00143820" w:rsidRPr="004739EB" w:rsidRDefault="00143820" w:rsidP="005208F1">
      <w:pPr>
        <w:rPr>
          <w:rFonts w:eastAsiaTheme="minorEastAsia"/>
        </w:rPr>
      </w:pPr>
      <w:r w:rsidRPr="004739EB">
        <w:rPr>
          <w:rFonts w:eastAsiaTheme="minorEastAsia"/>
        </w:rPr>
        <w:t>Podrobnější kategorizaci ostatní produkce zemědělských podniků, v členění na ostatní produkci RV, ostatní produkci ŽV, ostatní produkci – služby, ostatní produkci – agroturistiku a ostatní produkci – OZE (obnovitelné zdroje energie) sleduje od roku 2014 rovněž Zemědělská účetní datová síť FADN CZ. Údaje jsou dostupné do roku 2016.</w:t>
      </w:r>
    </w:p>
    <w:p w14:paraId="384CA4BF" w14:textId="77777777" w:rsidR="00143820" w:rsidRPr="004739EB" w:rsidRDefault="00143820">
      <w:pPr>
        <w:rPr>
          <w:rFonts w:eastAsiaTheme="minorEastAsia"/>
        </w:rPr>
      </w:pPr>
      <w:r w:rsidRPr="004739EB">
        <w:rPr>
          <w:rFonts w:eastAsiaTheme="minorEastAsia"/>
        </w:rPr>
        <w:t xml:space="preserve">Podíl ostatní produkce na celkové zemědělské produkci se u podniků FADN meziročně mírně zvýšil z 11,3 % na 12,6 % v roce 2016, výraznějším tempem roste úroveň u právnických </w:t>
      </w:r>
      <w:r w:rsidRPr="004739EB">
        <w:rPr>
          <w:rFonts w:eastAsiaTheme="minorEastAsia"/>
          <w:color w:val="000000" w:themeColor="text1"/>
        </w:rPr>
        <w:t>osob (</w:t>
      </w:r>
      <w:r w:rsidRPr="004739EB">
        <w:rPr>
          <w:color w:val="000000" w:themeColor="text1"/>
        </w:rPr>
        <w:t xml:space="preserve">Obrázek </w:t>
      </w:r>
      <w:r w:rsidR="00776DDB">
        <w:rPr>
          <w:color w:val="000000" w:themeColor="text1"/>
        </w:rPr>
        <w:t>7.</w:t>
      </w:r>
      <w:r w:rsidRPr="004739EB">
        <w:rPr>
          <w:color w:val="000000" w:themeColor="text1"/>
        </w:rPr>
        <w:t>3.</w:t>
      </w:r>
      <w:r w:rsidR="00E34D45" w:rsidRPr="004739EB">
        <w:rPr>
          <w:color w:val="000000" w:themeColor="text1"/>
        </w:rPr>
        <w:t>10</w:t>
      </w:r>
      <w:r w:rsidRPr="004739EB">
        <w:rPr>
          <w:rFonts w:eastAsiaTheme="minorEastAsia"/>
          <w:color w:val="000000" w:themeColor="text1"/>
        </w:rPr>
        <w:t xml:space="preserve">). Hodnota ostatní produkce narostla v roce 2016 na 4634 Kč/ha, od r. 2014 o zhruba o 500 Kč/ha. Nejvýraznější podíl na ostatní produkci má prodej zemědělských služeb (zhruba 25 %, </w:t>
      </w:r>
      <w:r w:rsidRPr="004739EB">
        <w:rPr>
          <w:color w:val="000000" w:themeColor="text1"/>
        </w:rPr>
        <w:t xml:space="preserve">Obrázek </w:t>
      </w:r>
      <w:r w:rsidR="005208F1">
        <w:rPr>
          <w:color w:val="000000" w:themeColor="text1"/>
        </w:rPr>
        <w:t>7.</w:t>
      </w:r>
      <w:r w:rsidRPr="004739EB">
        <w:rPr>
          <w:color w:val="000000" w:themeColor="text1"/>
        </w:rPr>
        <w:t>3.1</w:t>
      </w:r>
      <w:r w:rsidR="00E34D45" w:rsidRPr="004739EB">
        <w:rPr>
          <w:color w:val="000000" w:themeColor="text1"/>
        </w:rPr>
        <w:t>1</w:t>
      </w:r>
      <w:r w:rsidRPr="004739EB">
        <w:rPr>
          <w:rFonts w:eastAsiaTheme="minorEastAsia"/>
          <w:color w:val="000000" w:themeColor="text1"/>
        </w:rPr>
        <w:t xml:space="preserve">). Ostatní produkce je ve větší míře zastoupena u podniků </w:t>
      </w:r>
      <w:r w:rsidRPr="004739EB">
        <w:rPr>
          <w:rFonts w:eastAsiaTheme="minorEastAsia"/>
          <w:color w:val="000000" w:themeColor="text1"/>
        </w:rPr>
        <w:lastRenderedPageBreak/>
        <w:t xml:space="preserve">právnických osob (5 813 Kč/ha v roce 2016), u fyzických </w:t>
      </w:r>
      <w:r w:rsidRPr="004739EB">
        <w:rPr>
          <w:rFonts w:eastAsiaTheme="minorEastAsia"/>
        </w:rPr>
        <w:t xml:space="preserve">osob činila hodnota ostatní produkce za tentýž rok v průměru 1788 Kč/ha. </w:t>
      </w:r>
    </w:p>
    <w:p w14:paraId="6F5913C6" w14:textId="77777777" w:rsidR="00E34D45" w:rsidRPr="004B694B" w:rsidRDefault="00E34D45">
      <w:pPr>
        <w:rPr>
          <w:rFonts w:asciiTheme="minorHAnsi" w:eastAsiaTheme="minorEastAsia" w:hAnsiTheme="minorHAnsi" w:cstheme="minorBidi"/>
        </w:rPr>
      </w:pPr>
    </w:p>
    <w:p w14:paraId="47589275" w14:textId="77777777" w:rsidR="00143820" w:rsidRPr="004B694B" w:rsidRDefault="00143820" w:rsidP="004B694B">
      <w:pPr>
        <w:keepNext/>
        <w:spacing w:before="0" w:line="240" w:lineRule="auto"/>
        <w:ind w:firstLine="0"/>
        <w:jc w:val="left"/>
        <w:rPr>
          <w:rFonts w:asciiTheme="majorHAnsi" w:eastAsiaTheme="majorEastAsia" w:hAnsiTheme="majorHAnsi" w:cstheme="majorBidi"/>
          <w:b/>
          <w:bCs/>
          <w:sz w:val="22"/>
          <w:szCs w:val="22"/>
        </w:rPr>
      </w:pPr>
      <w:bookmarkStart w:id="107" w:name="_Toc525727637"/>
      <w:bookmarkStart w:id="108" w:name="_Toc525735924"/>
      <w:bookmarkStart w:id="109" w:name="_Toc525738221"/>
      <w:r w:rsidRPr="004B694B">
        <w:rPr>
          <w:rFonts w:asciiTheme="majorHAnsi" w:eastAsiaTheme="majorEastAsia" w:hAnsiTheme="majorHAnsi" w:cstheme="majorBidi"/>
          <w:b/>
          <w:bCs/>
          <w:sz w:val="22"/>
          <w:szCs w:val="22"/>
        </w:rPr>
        <w:t xml:space="preserve">Obrázek </w:t>
      </w:r>
      <w:r w:rsidR="005208F1">
        <w:rPr>
          <w:rFonts w:asciiTheme="majorHAnsi" w:eastAsiaTheme="majorEastAsia" w:hAnsiTheme="majorHAnsi" w:cstheme="majorBidi"/>
          <w:b/>
          <w:bCs/>
          <w:sz w:val="22"/>
          <w:szCs w:val="22"/>
        </w:rPr>
        <w:t>7.</w:t>
      </w:r>
      <w:r w:rsidR="00240E36">
        <w:rPr>
          <w:rFonts w:asciiTheme="majorHAnsi" w:eastAsiaTheme="majorEastAsia" w:hAnsiTheme="majorHAnsi" w:cstheme="majorBidi"/>
          <w:b/>
          <w:bCs/>
          <w:sz w:val="22"/>
          <w:szCs w:val="22"/>
        </w:rPr>
        <w:fldChar w:fldCharType="begin"/>
      </w:r>
      <w:r w:rsidR="00240E36">
        <w:rPr>
          <w:rFonts w:asciiTheme="majorHAnsi" w:eastAsiaTheme="majorEastAsia" w:hAnsiTheme="majorHAnsi" w:cstheme="majorBidi"/>
          <w:b/>
          <w:bCs/>
          <w:sz w:val="22"/>
          <w:szCs w:val="22"/>
        </w:rPr>
        <w:instrText xml:space="preserve"> STYLEREF 1 \s </w:instrText>
      </w:r>
      <w:r w:rsidR="00240E36">
        <w:rPr>
          <w:rFonts w:asciiTheme="majorHAnsi" w:eastAsiaTheme="majorEastAsia" w:hAnsiTheme="majorHAnsi" w:cstheme="majorBidi"/>
          <w:b/>
          <w:bCs/>
          <w:sz w:val="22"/>
          <w:szCs w:val="22"/>
        </w:rPr>
        <w:fldChar w:fldCharType="separate"/>
      </w:r>
      <w:r w:rsidR="00240E36">
        <w:rPr>
          <w:rFonts w:asciiTheme="majorHAnsi" w:eastAsiaTheme="majorEastAsia" w:hAnsiTheme="majorHAnsi" w:cstheme="majorBidi"/>
          <w:b/>
          <w:bCs/>
          <w:noProof/>
          <w:sz w:val="22"/>
          <w:szCs w:val="22"/>
        </w:rPr>
        <w:t>3</w:t>
      </w:r>
      <w:r w:rsidR="00240E36">
        <w:rPr>
          <w:rFonts w:asciiTheme="majorHAnsi" w:eastAsiaTheme="majorEastAsia" w:hAnsiTheme="majorHAnsi" w:cstheme="majorBidi"/>
          <w:b/>
          <w:bCs/>
          <w:sz w:val="22"/>
          <w:szCs w:val="22"/>
        </w:rPr>
        <w:fldChar w:fldCharType="end"/>
      </w:r>
      <w:r w:rsidR="00240E36">
        <w:rPr>
          <w:rFonts w:asciiTheme="majorHAnsi" w:eastAsiaTheme="majorEastAsia" w:hAnsiTheme="majorHAnsi" w:cstheme="majorBidi"/>
          <w:b/>
          <w:bCs/>
          <w:sz w:val="22"/>
          <w:szCs w:val="22"/>
        </w:rPr>
        <w:t>.</w:t>
      </w:r>
      <w:r w:rsidR="00EB5B81">
        <w:rPr>
          <w:rFonts w:asciiTheme="majorHAnsi" w:eastAsiaTheme="majorEastAsia" w:hAnsiTheme="majorHAnsi" w:cstheme="majorBidi"/>
          <w:b/>
          <w:bCs/>
          <w:sz w:val="22"/>
          <w:szCs w:val="22"/>
        </w:rPr>
        <w:fldChar w:fldCharType="begin"/>
      </w:r>
      <w:r w:rsidR="00EB5B81">
        <w:rPr>
          <w:rFonts w:asciiTheme="majorHAnsi" w:eastAsiaTheme="majorEastAsia" w:hAnsiTheme="majorHAnsi" w:cstheme="majorBidi"/>
          <w:b/>
          <w:bCs/>
          <w:sz w:val="22"/>
          <w:szCs w:val="22"/>
        </w:rPr>
        <w:instrText xml:space="preserve"> SEQ Obrázek \* ARABIC \s 1 </w:instrText>
      </w:r>
      <w:r w:rsidR="00EB5B81">
        <w:rPr>
          <w:rFonts w:asciiTheme="majorHAnsi" w:eastAsiaTheme="majorEastAsia" w:hAnsiTheme="majorHAnsi" w:cstheme="majorBidi"/>
          <w:b/>
          <w:bCs/>
          <w:sz w:val="22"/>
          <w:szCs w:val="22"/>
        </w:rPr>
        <w:fldChar w:fldCharType="separate"/>
      </w:r>
      <w:r w:rsidR="00EB5B81">
        <w:rPr>
          <w:rFonts w:asciiTheme="majorHAnsi" w:eastAsiaTheme="majorEastAsia" w:hAnsiTheme="majorHAnsi" w:cstheme="majorBidi"/>
          <w:b/>
          <w:bCs/>
          <w:noProof/>
          <w:sz w:val="22"/>
          <w:szCs w:val="22"/>
        </w:rPr>
        <w:t>10</w:t>
      </w:r>
      <w:r w:rsidR="00EB5B81">
        <w:rPr>
          <w:rFonts w:asciiTheme="majorHAnsi" w:eastAsiaTheme="majorEastAsia" w:hAnsiTheme="majorHAnsi" w:cstheme="majorBidi"/>
          <w:b/>
          <w:bCs/>
          <w:sz w:val="22"/>
          <w:szCs w:val="22"/>
        </w:rPr>
        <w:fldChar w:fldCharType="end"/>
      </w:r>
      <w:r w:rsidRPr="004B694B">
        <w:rPr>
          <w:rFonts w:asciiTheme="majorHAnsi" w:eastAsiaTheme="majorEastAsia" w:hAnsiTheme="majorHAnsi" w:cstheme="majorBidi"/>
          <w:b/>
          <w:bCs/>
          <w:sz w:val="22"/>
          <w:szCs w:val="22"/>
        </w:rPr>
        <w:t xml:space="preserve">: Podíl ostatní produkce na celkové produkci (%) u fyzických a právnických osob </w:t>
      </w:r>
      <w:r w:rsidRPr="00A57385">
        <w:rPr>
          <w:rFonts w:asciiTheme="majorHAnsi" w:hAnsiTheme="majorHAnsi" w:cstheme="majorHAnsi"/>
          <w:b/>
          <w:noProof/>
          <w:sz w:val="22"/>
          <w:szCs w:val="22"/>
        </w:rPr>
        <w:drawing>
          <wp:inline distT="0" distB="0" distL="0" distR="0" wp14:anchorId="5FC70182" wp14:editId="7091C1CC">
            <wp:extent cx="4572000" cy="2914650"/>
            <wp:effectExtent l="0" t="0" r="0" b="0"/>
            <wp:docPr id="21" name="Graf 2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bookmarkEnd w:id="107"/>
      <w:bookmarkEnd w:id="108"/>
      <w:bookmarkEnd w:id="109"/>
    </w:p>
    <w:p w14:paraId="2BF77257" w14:textId="77777777" w:rsidR="00143820" w:rsidRPr="004B694B" w:rsidRDefault="00143820" w:rsidP="004B694B">
      <w:pPr>
        <w:pStyle w:val="Titulek"/>
        <w:spacing w:after="0"/>
        <w:ind w:firstLine="0"/>
        <w:rPr>
          <w:rFonts w:asciiTheme="majorHAnsi" w:eastAsiaTheme="majorEastAsia" w:hAnsiTheme="majorHAnsi" w:cstheme="majorBidi"/>
          <w:color w:val="auto"/>
        </w:rPr>
      </w:pPr>
      <w:r w:rsidRPr="004B694B">
        <w:rPr>
          <w:rFonts w:asciiTheme="majorHAnsi" w:eastAsiaTheme="majorEastAsia" w:hAnsiTheme="majorHAnsi" w:cstheme="majorBidi"/>
          <w:color w:val="auto"/>
        </w:rPr>
        <w:t>Zdroj: FADN</w:t>
      </w:r>
    </w:p>
    <w:p w14:paraId="4EEA334B" w14:textId="77777777" w:rsidR="005208F1" w:rsidRDefault="005208F1" w:rsidP="005208F1">
      <w:pPr>
        <w:keepNext/>
        <w:ind w:firstLine="0"/>
        <w:jc w:val="left"/>
        <w:rPr>
          <w:rFonts w:eastAsiaTheme="minorEastAsia"/>
          <w:color w:val="000000" w:themeColor="text1"/>
        </w:rPr>
      </w:pPr>
      <w:bookmarkStart w:id="110" w:name="_Toc525727638"/>
      <w:bookmarkStart w:id="111" w:name="_Toc525735925"/>
      <w:bookmarkStart w:id="112" w:name="_Toc525738222"/>
    </w:p>
    <w:p w14:paraId="09BEAD39" w14:textId="77777777" w:rsidR="00143820" w:rsidRPr="004B694B" w:rsidRDefault="00143820" w:rsidP="004B694B">
      <w:pPr>
        <w:keepNext/>
        <w:spacing w:before="0" w:line="240" w:lineRule="auto"/>
        <w:ind w:firstLine="0"/>
        <w:jc w:val="left"/>
        <w:rPr>
          <w:rFonts w:asciiTheme="minorHAnsi" w:eastAsiaTheme="minorEastAsia" w:hAnsiTheme="minorHAnsi" w:cstheme="minorBidi"/>
        </w:rPr>
      </w:pPr>
      <w:r w:rsidRPr="004B694B">
        <w:rPr>
          <w:rFonts w:asciiTheme="majorHAnsi" w:eastAsiaTheme="majorEastAsia" w:hAnsiTheme="majorHAnsi" w:cstheme="majorBidi"/>
          <w:b/>
          <w:bCs/>
          <w:sz w:val="22"/>
          <w:szCs w:val="22"/>
        </w:rPr>
        <w:t xml:space="preserve">Obrázek </w:t>
      </w:r>
      <w:r w:rsidR="005208F1">
        <w:rPr>
          <w:rFonts w:asciiTheme="majorHAnsi" w:eastAsiaTheme="majorEastAsia" w:hAnsiTheme="majorHAnsi" w:cstheme="majorBidi"/>
          <w:b/>
          <w:bCs/>
          <w:sz w:val="22"/>
          <w:szCs w:val="22"/>
        </w:rPr>
        <w:t>7.</w:t>
      </w:r>
      <w:r w:rsidR="00240E36">
        <w:rPr>
          <w:rFonts w:asciiTheme="majorHAnsi" w:eastAsiaTheme="majorEastAsia" w:hAnsiTheme="majorHAnsi" w:cstheme="majorBidi"/>
          <w:b/>
          <w:bCs/>
          <w:sz w:val="22"/>
          <w:szCs w:val="22"/>
        </w:rPr>
        <w:fldChar w:fldCharType="begin"/>
      </w:r>
      <w:r w:rsidR="00240E36">
        <w:rPr>
          <w:rFonts w:asciiTheme="majorHAnsi" w:eastAsiaTheme="majorEastAsia" w:hAnsiTheme="majorHAnsi" w:cstheme="majorBidi"/>
          <w:b/>
          <w:bCs/>
          <w:sz w:val="22"/>
          <w:szCs w:val="22"/>
        </w:rPr>
        <w:instrText xml:space="preserve"> STYLEREF 1 \s </w:instrText>
      </w:r>
      <w:r w:rsidR="00240E36">
        <w:rPr>
          <w:rFonts w:asciiTheme="majorHAnsi" w:eastAsiaTheme="majorEastAsia" w:hAnsiTheme="majorHAnsi" w:cstheme="majorBidi"/>
          <w:b/>
          <w:bCs/>
          <w:sz w:val="22"/>
          <w:szCs w:val="22"/>
        </w:rPr>
        <w:fldChar w:fldCharType="separate"/>
      </w:r>
      <w:r w:rsidR="00240E36">
        <w:rPr>
          <w:rFonts w:asciiTheme="majorHAnsi" w:eastAsiaTheme="majorEastAsia" w:hAnsiTheme="majorHAnsi" w:cstheme="majorBidi"/>
          <w:b/>
          <w:bCs/>
          <w:noProof/>
          <w:sz w:val="22"/>
          <w:szCs w:val="22"/>
        </w:rPr>
        <w:t>3</w:t>
      </w:r>
      <w:r w:rsidR="00240E36">
        <w:rPr>
          <w:rFonts w:asciiTheme="majorHAnsi" w:eastAsiaTheme="majorEastAsia" w:hAnsiTheme="majorHAnsi" w:cstheme="majorBidi"/>
          <w:b/>
          <w:bCs/>
          <w:sz w:val="22"/>
          <w:szCs w:val="22"/>
        </w:rPr>
        <w:fldChar w:fldCharType="end"/>
      </w:r>
      <w:r w:rsidR="00240E36">
        <w:rPr>
          <w:rFonts w:asciiTheme="majorHAnsi" w:eastAsiaTheme="majorEastAsia" w:hAnsiTheme="majorHAnsi" w:cstheme="majorBidi"/>
          <w:b/>
          <w:bCs/>
          <w:sz w:val="22"/>
          <w:szCs w:val="22"/>
        </w:rPr>
        <w:t>.</w:t>
      </w:r>
      <w:r w:rsidR="00EB5B81">
        <w:rPr>
          <w:rFonts w:asciiTheme="majorHAnsi" w:eastAsiaTheme="majorEastAsia" w:hAnsiTheme="majorHAnsi" w:cstheme="majorBidi"/>
          <w:b/>
          <w:bCs/>
          <w:sz w:val="22"/>
          <w:szCs w:val="22"/>
        </w:rPr>
        <w:fldChar w:fldCharType="begin"/>
      </w:r>
      <w:r w:rsidR="00EB5B81">
        <w:rPr>
          <w:rFonts w:asciiTheme="majorHAnsi" w:eastAsiaTheme="majorEastAsia" w:hAnsiTheme="majorHAnsi" w:cstheme="majorBidi"/>
          <w:b/>
          <w:bCs/>
          <w:sz w:val="22"/>
          <w:szCs w:val="22"/>
        </w:rPr>
        <w:instrText xml:space="preserve"> SEQ Obrázek \* ARABIC \s 1 </w:instrText>
      </w:r>
      <w:r w:rsidR="00EB5B81">
        <w:rPr>
          <w:rFonts w:asciiTheme="majorHAnsi" w:eastAsiaTheme="majorEastAsia" w:hAnsiTheme="majorHAnsi" w:cstheme="majorBidi"/>
          <w:b/>
          <w:bCs/>
          <w:sz w:val="22"/>
          <w:szCs w:val="22"/>
        </w:rPr>
        <w:fldChar w:fldCharType="separate"/>
      </w:r>
      <w:r w:rsidR="00EB5B81">
        <w:rPr>
          <w:rFonts w:asciiTheme="majorHAnsi" w:eastAsiaTheme="majorEastAsia" w:hAnsiTheme="majorHAnsi" w:cstheme="majorBidi"/>
          <w:b/>
          <w:bCs/>
          <w:noProof/>
          <w:sz w:val="22"/>
          <w:szCs w:val="22"/>
        </w:rPr>
        <w:t>11</w:t>
      </w:r>
      <w:r w:rsidR="00EB5B81">
        <w:rPr>
          <w:rFonts w:asciiTheme="majorHAnsi" w:eastAsiaTheme="majorEastAsia" w:hAnsiTheme="majorHAnsi" w:cstheme="majorBidi"/>
          <w:b/>
          <w:bCs/>
          <w:sz w:val="22"/>
          <w:szCs w:val="22"/>
        </w:rPr>
        <w:fldChar w:fldCharType="end"/>
      </w:r>
      <w:r w:rsidRPr="004B694B">
        <w:rPr>
          <w:rFonts w:asciiTheme="majorHAnsi" w:eastAsiaTheme="majorEastAsia" w:hAnsiTheme="majorHAnsi" w:cstheme="majorBidi"/>
          <w:b/>
          <w:bCs/>
          <w:sz w:val="22"/>
          <w:szCs w:val="22"/>
        </w:rPr>
        <w:t>: Struktura ostatní produkce v roce 2016</w:t>
      </w:r>
      <w:r>
        <w:br/>
      </w:r>
      <w:r>
        <w:rPr>
          <w:noProof/>
        </w:rPr>
        <w:drawing>
          <wp:inline distT="0" distB="0" distL="0" distR="0" wp14:anchorId="22C4ACB1" wp14:editId="6E21C642">
            <wp:extent cx="4572000" cy="2438400"/>
            <wp:effectExtent l="0" t="0" r="0" b="0"/>
            <wp:docPr id="23" name="Graf 23">
              <a:extLst xmlns:a="http://schemas.openxmlformats.org/drawingml/2006/main">
                <a:ext uri="{FF2B5EF4-FFF2-40B4-BE49-F238E27FC236}">
                  <a16:creationId xmlns:a16="http://schemas.microsoft.com/office/drawing/2014/main" id="{83B1E983-025F-423C-852C-A81E5B279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110"/>
      <w:bookmarkEnd w:id="111"/>
      <w:bookmarkEnd w:id="112"/>
    </w:p>
    <w:p w14:paraId="7308298A" w14:textId="77777777" w:rsidR="00143820" w:rsidRPr="004B694B" w:rsidRDefault="00143820" w:rsidP="004B694B">
      <w:pPr>
        <w:pStyle w:val="Titulek"/>
        <w:spacing w:after="0"/>
        <w:ind w:firstLine="0"/>
        <w:rPr>
          <w:rFonts w:asciiTheme="majorHAnsi" w:eastAsiaTheme="majorEastAsia" w:hAnsiTheme="majorHAnsi" w:cstheme="majorBidi"/>
          <w:color w:val="auto"/>
        </w:rPr>
      </w:pPr>
      <w:r w:rsidRPr="004B694B">
        <w:rPr>
          <w:rFonts w:asciiTheme="majorHAnsi" w:eastAsiaTheme="majorEastAsia" w:hAnsiTheme="majorHAnsi" w:cstheme="majorBidi"/>
          <w:color w:val="auto"/>
        </w:rPr>
        <w:t>Zdroj: FADN</w:t>
      </w:r>
    </w:p>
    <w:p w14:paraId="1B2E7810" w14:textId="77777777" w:rsidR="00143820" w:rsidRDefault="00143820" w:rsidP="00143820"/>
    <w:p w14:paraId="60C0CB10" w14:textId="77777777" w:rsidR="00143820" w:rsidRPr="00AF156D" w:rsidRDefault="00143820" w:rsidP="00143820">
      <w:pPr>
        <w:rPr>
          <w:color w:val="000000" w:themeColor="text1"/>
        </w:rPr>
      </w:pPr>
      <w:r>
        <w:t xml:space="preserve">Jak je </w:t>
      </w:r>
      <w:r w:rsidRPr="00AF156D">
        <w:rPr>
          <w:color w:val="000000" w:themeColor="text1"/>
        </w:rPr>
        <w:t xml:space="preserve">zřejmé z Obrázku </w:t>
      </w:r>
      <w:r w:rsidR="005208F1">
        <w:rPr>
          <w:color w:val="000000" w:themeColor="text1"/>
        </w:rPr>
        <w:t>7.</w:t>
      </w:r>
      <w:r w:rsidRPr="00AF156D">
        <w:rPr>
          <w:color w:val="000000" w:themeColor="text1"/>
        </w:rPr>
        <w:t>3.1</w:t>
      </w:r>
      <w:r w:rsidR="00E34D45" w:rsidRPr="00AF156D">
        <w:rPr>
          <w:color w:val="000000" w:themeColor="text1"/>
        </w:rPr>
        <w:t>2</w:t>
      </w:r>
      <w:r w:rsidRPr="00AF156D">
        <w:rPr>
          <w:color w:val="000000" w:themeColor="text1"/>
        </w:rPr>
        <w:t>, podíl agroturistiky na ostatní produkci jako celku je výraznější v méně příznivých oblastech (ANC-H a ANC-</w:t>
      </w:r>
      <w:r>
        <w:t xml:space="preserve">J), v roce 2016 podíly představovaly </w:t>
      </w:r>
      <w:r w:rsidRPr="00AF156D">
        <w:rPr>
          <w:color w:val="000000" w:themeColor="text1"/>
        </w:rPr>
        <w:t xml:space="preserve">zhruba 4 %. Vyšší podíl OZE na celkové produkci vykazují podniky mimo méně příznivých oblastí (N) a ANC-J (Obrázek </w:t>
      </w:r>
      <w:r w:rsidR="00776DDB">
        <w:rPr>
          <w:color w:val="000000" w:themeColor="text1"/>
        </w:rPr>
        <w:t>7.</w:t>
      </w:r>
      <w:r w:rsidRPr="00AF156D">
        <w:rPr>
          <w:color w:val="000000" w:themeColor="text1"/>
        </w:rPr>
        <w:t xml:space="preserve">3.12), a to více než 10 % v roce 2016. V horských ANC je tento podíl zhruba na úrovni 6 %. </w:t>
      </w:r>
    </w:p>
    <w:p w14:paraId="5F3B0911" w14:textId="77777777" w:rsidR="00E34D45" w:rsidRPr="00AF156D" w:rsidRDefault="00E34D45" w:rsidP="00143820">
      <w:pPr>
        <w:rPr>
          <w:color w:val="000000" w:themeColor="text1"/>
        </w:rPr>
      </w:pPr>
    </w:p>
    <w:p w14:paraId="76D7AC5C" w14:textId="77777777" w:rsidR="00143820" w:rsidRDefault="00143820" w:rsidP="00A57385">
      <w:pPr>
        <w:keepNext/>
        <w:spacing w:before="0" w:line="240" w:lineRule="auto"/>
        <w:ind w:firstLine="0"/>
        <w:jc w:val="left"/>
      </w:pPr>
      <w:bookmarkStart w:id="113" w:name="_Toc525727639"/>
      <w:bookmarkStart w:id="114" w:name="_Toc525735926"/>
      <w:bookmarkStart w:id="115" w:name="_Toc525738223"/>
      <w:r w:rsidRPr="004B694B">
        <w:rPr>
          <w:rFonts w:asciiTheme="majorHAnsi" w:eastAsiaTheme="majorEastAsia" w:hAnsiTheme="majorHAnsi" w:cstheme="majorBidi"/>
          <w:b/>
          <w:bCs/>
          <w:sz w:val="22"/>
          <w:szCs w:val="22"/>
        </w:rPr>
        <w:lastRenderedPageBreak/>
        <w:t xml:space="preserve">Obrázek </w:t>
      </w:r>
      <w:r w:rsidR="005208F1">
        <w:rPr>
          <w:rFonts w:asciiTheme="majorHAnsi" w:eastAsiaTheme="majorEastAsia" w:hAnsiTheme="majorHAnsi" w:cstheme="majorBidi"/>
          <w:b/>
          <w:bCs/>
          <w:sz w:val="22"/>
          <w:szCs w:val="22"/>
        </w:rPr>
        <w:t>7.</w:t>
      </w:r>
      <w:r w:rsidR="00240E36">
        <w:rPr>
          <w:rFonts w:asciiTheme="majorHAnsi" w:eastAsiaTheme="majorEastAsia" w:hAnsiTheme="majorHAnsi" w:cstheme="majorBidi"/>
          <w:b/>
          <w:bCs/>
          <w:sz w:val="22"/>
          <w:szCs w:val="22"/>
        </w:rPr>
        <w:fldChar w:fldCharType="begin"/>
      </w:r>
      <w:r w:rsidR="00240E36">
        <w:rPr>
          <w:rFonts w:asciiTheme="majorHAnsi" w:eastAsiaTheme="majorEastAsia" w:hAnsiTheme="majorHAnsi" w:cstheme="majorBidi"/>
          <w:b/>
          <w:bCs/>
          <w:sz w:val="22"/>
          <w:szCs w:val="22"/>
        </w:rPr>
        <w:instrText xml:space="preserve"> STYLEREF 1 \s </w:instrText>
      </w:r>
      <w:r w:rsidR="00240E36">
        <w:rPr>
          <w:rFonts w:asciiTheme="majorHAnsi" w:eastAsiaTheme="majorEastAsia" w:hAnsiTheme="majorHAnsi" w:cstheme="majorBidi"/>
          <w:b/>
          <w:bCs/>
          <w:sz w:val="22"/>
          <w:szCs w:val="22"/>
        </w:rPr>
        <w:fldChar w:fldCharType="separate"/>
      </w:r>
      <w:r w:rsidR="00240E36">
        <w:rPr>
          <w:rFonts w:asciiTheme="majorHAnsi" w:eastAsiaTheme="majorEastAsia" w:hAnsiTheme="majorHAnsi" w:cstheme="majorBidi"/>
          <w:b/>
          <w:bCs/>
          <w:noProof/>
          <w:sz w:val="22"/>
          <w:szCs w:val="22"/>
        </w:rPr>
        <w:t>3</w:t>
      </w:r>
      <w:r w:rsidR="00240E36">
        <w:rPr>
          <w:rFonts w:asciiTheme="majorHAnsi" w:eastAsiaTheme="majorEastAsia" w:hAnsiTheme="majorHAnsi" w:cstheme="majorBidi"/>
          <w:b/>
          <w:bCs/>
          <w:sz w:val="22"/>
          <w:szCs w:val="22"/>
        </w:rPr>
        <w:fldChar w:fldCharType="end"/>
      </w:r>
      <w:r w:rsidR="00240E36">
        <w:rPr>
          <w:rFonts w:asciiTheme="majorHAnsi" w:eastAsiaTheme="majorEastAsia" w:hAnsiTheme="majorHAnsi" w:cstheme="majorBidi"/>
          <w:b/>
          <w:bCs/>
          <w:sz w:val="22"/>
          <w:szCs w:val="22"/>
        </w:rPr>
        <w:t>.</w:t>
      </w:r>
      <w:r w:rsidR="00EB5B81">
        <w:rPr>
          <w:rFonts w:asciiTheme="majorHAnsi" w:eastAsiaTheme="majorEastAsia" w:hAnsiTheme="majorHAnsi" w:cstheme="majorBidi"/>
          <w:b/>
          <w:bCs/>
          <w:sz w:val="22"/>
          <w:szCs w:val="22"/>
        </w:rPr>
        <w:fldChar w:fldCharType="begin"/>
      </w:r>
      <w:r w:rsidR="00EB5B81">
        <w:rPr>
          <w:rFonts w:asciiTheme="majorHAnsi" w:eastAsiaTheme="majorEastAsia" w:hAnsiTheme="majorHAnsi" w:cstheme="majorBidi"/>
          <w:b/>
          <w:bCs/>
          <w:sz w:val="22"/>
          <w:szCs w:val="22"/>
        </w:rPr>
        <w:instrText xml:space="preserve"> SEQ Obrázek \* ARABIC \s 1 </w:instrText>
      </w:r>
      <w:r w:rsidR="00EB5B81">
        <w:rPr>
          <w:rFonts w:asciiTheme="majorHAnsi" w:eastAsiaTheme="majorEastAsia" w:hAnsiTheme="majorHAnsi" w:cstheme="majorBidi"/>
          <w:b/>
          <w:bCs/>
          <w:sz w:val="22"/>
          <w:szCs w:val="22"/>
        </w:rPr>
        <w:fldChar w:fldCharType="separate"/>
      </w:r>
      <w:r w:rsidR="00EB5B81">
        <w:rPr>
          <w:rFonts w:asciiTheme="majorHAnsi" w:eastAsiaTheme="majorEastAsia" w:hAnsiTheme="majorHAnsi" w:cstheme="majorBidi"/>
          <w:b/>
          <w:bCs/>
          <w:noProof/>
          <w:sz w:val="22"/>
          <w:szCs w:val="22"/>
        </w:rPr>
        <w:t>12</w:t>
      </w:r>
      <w:r w:rsidR="00EB5B81">
        <w:rPr>
          <w:rFonts w:asciiTheme="majorHAnsi" w:eastAsiaTheme="majorEastAsia" w:hAnsiTheme="majorHAnsi" w:cstheme="majorBidi"/>
          <w:b/>
          <w:bCs/>
          <w:sz w:val="22"/>
          <w:szCs w:val="22"/>
        </w:rPr>
        <w:fldChar w:fldCharType="end"/>
      </w:r>
      <w:r w:rsidRPr="004B694B">
        <w:rPr>
          <w:rFonts w:asciiTheme="majorHAnsi" w:eastAsiaTheme="majorEastAsia" w:hAnsiTheme="majorHAnsi" w:cstheme="majorBidi"/>
          <w:b/>
          <w:bCs/>
          <w:sz w:val="22"/>
          <w:szCs w:val="22"/>
        </w:rPr>
        <w:t>: Podíl ostatní produkce – agroturistiky na tvorbě celkové hodnoty ostatní produkce (%)</w:t>
      </w:r>
      <w:r w:rsidRPr="00A57385">
        <w:rPr>
          <w:rFonts w:asciiTheme="majorHAnsi" w:hAnsiTheme="majorHAnsi" w:cstheme="majorHAnsi"/>
        </w:rPr>
        <w:br/>
      </w:r>
      <w:r>
        <w:rPr>
          <w:noProof/>
        </w:rPr>
        <w:drawing>
          <wp:inline distT="0" distB="0" distL="0" distR="0" wp14:anchorId="20BFC884" wp14:editId="787C3136">
            <wp:extent cx="4572000" cy="2743200"/>
            <wp:effectExtent l="0" t="0" r="0" b="0"/>
            <wp:docPr id="24" name="Graf 24">
              <a:extLst xmlns:a="http://schemas.openxmlformats.org/drawingml/2006/main">
                <a:ext uri="{FF2B5EF4-FFF2-40B4-BE49-F238E27FC236}">
                  <a16:creationId xmlns:a16="http://schemas.microsoft.com/office/drawing/2014/main" id="{A0CAA14D-8B06-4A91-803A-BB3C6FEA9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End w:id="113"/>
      <w:bookmarkEnd w:id="114"/>
      <w:bookmarkEnd w:id="115"/>
    </w:p>
    <w:p w14:paraId="4AFC47CC" w14:textId="77777777" w:rsidR="00143820" w:rsidRPr="004B694B" w:rsidRDefault="00143820" w:rsidP="004B694B">
      <w:pPr>
        <w:pStyle w:val="Titulek"/>
        <w:spacing w:after="0"/>
        <w:ind w:firstLine="0"/>
        <w:rPr>
          <w:rFonts w:asciiTheme="majorHAnsi" w:eastAsiaTheme="majorEastAsia" w:hAnsiTheme="majorHAnsi" w:cstheme="majorBidi"/>
          <w:i w:val="0"/>
          <w:iCs w:val="0"/>
          <w:color w:val="auto"/>
        </w:rPr>
      </w:pPr>
      <w:r w:rsidRPr="004B694B">
        <w:rPr>
          <w:rFonts w:asciiTheme="majorHAnsi" w:eastAsiaTheme="majorEastAsia" w:hAnsiTheme="majorHAnsi" w:cstheme="majorBidi"/>
          <w:color w:val="auto"/>
        </w:rPr>
        <w:t>Zdroj: FADN</w:t>
      </w:r>
    </w:p>
    <w:p w14:paraId="4B5B390C" w14:textId="77777777" w:rsidR="00143820" w:rsidRDefault="00143820" w:rsidP="00143820"/>
    <w:p w14:paraId="05A85655" w14:textId="77777777" w:rsidR="00143820" w:rsidRDefault="00143820" w:rsidP="00A57385">
      <w:pPr>
        <w:spacing w:before="0" w:line="240" w:lineRule="auto"/>
        <w:ind w:firstLine="0"/>
        <w:jc w:val="left"/>
      </w:pPr>
      <w:bookmarkStart w:id="116" w:name="_Toc525727640"/>
      <w:bookmarkStart w:id="117" w:name="_Toc525735927"/>
      <w:bookmarkStart w:id="118" w:name="_Toc525738224"/>
      <w:r w:rsidRPr="004B694B">
        <w:rPr>
          <w:rFonts w:asciiTheme="majorHAnsi" w:eastAsiaTheme="majorEastAsia" w:hAnsiTheme="majorHAnsi" w:cstheme="majorBidi"/>
          <w:b/>
          <w:bCs/>
          <w:sz w:val="22"/>
          <w:szCs w:val="22"/>
        </w:rPr>
        <w:t xml:space="preserve">Obrázek </w:t>
      </w:r>
      <w:r w:rsidR="005208F1">
        <w:rPr>
          <w:rFonts w:asciiTheme="majorHAnsi" w:eastAsiaTheme="majorEastAsia" w:hAnsiTheme="majorHAnsi" w:cstheme="majorBidi"/>
          <w:b/>
          <w:bCs/>
          <w:sz w:val="22"/>
          <w:szCs w:val="22"/>
        </w:rPr>
        <w:t>7.</w:t>
      </w:r>
      <w:r w:rsidR="00240E36">
        <w:rPr>
          <w:rFonts w:asciiTheme="majorHAnsi" w:eastAsiaTheme="majorEastAsia" w:hAnsiTheme="majorHAnsi" w:cstheme="majorBidi"/>
          <w:b/>
          <w:bCs/>
          <w:sz w:val="22"/>
          <w:szCs w:val="22"/>
        </w:rPr>
        <w:fldChar w:fldCharType="begin"/>
      </w:r>
      <w:r w:rsidR="00240E36">
        <w:rPr>
          <w:rFonts w:asciiTheme="majorHAnsi" w:eastAsiaTheme="majorEastAsia" w:hAnsiTheme="majorHAnsi" w:cstheme="majorBidi"/>
          <w:b/>
          <w:bCs/>
          <w:sz w:val="22"/>
          <w:szCs w:val="22"/>
        </w:rPr>
        <w:instrText xml:space="preserve"> STYLEREF 1 \s </w:instrText>
      </w:r>
      <w:r w:rsidR="00240E36">
        <w:rPr>
          <w:rFonts w:asciiTheme="majorHAnsi" w:eastAsiaTheme="majorEastAsia" w:hAnsiTheme="majorHAnsi" w:cstheme="majorBidi"/>
          <w:b/>
          <w:bCs/>
          <w:sz w:val="22"/>
          <w:szCs w:val="22"/>
        </w:rPr>
        <w:fldChar w:fldCharType="separate"/>
      </w:r>
      <w:r w:rsidR="00240E36">
        <w:rPr>
          <w:rFonts w:asciiTheme="majorHAnsi" w:eastAsiaTheme="majorEastAsia" w:hAnsiTheme="majorHAnsi" w:cstheme="majorBidi"/>
          <w:b/>
          <w:bCs/>
          <w:noProof/>
          <w:sz w:val="22"/>
          <w:szCs w:val="22"/>
        </w:rPr>
        <w:t>3</w:t>
      </w:r>
      <w:r w:rsidR="00240E36">
        <w:rPr>
          <w:rFonts w:asciiTheme="majorHAnsi" w:eastAsiaTheme="majorEastAsia" w:hAnsiTheme="majorHAnsi" w:cstheme="majorBidi"/>
          <w:b/>
          <w:bCs/>
          <w:sz w:val="22"/>
          <w:szCs w:val="22"/>
        </w:rPr>
        <w:fldChar w:fldCharType="end"/>
      </w:r>
      <w:r w:rsidR="00240E36">
        <w:rPr>
          <w:rFonts w:asciiTheme="majorHAnsi" w:eastAsiaTheme="majorEastAsia" w:hAnsiTheme="majorHAnsi" w:cstheme="majorBidi"/>
          <w:b/>
          <w:bCs/>
          <w:sz w:val="22"/>
          <w:szCs w:val="22"/>
        </w:rPr>
        <w:t>.</w:t>
      </w:r>
      <w:r w:rsidR="00EB5B81">
        <w:rPr>
          <w:rFonts w:asciiTheme="majorHAnsi" w:eastAsiaTheme="majorEastAsia" w:hAnsiTheme="majorHAnsi" w:cstheme="majorBidi"/>
          <w:b/>
          <w:bCs/>
          <w:sz w:val="22"/>
          <w:szCs w:val="22"/>
        </w:rPr>
        <w:fldChar w:fldCharType="begin"/>
      </w:r>
      <w:r w:rsidR="00EB5B81">
        <w:rPr>
          <w:rFonts w:asciiTheme="majorHAnsi" w:eastAsiaTheme="majorEastAsia" w:hAnsiTheme="majorHAnsi" w:cstheme="majorBidi"/>
          <w:b/>
          <w:bCs/>
          <w:sz w:val="22"/>
          <w:szCs w:val="22"/>
        </w:rPr>
        <w:instrText xml:space="preserve"> SEQ Obrázek \* ARABIC \s 1 </w:instrText>
      </w:r>
      <w:r w:rsidR="00EB5B81">
        <w:rPr>
          <w:rFonts w:asciiTheme="majorHAnsi" w:eastAsiaTheme="majorEastAsia" w:hAnsiTheme="majorHAnsi" w:cstheme="majorBidi"/>
          <w:b/>
          <w:bCs/>
          <w:sz w:val="22"/>
          <w:szCs w:val="22"/>
        </w:rPr>
        <w:fldChar w:fldCharType="separate"/>
      </w:r>
      <w:r w:rsidR="00EB5B81">
        <w:rPr>
          <w:rFonts w:asciiTheme="majorHAnsi" w:eastAsiaTheme="majorEastAsia" w:hAnsiTheme="majorHAnsi" w:cstheme="majorBidi"/>
          <w:b/>
          <w:bCs/>
          <w:noProof/>
          <w:sz w:val="22"/>
          <w:szCs w:val="22"/>
        </w:rPr>
        <w:t>13</w:t>
      </w:r>
      <w:r w:rsidR="00EB5B81">
        <w:rPr>
          <w:rFonts w:asciiTheme="majorHAnsi" w:eastAsiaTheme="majorEastAsia" w:hAnsiTheme="majorHAnsi" w:cstheme="majorBidi"/>
          <w:b/>
          <w:bCs/>
          <w:sz w:val="22"/>
          <w:szCs w:val="22"/>
        </w:rPr>
        <w:fldChar w:fldCharType="end"/>
      </w:r>
      <w:r w:rsidRPr="004B694B">
        <w:rPr>
          <w:rFonts w:asciiTheme="majorHAnsi" w:eastAsiaTheme="majorEastAsia" w:hAnsiTheme="majorHAnsi" w:cstheme="majorBidi"/>
          <w:b/>
          <w:bCs/>
          <w:sz w:val="22"/>
          <w:szCs w:val="22"/>
        </w:rPr>
        <w:t>: Podíl ostatní produkce – OZE na tvorbě celkové hodnoty ostatní produkce (%)</w:t>
      </w:r>
      <w:r w:rsidRPr="00A57385">
        <w:rPr>
          <w:rFonts w:asciiTheme="majorHAnsi" w:hAnsiTheme="majorHAnsi" w:cstheme="majorHAnsi"/>
        </w:rPr>
        <w:br/>
      </w:r>
      <w:r>
        <w:rPr>
          <w:noProof/>
        </w:rPr>
        <w:drawing>
          <wp:inline distT="0" distB="0" distL="0" distR="0" wp14:anchorId="4F78ECD6" wp14:editId="6D22B045">
            <wp:extent cx="4572000" cy="2743200"/>
            <wp:effectExtent l="0" t="0" r="0" b="0"/>
            <wp:docPr id="25" name="Graf 25">
              <a:extLst xmlns:a="http://schemas.openxmlformats.org/drawingml/2006/main">
                <a:ext uri="{FF2B5EF4-FFF2-40B4-BE49-F238E27FC236}">
                  <a16:creationId xmlns:a16="http://schemas.microsoft.com/office/drawing/2014/main" id="{8AF4A4D1-4C1F-4F6A-ADE3-779E15501A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116"/>
      <w:bookmarkEnd w:id="117"/>
      <w:bookmarkEnd w:id="118"/>
    </w:p>
    <w:p w14:paraId="2604AD9B" w14:textId="77777777" w:rsidR="00143820" w:rsidRPr="004B694B" w:rsidRDefault="00143820" w:rsidP="004B694B">
      <w:pPr>
        <w:pStyle w:val="Titulek"/>
        <w:spacing w:after="0"/>
        <w:ind w:firstLine="0"/>
        <w:rPr>
          <w:rFonts w:asciiTheme="majorHAnsi" w:eastAsiaTheme="majorEastAsia" w:hAnsiTheme="majorHAnsi" w:cstheme="majorBidi"/>
          <w:i w:val="0"/>
          <w:iCs w:val="0"/>
          <w:color w:val="auto"/>
        </w:rPr>
      </w:pPr>
      <w:r w:rsidRPr="004B694B">
        <w:rPr>
          <w:rFonts w:asciiTheme="majorHAnsi" w:eastAsiaTheme="majorEastAsia" w:hAnsiTheme="majorHAnsi" w:cstheme="majorBidi"/>
          <w:color w:val="auto"/>
        </w:rPr>
        <w:t>Zdroj: FADN</w:t>
      </w:r>
    </w:p>
    <w:p w14:paraId="1C84EC07" w14:textId="77777777" w:rsidR="00143820" w:rsidRDefault="00143820" w:rsidP="00143820"/>
    <w:p w14:paraId="325F7E6B" w14:textId="77777777" w:rsidR="00143820" w:rsidRDefault="00143820" w:rsidP="00143820">
      <w:r w:rsidRPr="00E87A90">
        <w:rPr>
          <w:color w:val="000000" w:themeColor="text1"/>
        </w:rPr>
        <w:t xml:space="preserve">Obrázky </w:t>
      </w:r>
      <w:r w:rsidR="005208F1">
        <w:rPr>
          <w:color w:val="000000" w:themeColor="text1"/>
        </w:rPr>
        <w:t>7.</w:t>
      </w:r>
      <w:r w:rsidRPr="00E87A90">
        <w:rPr>
          <w:color w:val="000000" w:themeColor="text1"/>
        </w:rPr>
        <w:t>3.1</w:t>
      </w:r>
      <w:r w:rsidR="00E34D45" w:rsidRPr="00E87A90">
        <w:rPr>
          <w:color w:val="000000" w:themeColor="text1"/>
        </w:rPr>
        <w:t>4</w:t>
      </w:r>
      <w:r w:rsidRPr="00E87A90">
        <w:rPr>
          <w:color w:val="000000" w:themeColor="text1"/>
        </w:rPr>
        <w:t xml:space="preserve"> a </w:t>
      </w:r>
      <w:r w:rsidR="005208F1">
        <w:rPr>
          <w:color w:val="000000" w:themeColor="text1"/>
        </w:rPr>
        <w:t>7.</w:t>
      </w:r>
      <w:r w:rsidRPr="00E87A90">
        <w:rPr>
          <w:color w:val="000000" w:themeColor="text1"/>
        </w:rPr>
        <w:t>3.1</w:t>
      </w:r>
      <w:r w:rsidR="00E34D45" w:rsidRPr="00E87A90">
        <w:rPr>
          <w:color w:val="000000" w:themeColor="text1"/>
        </w:rPr>
        <w:t>5</w:t>
      </w:r>
      <w:r w:rsidRPr="00E87A90">
        <w:rPr>
          <w:color w:val="000000" w:themeColor="text1"/>
        </w:rPr>
        <w:t xml:space="preserve"> o</w:t>
      </w:r>
      <w:r>
        <w:t>bsahují přehled hodnot ostatní produkce v Kč/ha pro agroturistiku a OZE v letech 2014–2016 v členění podle ekonomické velikosti (dle definice FADN). Jak je z dat zřejmé, významnou položku představuje agroturistika především u podniků malé ekonomické velikosti. Tyto podniky ovšem provozují v minimální míře produkci OZE. Největší podniky vykazují výrazně vyšší hodnoty ostatní produkce OZE, a to s výraznějším odstupem ve srovnání se zbylými třemi kategoriemi.</w:t>
      </w:r>
    </w:p>
    <w:p w14:paraId="1481995A" w14:textId="77777777" w:rsidR="00A57385" w:rsidRDefault="00A57385" w:rsidP="00143820"/>
    <w:p w14:paraId="4AE4DA4D" w14:textId="77777777" w:rsidR="00143820" w:rsidRPr="004B694B" w:rsidRDefault="00143820" w:rsidP="004B694B">
      <w:pPr>
        <w:keepNext/>
        <w:spacing w:before="0" w:line="240" w:lineRule="auto"/>
        <w:ind w:firstLine="0"/>
        <w:rPr>
          <w:rFonts w:asciiTheme="majorHAnsi" w:eastAsiaTheme="majorEastAsia" w:hAnsiTheme="majorHAnsi" w:cstheme="majorBidi"/>
          <w:b/>
          <w:bCs/>
          <w:sz w:val="22"/>
          <w:szCs w:val="22"/>
        </w:rPr>
      </w:pPr>
      <w:bookmarkStart w:id="119" w:name="_Toc525727641"/>
      <w:bookmarkStart w:id="120" w:name="_Toc525735928"/>
      <w:bookmarkStart w:id="121" w:name="_Toc525738225"/>
      <w:r w:rsidRPr="004B694B">
        <w:rPr>
          <w:rFonts w:asciiTheme="majorHAnsi" w:eastAsiaTheme="majorEastAsia" w:hAnsiTheme="majorHAnsi" w:cstheme="majorBidi"/>
          <w:b/>
          <w:bCs/>
          <w:sz w:val="22"/>
          <w:szCs w:val="22"/>
        </w:rPr>
        <w:lastRenderedPageBreak/>
        <w:t xml:space="preserve">Obrázek </w:t>
      </w:r>
      <w:r w:rsidR="005208F1">
        <w:rPr>
          <w:rFonts w:asciiTheme="majorHAnsi" w:eastAsiaTheme="majorEastAsia" w:hAnsiTheme="majorHAnsi" w:cstheme="majorBidi"/>
          <w:b/>
          <w:bCs/>
          <w:sz w:val="22"/>
          <w:szCs w:val="22"/>
        </w:rPr>
        <w:t>7.</w:t>
      </w:r>
      <w:r w:rsidR="00240E36">
        <w:rPr>
          <w:rFonts w:asciiTheme="majorHAnsi" w:eastAsiaTheme="majorEastAsia" w:hAnsiTheme="majorHAnsi" w:cstheme="majorBidi"/>
          <w:b/>
          <w:bCs/>
          <w:sz w:val="22"/>
          <w:szCs w:val="22"/>
        </w:rPr>
        <w:fldChar w:fldCharType="begin"/>
      </w:r>
      <w:r w:rsidR="00240E36">
        <w:rPr>
          <w:rFonts w:asciiTheme="majorHAnsi" w:eastAsiaTheme="majorEastAsia" w:hAnsiTheme="majorHAnsi" w:cstheme="majorBidi"/>
          <w:b/>
          <w:bCs/>
          <w:sz w:val="22"/>
          <w:szCs w:val="22"/>
        </w:rPr>
        <w:instrText xml:space="preserve"> STYLEREF 1 \s </w:instrText>
      </w:r>
      <w:r w:rsidR="00240E36">
        <w:rPr>
          <w:rFonts w:asciiTheme="majorHAnsi" w:eastAsiaTheme="majorEastAsia" w:hAnsiTheme="majorHAnsi" w:cstheme="majorBidi"/>
          <w:b/>
          <w:bCs/>
          <w:sz w:val="22"/>
          <w:szCs w:val="22"/>
        </w:rPr>
        <w:fldChar w:fldCharType="separate"/>
      </w:r>
      <w:r w:rsidR="00240E36">
        <w:rPr>
          <w:rFonts w:asciiTheme="majorHAnsi" w:eastAsiaTheme="majorEastAsia" w:hAnsiTheme="majorHAnsi" w:cstheme="majorBidi"/>
          <w:b/>
          <w:bCs/>
          <w:noProof/>
          <w:sz w:val="22"/>
          <w:szCs w:val="22"/>
        </w:rPr>
        <w:t>3</w:t>
      </w:r>
      <w:r w:rsidR="00240E36">
        <w:rPr>
          <w:rFonts w:asciiTheme="majorHAnsi" w:eastAsiaTheme="majorEastAsia" w:hAnsiTheme="majorHAnsi" w:cstheme="majorBidi"/>
          <w:b/>
          <w:bCs/>
          <w:sz w:val="22"/>
          <w:szCs w:val="22"/>
        </w:rPr>
        <w:fldChar w:fldCharType="end"/>
      </w:r>
      <w:r w:rsidR="00240E36">
        <w:rPr>
          <w:rFonts w:asciiTheme="majorHAnsi" w:eastAsiaTheme="majorEastAsia" w:hAnsiTheme="majorHAnsi" w:cstheme="majorBidi"/>
          <w:b/>
          <w:bCs/>
          <w:sz w:val="22"/>
          <w:szCs w:val="22"/>
        </w:rPr>
        <w:t>.</w:t>
      </w:r>
      <w:r w:rsidR="00EB5B81">
        <w:rPr>
          <w:rFonts w:asciiTheme="majorHAnsi" w:eastAsiaTheme="majorEastAsia" w:hAnsiTheme="majorHAnsi" w:cstheme="majorBidi"/>
          <w:b/>
          <w:bCs/>
          <w:sz w:val="22"/>
          <w:szCs w:val="22"/>
        </w:rPr>
        <w:fldChar w:fldCharType="begin"/>
      </w:r>
      <w:r w:rsidR="00EB5B81">
        <w:rPr>
          <w:rFonts w:asciiTheme="majorHAnsi" w:eastAsiaTheme="majorEastAsia" w:hAnsiTheme="majorHAnsi" w:cstheme="majorBidi"/>
          <w:b/>
          <w:bCs/>
          <w:sz w:val="22"/>
          <w:szCs w:val="22"/>
        </w:rPr>
        <w:instrText xml:space="preserve"> SEQ Obrázek \* ARABIC \s 1 </w:instrText>
      </w:r>
      <w:r w:rsidR="00EB5B81">
        <w:rPr>
          <w:rFonts w:asciiTheme="majorHAnsi" w:eastAsiaTheme="majorEastAsia" w:hAnsiTheme="majorHAnsi" w:cstheme="majorBidi"/>
          <w:b/>
          <w:bCs/>
          <w:sz w:val="22"/>
          <w:szCs w:val="22"/>
        </w:rPr>
        <w:fldChar w:fldCharType="separate"/>
      </w:r>
      <w:r w:rsidR="00EB5B81">
        <w:rPr>
          <w:rFonts w:asciiTheme="majorHAnsi" w:eastAsiaTheme="majorEastAsia" w:hAnsiTheme="majorHAnsi" w:cstheme="majorBidi"/>
          <w:b/>
          <w:bCs/>
          <w:noProof/>
          <w:sz w:val="22"/>
          <w:szCs w:val="22"/>
        </w:rPr>
        <w:t>14</w:t>
      </w:r>
      <w:r w:rsidR="00EB5B81">
        <w:rPr>
          <w:rFonts w:asciiTheme="majorHAnsi" w:eastAsiaTheme="majorEastAsia" w:hAnsiTheme="majorHAnsi" w:cstheme="majorBidi"/>
          <w:b/>
          <w:bCs/>
          <w:sz w:val="22"/>
          <w:szCs w:val="22"/>
        </w:rPr>
        <w:fldChar w:fldCharType="end"/>
      </w:r>
      <w:r w:rsidRPr="004B694B">
        <w:rPr>
          <w:rFonts w:asciiTheme="majorHAnsi" w:eastAsiaTheme="majorEastAsia" w:hAnsiTheme="majorHAnsi" w:cstheme="majorBidi"/>
          <w:b/>
          <w:bCs/>
          <w:sz w:val="22"/>
          <w:szCs w:val="22"/>
        </w:rPr>
        <w:t>: Hodnota ostatní produkce – agroturistiky v Kč/ha</w:t>
      </w:r>
      <w:bookmarkEnd w:id="119"/>
      <w:bookmarkEnd w:id="120"/>
      <w:bookmarkEnd w:id="121"/>
    </w:p>
    <w:p w14:paraId="48979630" w14:textId="77777777" w:rsidR="00143820" w:rsidRDefault="00143820" w:rsidP="00A57385">
      <w:pPr>
        <w:ind w:firstLine="0"/>
      </w:pPr>
      <w:r>
        <w:rPr>
          <w:noProof/>
        </w:rPr>
        <w:drawing>
          <wp:inline distT="0" distB="0" distL="0" distR="0" wp14:anchorId="66D141CC" wp14:editId="04D61D55">
            <wp:extent cx="4572000" cy="2743200"/>
            <wp:effectExtent l="0" t="0" r="12700" b="12700"/>
            <wp:docPr id="22" name="Graf 22">
              <a:extLst xmlns:a="http://schemas.openxmlformats.org/drawingml/2006/main">
                <a:ext uri="{FF2B5EF4-FFF2-40B4-BE49-F238E27FC236}">
                  <a16:creationId xmlns:a16="http://schemas.microsoft.com/office/drawing/2014/main" id="{0E194347-EF51-9546-82BC-D94F97E333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A697D96" w14:textId="77777777" w:rsidR="00143820" w:rsidRPr="004B694B" w:rsidRDefault="00143820" w:rsidP="004B694B">
      <w:pPr>
        <w:pStyle w:val="Titulek"/>
        <w:spacing w:after="0"/>
        <w:ind w:firstLine="0"/>
        <w:rPr>
          <w:rFonts w:asciiTheme="majorHAnsi" w:eastAsiaTheme="majorEastAsia" w:hAnsiTheme="majorHAnsi" w:cstheme="majorBidi"/>
          <w:i w:val="0"/>
          <w:iCs w:val="0"/>
          <w:color w:val="auto"/>
        </w:rPr>
      </w:pPr>
      <w:r w:rsidRPr="004B694B">
        <w:rPr>
          <w:rFonts w:asciiTheme="majorHAnsi" w:eastAsiaTheme="majorEastAsia" w:hAnsiTheme="majorHAnsi" w:cstheme="majorBidi"/>
          <w:color w:val="auto"/>
        </w:rPr>
        <w:t>Zdroj: FADN</w:t>
      </w:r>
    </w:p>
    <w:p w14:paraId="3C03CEA4" w14:textId="77777777" w:rsidR="00143820" w:rsidRDefault="00143820" w:rsidP="00143820"/>
    <w:p w14:paraId="791B39D3" w14:textId="77777777" w:rsidR="00143820" w:rsidRPr="004B694B" w:rsidRDefault="00143820" w:rsidP="004B694B">
      <w:pPr>
        <w:spacing w:before="0" w:line="240" w:lineRule="auto"/>
        <w:ind w:firstLine="0"/>
        <w:jc w:val="left"/>
        <w:rPr>
          <w:rFonts w:asciiTheme="majorHAnsi" w:eastAsiaTheme="majorEastAsia" w:hAnsiTheme="majorHAnsi" w:cstheme="majorBidi"/>
          <w:b/>
          <w:bCs/>
          <w:sz w:val="22"/>
          <w:szCs w:val="22"/>
        </w:rPr>
      </w:pPr>
      <w:bookmarkStart w:id="122" w:name="_Toc525727642"/>
      <w:bookmarkStart w:id="123" w:name="_Toc525735929"/>
      <w:bookmarkStart w:id="124" w:name="_Toc525738226"/>
      <w:r w:rsidRPr="004B694B">
        <w:rPr>
          <w:rFonts w:asciiTheme="majorHAnsi" w:eastAsiaTheme="majorEastAsia" w:hAnsiTheme="majorHAnsi" w:cstheme="majorBidi"/>
          <w:b/>
          <w:bCs/>
          <w:sz w:val="22"/>
          <w:szCs w:val="22"/>
        </w:rPr>
        <w:t xml:space="preserve">Obrázek </w:t>
      </w:r>
      <w:r w:rsidR="005208F1">
        <w:rPr>
          <w:rFonts w:asciiTheme="majorHAnsi" w:eastAsiaTheme="majorEastAsia" w:hAnsiTheme="majorHAnsi" w:cstheme="majorBidi"/>
          <w:b/>
          <w:bCs/>
          <w:sz w:val="22"/>
          <w:szCs w:val="22"/>
        </w:rPr>
        <w:t>7.</w:t>
      </w:r>
      <w:r w:rsidR="00240E36">
        <w:rPr>
          <w:rFonts w:asciiTheme="majorHAnsi" w:eastAsiaTheme="majorEastAsia" w:hAnsiTheme="majorHAnsi" w:cstheme="majorBidi"/>
          <w:b/>
          <w:bCs/>
          <w:sz w:val="22"/>
          <w:szCs w:val="22"/>
        </w:rPr>
        <w:fldChar w:fldCharType="begin"/>
      </w:r>
      <w:r w:rsidR="00240E36">
        <w:rPr>
          <w:rFonts w:asciiTheme="majorHAnsi" w:eastAsiaTheme="majorEastAsia" w:hAnsiTheme="majorHAnsi" w:cstheme="majorBidi"/>
          <w:b/>
          <w:bCs/>
          <w:sz w:val="22"/>
          <w:szCs w:val="22"/>
        </w:rPr>
        <w:instrText xml:space="preserve"> STYLEREF 1 \s </w:instrText>
      </w:r>
      <w:r w:rsidR="00240E36">
        <w:rPr>
          <w:rFonts w:asciiTheme="majorHAnsi" w:eastAsiaTheme="majorEastAsia" w:hAnsiTheme="majorHAnsi" w:cstheme="majorBidi"/>
          <w:b/>
          <w:bCs/>
          <w:sz w:val="22"/>
          <w:szCs w:val="22"/>
        </w:rPr>
        <w:fldChar w:fldCharType="separate"/>
      </w:r>
      <w:r w:rsidR="00240E36">
        <w:rPr>
          <w:rFonts w:asciiTheme="majorHAnsi" w:eastAsiaTheme="majorEastAsia" w:hAnsiTheme="majorHAnsi" w:cstheme="majorBidi"/>
          <w:b/>
          <w:bCs/>
          <w:noProof/>
          <w:sz w:val="22"/>
          <w:szCs w:val="22"/>
        </w:rPr>
        <w:t>3</w:t>
      </w:r>
      <w:r w:rsidR="00240E36">
        <w:rPr>
          <w:rFonts w:asciiTheme="majorHAnsi" w:eastAsiaTheme="majorEastAsia" w:hAnsiTheme="majorHAnsi" w:cstheme="majorBidi"/>
          <w:b/>
          <w:bCs/>
          <w:sz w:val="22"/>
          <w:szCs w:val="22"/>
        </w:rPr>
        <w:fldChar w:fldCharType="end"/>
      </w:r>
      <w:r w:rsidR="00240E36">
        <w:rPr>
          <w:rFonts w:asciiTheme="majorHAnsi" w:eastAsiaTheme="majorEastAsia" w:hAnsiTheme="majorHAnsi" w:cstheme="majorBidi"/>
          <w:b/>
          <w:bCs/>
          <w:sz w:val="22"/>
          <w:szCs w:val="22"/>
        </w:rPr>
        <w:t>.</w:t>
      </w:r>
      <w:r w:rsidR="00EB5B81">
        <w:rPr>
          <w:rFonts w:asciiTheme="majorHAnsi" w:eastAsiaTheme="majorEastAsia" w:hAnsiTheme="majorHAnsi" w:cstheme="majorBidi"/>
          <w:b/>
          <w:bCs/>
          <w:sz w:val="22"/>
          <w:szCs w:val="22"/>
        </w:rPr>
        <w:fldChar w:fldCharType="begin"/>
      </w:r>
      <w:r w:rsidR="00EB5B81">
        <w:rPr>
          <w:rFonts w:asciiTheme="majorHAnsi" w:eastAsiaTheme="majorEastAsia" w:hAnsiTheme="majorHAnsi" w:cstheme="majorBidi"/>
          <w:b/>
          <w:bCs/>
          <w:sz w:val="22"/>
          <w:szCs w:val="22"/>
        </w:rPr>
        <w:instrText xml:space="preserve"> SEQ Obrázek \* ARABIC \s 1 </w:instrText>
      </w:r>
      <w:r w:rsidR="00EB5B81">
        <w:rPr>
          <w:rFonts w:asciiTheme="majorHAnsi" w:eastAsiaTheme="majorEastAsia" w:hAnsiTheme="majorHAnsi" w:cstheme="majorBidi"/>
          <w:b/>
          <w:bCs/>
          <w:sz w:val="22"/>
          <w:szCs w:val="22"/>
        </w:rPr>
        <w:fldChar w:fldCharType="separate"/>
      </w:r>
      <w:r w:rsidR="00EB5B81">
        <w:rPr>
          <w:rFonts w:asciiTheme="majorHAnsi" w:eastAsiaTheme="majorEastAsia" w:hAnsiTheme="majorHAnsi" w:cstheme="majorBidi"/>
          <w:b/>
          <w:bCs/>
          <w:noProof/>
          <w:sz w:val="22"/>
          <w:szCs w:val="22"/>
        </w:rPr>
        <w:t>15</w:t>
      </w:r>
      <w:r w:rsidR="00EB5B81">
        <w:rPr>
          <w:rFonts w:asciiTheme="majorHAnsi" w:eastAsiaTheme="majorEastAsia" w:hAnsiTheme="majorHAnsi" w:cstheme="majorBidi"/>
          <w:b/>
          <w:bCs/>
          <w:sz w:val="22"/>
          <w:szCs w:val="22"/>
        </w:rPr>
        <w:fldChar w:fldCharType="end"/>
      </w:r>
      <w:r w:rsidRPr="004B694B">
        <w:rPr>
          <w:rFonts w:asciiTheme="majorHAnsi" w:eastAsiaTheme="majorEastAsia" w:hAnsiTheme="majorHAnsi" w:cstheme="majorBidi"/>
          <w:b/>
          <w:bCs/>
          <w:sz w:val="22"/>
          <w:szCs w:val="22"/>
        </w:rPr>
        <w:t>: Podíl ostatní produkce – OZE na tvorbě celkové hodnoty ostatní produkce (%)</w:t>
      </w:r>
      <w:bookmarkEnd w:id="122"/>
      <w:bookmarkEnd w:id="123"/>
      <w:bookmarkEnd w:id="124"/>
    </w:p>
    <w:p w14:paraId="24864219" w14:textId="77777777" w:rsidR="00143820" w:rsidRDefault="00143820" w:rsidP="00A57385">
      <w:pPr>
        <w:ind w:firstLine="0"/>
      </w:pPr>
      <w:r>
        <w:rPr>
          <w:noProof/>
        </w:rPr>
        <w:drawing>
          <wp:inline distT="0" distB="0" distL="0" distR="0" wp14:anchorId="253000C6" wp14:editId="3D9A7CED">
            <wp:extent cx="4572000" cy="2743200"/>
            <wp:effectExtent l="0" t="0" r="12700" b="12700"/>
            <wp:docPr id="27" name="Graf 27">
              <a:extLst xmlns:a="http://schemas.openxmlformats.org/drawingml/2006/main">
                <a:ext uri="{FF2B5EF4-FFF2-40B4-BE49-F238E27FC236}">
                  <a16:creationId xmlns:a16="http://schemas.microsoft.com/office/drawing/2014/main" id="{085EAD53-9E02-3B4E-9095-E6E3F6B08F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DA28908" w14:textId="77777777" w:rsidR="00143820" w:rsidRPr="004B694B" w:rsidRDefault="00143820" w:rsidP="004B694B">
      <w:pPr>
        <w:pStyle w:val="Titulek"/>
        <w:spacing w:after="0"/>
        <w:ind w:firstLine="0"/>
        <w:rPr>
          <w:rFonts w:asciiTheme="majorHAnsi" w:eastAsiaTheme="majorEastAsia" w:hAnsiTheme="majorHAnsi" w:cstheme="majorBidi"/>
          <w:i w:val="0"/>
          <w:iCs w:val="0"/>
          <w:color w:val="auto"/>
        </w:rPr>
      </w:pPr>
      <w:r w:rsidRPr="004B694B">
        <w:rPr>
          <w:rFonts w:asciiTheme="majorHAnsi" w:eastAsiaTheme="majorEastAsia" w:hAnsiTheme="majorHAnsi" w:cstheme="majorBidi"/>
          <w:color w:val="auto"/>
        </w:rPr>
        <w:t>Zdroj: FADN</w:t>
      </w:r>
    </w:p>
    <w:p w14:paraId="6F6FCA7A" w14:textId="77777777" w:rsidR="00143820" w:rsidRDefault="00143820" w:rsidP="00143820"/>
    <w:p w14:paraId="2EB78A9B" w14:textId="77777777" w:rsidR="009D5787" w:rsidRDefault="009D5787">
      <w:pPr>
        <w:spacing w:before="0" w:after="160" w:line="259" w:lineRule="auto"/>
        <w:ind w:firstLine="0"/>
        <w:jc w:val="left"/>
      </w:pPr>
      <w:r>
        <w:br w:type="page"/>
      </w:r>
    </w:p>
    <w:p w14:paraId="524D1F85" w14:textId="77777777" w:rsidR="00143820" w:rsidRPr="00F871FD" w:rsidRDefault="00143820" w:rsidP="00346853">
      <w:pPr>
        <w:pStyle w:val="Nadpis1"/>
        <w:keepLines/>
        <w:numPr>
          <w:ilvl w:val="1"/>
          <w:numId w:val="60"/>
        </w:numPr>
        <w:spacing w:before="240" w:line="259" w:lineRule="auto"/>
      </w:pPr>
      <w:bookmarkStart w:id="125" w:name="_Toc525823169"/>
      <w:bookmarkStart w:id="126" w:name="_Toc525825208"/>
      <w:r w:rsidRPr="00F871FD">
        <w:lastRenderedPageBreak/>
        <w:t>Zaměstnanost a příjmové postavení venkovské populace, ohrožení chudobou</w:t>
      </w:r>
      <w:bookmarkEnd w:id="125"/>
      <w:bookmarkEnd w:id="126"/>
    </w:p>
    <w:p w14:paraId="73BF0888" w14:textId="77777777" w:rsidR="00143820" w:rsidRDefault="00143820" w:rsidP="00143820">
      <w:pPr>
        <w:rPr>
          <w:rFonts w:cstheme="minorHAnsi"/>
          <w:b/>
        </w:rPr>
      </w:pPr>
    </w:p>
    <w:p w14:paraId="02B733BC" w14:textId="77777777" w:rsidR="00143820" w:rsidRPr="004B694B" w:rsidRDefault="00143820">
      <w:pPr>
        <w:ind w:firstLine="0"/>
        <w:rPr>
          <w:rFonts w:asciiTheme="majorHAnsi" w:eastAsiaTheme="majorEastAsia" w:hAnsiTheme="majorHAnsi" w:cstheme="majorBidi"/>
        </w:rPr>
      </w:pPr>
      <w:r w:rsidRPr="004B694B">
        <w:rPr>
          <w:rFonts w:asciiTheme="majorHAnsi" w:eastAsiaTheme="majorEastAsia" w:hAnsiTheme="majorHAnsi" w:cstheme="majorBidi"/>
          <w:b/>
          <w:bCs/>
        </w:rPr>
        <w:t>Zaměstnanost na venkově</w:t>
      </w:r>
    </w:p>
    <w:p w14:paraId="49485D2E" w14:textId="77777777" w:rsidR="009C5CAF" w:rsidRDefault="00143820" w:rsidP="009C5CAF">
      <w:pPr>
        <w:ind w:firstLine="709"/>
      </w:pPr>
      <w:r w:rsidRPr="00A84029">
        <w:t xml:space="preserve">Ekonomická aktivita venkovského obyvatelstva (zde v obcích do 2000 obyvatel) v roce 2011 činila 47,9 % a byla o 1,1 p. b. nižší než ekonomická aktivita obyvatel měst. Nejnižší podíl ekonomicky aktivního obyvatelstva vykazovaly obce s méně než 200 obyvateli (46,4 %). Z hlediska odvětvové struktury zaměstnanosti je na venkově ve srovnání s městy vyšší zaměstnanost v agrárním sektoru, dále </w:t>
      </w:r>
      <w:r>
        <w:t xml:space="preserve">pak v průmyslu a stavebnictví </w:t>
      </w:r>
      <w:r w:rsidR="004F675C">
        <w:t>a–z</w:t>
      </w:r>
      <w:r w:rsidRPr="00A84029">
        <w:t> odvětví zahrnutých do služeb – v dopravě a skladování</w:t>
      </w:r>
      <w:r w:rsidRPr="00CB6535">
        <w:t>. Podíl pracovníků agrárního sektoru na zaměstnanosti v NH na venkově (obce do 2000 obyvatel) činil v roce 2011 (SLDB) 6,5 %, přičemž tento podíl se proti roku 2001 (SLDB) snížil přibližně o 5 p. b</w:t>
      </w:r>
      <w:r w:rsidR="009C5CAF">
        <w:t>.</w:t>
      </w:r>
    </w:p>
    <w:p w14:paraId="782B9C28" w14:textId="77777777" w:rsidR="00143820" w:rsidRDefault="00143820" w:rsidP="00143820">
      <w:pPr>
        <w:ind w:firstLine="708"/>
      </w:pPr>
      <w:r>
        <w:t xml:space="preserve"> </w:t>
      </w:r>
    </w:p>
    <w:p w14:paraId="3C129155" w14:textId="77777777" w:rsidR="00143820" w:rsidRPr="004B694B" w:rsidRDefault="00143820" w:rsidP="004B694B">
      <w:pPr>
        <w:pStyle w:val="Titulek"/>
        <w:keepNext/>
        <w:spacing w:after="0"/>
        <w:ind w:firstLine="0"/>
        <w:rPr>
          <w:rFonts w:asciiTheme="minorHAnsi" w:eastAsiaTheme="minorEastAsia" w:hAnsiTheme="minorHAnsi" w:cstheme="minorBidi"/>
          <w:b/>
          <w:bCs/>
          <w:i w:val="0"/>
          <w:iCs w:val="0"/>
          <w:color w:val="auto"/>
          <w:sz w:val="22"/>
          <w:szCs w:val="22"/>
        </w:rPr>
      </w:pPr>
      <w:bookmarkStart w:id="127" w:name="_Toc499191495"/>
      <w:bookmarkStart w:id="128" w:name="_Toc522869013"/>
      <w:r w:rsidRPr="004B694B">
        <w:rPr>
          <w:rFonts w:asciiTheme="minorHAnsi" w:eastAsiaTheme="minorEastAsia" w:hAnsiTheme="minorHAnsi" w:cstheme="minorBidi"/>
          <w:b/>
          <w:bCs/>
          <w:i w:val="0"/>
          <w:iCs w:val="0"/>
          <w:color w:val="auto"/>
          <w:sz w:val="22"/>
          <w:szCs w:val="22"/>
        </w:rPr>
        <w:t xml:space="preserve">Tabulka </w:t>
      </w:r>
      <w:r w:rsidR="005208F1">
        <w:rPr>
          <w:rFonts w:asciiTheme="minorHAnsi" w:eastAsiaTheme="minorEastAsia" w:hAnsiTheme="minorHAnsi" w:cstheme="minorBidi"/>
          <w:b/>
          <w:bCs/>
          <w:i w:val="0"/>
          <w:iCs w:val="0"/>
          <w:color w:val="auto"/>
          <w:sz w:val="22"/>
          <w:szCs w:val="22"/>
        </w:rPr>
        <w:t>7.</w:t>
      </w:r>
      <w:r w:rsidR="00E34D45">
        <w:rPr>
          <w:rFonts w:asciiTheme="minorHAnsi" w:eastAsiaTheme="minorEastAsia" w:hAnsiTheme="minorHAnsi" w:cstheme="minorBidi"/>
          <w:b/>
          <w:bCs/>
          <w:i w:val="0"/>
          <w:iCs w:val="0"/>
          <w:color w:val="auto"/>
          <w:sz w:val="22"/>
          <w:szCs w:val="22"/>
        </w:rPr>
        <w:fldChar w:fldCharType="begin"/>
      </w:r>
      <w:r w:rsidR="00E34D45">
        <w:rPr>
          <w:rFonts w:asciiTheme="minorHAnsi" w:eastAsiaTheme="minorEastAsia" w:hAnsiTheme="minorHAnsi" w:cstheme="minorBidi"/>
          <w:b/>
          <w:bCs/>
          <w:i w:val="0"/>
          <w:iCs w:val="0"/>
          <w:color w:val="auto"/>
          <w:sz w:val="22"/>
          <w:szCs w:val="22"/>
        </w:rPr>
        <w:instrText xml:space="preserve"> STYLEREF 1 \s </w:instrText>
      </w:r>
      <w:r w:rsidR="00E34D45">
        <w:rPr>
          <w:rFonts w:asciiTheme="minorHAnsi" w:eastAsiaTheme="minorEastAsia" w:hAnsiTheme="minorHAnsi" w:cstheme="minorBidi"/>
          <w:b/>
          <w:bCs/>
          <w:i w:val="0"/>
          <w:iCs w:val="0"/>
          <w:color w:val="auto"/>
          <w:sz w:val="22"/>
          <w:szCs w:val="22"/>
        </w:rPr>
        <w:fldChar w:fldCharType="separate"/>
      </w:r>
      <w:r w:rsidR="00240E36">
        <w:rPr>
          <w:rFonts w:asciiTheme="minorHAnsi" w:eastAsiaTheme="minorEastAsia" w:hAnsiTheme="minorHAnsi" w:cstheme="minorBidi"/>
          <w:b/>
          <w:bCs/>
          <w:i w:val="0"/>
          <w:iCs w:val="0"/>
          <w:noProof/>
          <w:color w:val="auto"/>
          <w:sz w:val="22"/>
          <w:szCs w:val="22"/>
        </w:rPr>
        <w:t>4</w:t>
      </w:r>
      <w:r w:rsidR="00E34D45">
        <w:rPr>
          <w:rFonts w:asciiTheme="minorHAnsi" w:eastAsiaTheme="minorEastAsia" w:hAnsiTheme="minorHAnsi" w:cstheme="minorBidi"/>
          <w:b/>
          <w:bCs/>
          <w:i w:val="0"/>
          <w:iCs w:val="0"/>
          <w:color w:val="auto"/>
          <w:sz w:val="22"/>
          <w:szCs w:val="22"/>
        </w:rPr>
        <w:fldChar w:fldCharType="end"/>
      </w:r>
      <w:r w:rsidR="00E34D45">
        <w:rPr>
          <w:rFonts w:asciiTheme="minorHAnsi" w:eastAsiaTheme="minorEastAsia" w:hAnsiTheme="minorHAnsi" w:cstheme="minorBidi"/>
          <w:b/>
          <w:bCs/>
          <w:i w:val="0"/>
          <w:iCs w:val="0"/>
          <w:color w:val="auto"/>
          <w:sz w:val="22"/>
          <w:szCs w:val="22"/>
        </w:rPr>
        <w:t>.</w:t>
      </w:r>
      <w:r w:rsidR="00E34D45">
        <w:rPr>
          <w:rFonts w:asciiTheme="minorHAnsi" w:eastAsiaTheme="minorEastAsia" w:hAnsiTheme="minorHAnsi" w:cstheme="minorBidi"/>
          <w:b/>
          <w:bCs/>
          <w:i w:val="0"/>
          <w:iCs w:val="0"/>
          <w:color w:val="auto"/>
          <w:sz w:val="22"/>
          <w:szCs w:val="22"/>
        </w:rPr>
        <w:fldChar w:fldCharType="begin"/>
      </w:r>
      <w:r w:rsidR="00E34D45">
        <w:rPr>
          <w:rFonts w:asciiTheme="minorHAnsi" w:eastAsiaTheme="minorEastAsia" w:hAnsiTheme="minorHAnsi" w:cstheme="minorBidi"/>
          <w:b/>
          <w:bCs/>
          <w:i w:val="0"/>
          <w:iCs w:val="0"/>
          <w:color w:val="auto"/>
          <w:sz w:val="22"/>
          <w:szCs w:val="22"/>
        </w:rPr>
        <w:instrText xml:space="preserve"> SEQ Tabulka \* ARABIC \s 1 </w:instrText>
      </w:r>
      <w:r w:rsidR="00E34D45">
        <w:rPr>
          <w:rFonts w:asciiTheme="minorHAnsi" w:eastAsiaTheme="minorEastAsia" w:hAnsiTheme="minorHAnsi" w:cstheme="minorBidi"/>
          <w:b/>
          <w:bCs/>
          <w:i w:val="0"/>
          <w:iCs w:val="0"/>
          <w:color w:val="auto"/>
          <w:sz w:val="22"/>
          <w:szCs w:val="22"/>
        </w:rPr>
        <w:fldChar w:fldCharType="separate"/>
      </w:r>
      <w:r w:rsidR="00240E36">
        <w:rPr>
          <w:rFonts w:asciiTheme="minorHAnsi" w:eastAsiaTheme="minorEastAsia" w:hAnsiTheme="minorHAnsi" w:cstheme="minorBidi"/>
          <w:b/>
          <w:bCs/>
          <w:i w:val="0"/>
          <w:iCs w:val="0"/>
          <w:noProof/>
          <w:color w:val="auto"/>
          <w:sz w:val="22"/>
          <w:szCs w:val="22"/>
        </w:rPr>
        <w:t>1</w:t>
      </w:r>
      <w:r w:rsidR="00E34D45">
        <w:rPr>
          <w:rFonts w:asciiTheme="minorHAnsi" w:eastAsiaTheme="minorEastAsia" w:hAnsiTheme="minorHAnsi" w:cstheme="minorBidi"/>
          <w:b/>
          <w:bCs/>
          <w:i w:val="0"/>
          <w:iCs w:val="0"/>
          <w:color w:val="auto"/>
          <w:sz w:val="22"/>
          <w:szCs w:val="22"/>
        </w:rPr>
        <w:fldChar w:fldCharType="end"/>
      </w:r>
      <w:r w:rsidRPr="004B694B">
        <w:rPr>
          <w:rFonts w:asciiTheme="minorHAnsi" w:eastAsiaTheme="minorEastAsia" w:hAnsiTheme="minorHAnsi" w:cstheme="minorBidi"/>
          <w:b/>
          <w:bCs/>
          <w:i w:val="0"/>
          <w:iCs w:val="0"/>
          <w:color w:val="auto"/>
          <w:sz w:val="22"/>
          <w:szCs w:val="22"/>
        </w:rPr>
        <w:t>: Podíl zaměstnaných osob podle odvětví ekonomické činnosti (%)</w:t>
      </w:r>
      <w:bookmarkEnd w:id="127"/>
      <w:bookmarkEnd w:id="128"/>
    </w:p>
    <w:tbl>
      <w:tblPr>
        <w:tblW w:w="9144" w:type="dxa"/>
        <w:tblInd w:w="47"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5"/>
        <w:gridCol w:w="1276"/>
        <w:gridCol w:w="1158"/>
        <w:gridCol w:w="1251"/>
        <w:gridCol w:w="1158"/>
        <w:gridCol w:w="1158"/>
        <w:gridCol w:w="1228"/>
      </w:tblGrid>
      <w:tr w:rsidR="00143820" w:rsidRPr="009C5CAF" w14:paraId="3CC62418" w14:textId="77777777" w:rsidTr="004B694B">
        <w:trPr>
          <w:trHeight w:val="327"/>
        </w:trPr>
        <w:tc>
          <w:tcPr>
            <w:tcW w:w="1915" w:type="dxa"/>
            <w:vMerge w:val="restart"/>
            <w:shd w:val="clear" w:color="auto" w:fill="D9D9D9" w:themeFill="background1" w:themeFillShade="D9"/>
            <w:noWrap/>
            <w:vAlign w:val="center"/>
            <w:hideMark/>
          </w:tcPr>
          <w:p w14:paraId="2F5E4BD0" w14:textId="77777777" w:rsidR="00143820" w:rsidRPr="00776DDB" w:rsidRDefault="00143820" w:rsidP="004B694B">
            <w:pPr>
              <w:spacing w:line="240" w:lineRule="auto"/>
              <w:rPr>
                <w:rFonts w:ascii="Arial" w:eastAsia="Arial" w:hAnsi="Arial" w:cs="Arial"/>
                <w:b/>
                <w:bCs/>
                <w:iCs/>
                <w:sz w:val="18"/>
                <w:szCs w:val="18"/>
              </w:rPr>
            </w:pPr>
            <w:r w:rsidRPr="00776DDB">
              <w:rPr>
                <w:rFonts w:ascii="Arial" w:eastAsia="Arial" w:hAnsi="Arial" w:cs="Arial"/>
                <w:b/>
                <w:bCs/>
                <w:iCs/>
                <w:sz w:val="18"/>
                <w:szCs w:val="18"/>
              </w:rPr>
              <w:t>Sektory</w:t>
            </w:r>
          </w:p>
        </w:tc>
        <w:tc>
          <w:tcPr>
            <w:tcW w:w="3685" w:type="dxa"/>
            <w:gridSpan w:val="3"/>
            <w:shd w:val="clear" w:color="auto" w:fill="D9D9D9" w:themeFill="background1" w:themeFillShade="D9"/>
            <w:noWrap/>
            <w:vAlign w:val="center"/>
            <w:hideMark/>
          </w:tcPr>
          <w:p w14:paraId="4F8F2D8C" w14:textId="77777777" w:rsidR="00143820" w:rsidRPr="00776DDB" w:rsidRDefault="00143820" w:rsidP="004B694B">
            <w:pPr>
              <w:spacing w:line="240" w:lineRule="auto"/>
              <w:ind w:firstLine="0"/>
              <w:jc w:val="center"/>
              <w:rPr>
                <w:rFonts w:ascii="Arial" w:eastAsia="Arial" w:hAnsi="Arial" w:cs="Arial"/>
                <w:b/>
                <w:bCs/>
                <w:iCs/>
                <w:sz w:val="18"/>
                <w:szCs w:val="18"/>
              </w:rPr>
            </w:pPr>
            <w:r w:rsidRPr="00776DDB">
              <w:rPr>
                <w:rFonts w:ascii="Arial" w:eastAsia="Arial" w:hAnsi="Arial" w:cs="Arial"/>
                <w:b/>
                <w:bCs/>
                <w:iCs/>
                <w:sz w:val="18"/>
                <w:szCs w:val="18"/>
              </w:rPr>
              <w:t>2001</w:t>
            </w:r>
          </w:p>
        </w:tc>
        <w:tc>
          <w:tcPr>
            <w:tcW w:w="3544" w:type="dxa"/>
            <w:gridSpan w:val="3"/>
            <w:shd w:val="clear" w:color="auto" w:fill="D9D9D9" w:themeFill="background1" w:themeFillShade="D9"/>
            <w:noWrap/>
            <w:vAlign w:val="center"/>
            <w:hideMark/>
          </w:tcPr>
          <w:p w14:paraId="42D33C89" w14:textId="77777777" w:rsidR="00143820" w:rsidRPr="00776DDB" w:rsidRDefault="00143820" w:rsidP="004B694B">
            <w:pPr>
              <w:spacing w:line="240" w:lineRule="auto"/>
              <w:ind w:firstLine="0"/>
              <w:jc w:val="center"/>
              <w:rPr>
                <w:rFonts w:ascii="Arial" w:eastAsia="Arial" w:hAnsi="Arial" w:cs="Arial"/>
                <w:b/>
                <w:bCs/>
                <w:iCs/>
                <w:sz w:val="18"/>
                <w:szCs w:val="18"/>
              </w:rPr>
            </w:pPr>
            <w:r w:rsidRPr="00776DDB">
              <w:rPr>
                <w:rFonts w:ascii="Arial" w:eastAsia="Arial" w:hAnsi="Arial" w:cs="Arial"/>
                <w:b/>
                <w:bCs/>
                <w:iCs/>
                <w:sz w:val="18"/>
                <w:szCs w:val="18"/>
              </w:rPr>
              <w:t>2011</w:t>
            </w:r>
          </w:p>
        </w:tc>
      </w:tr>
      <w:tr w:rsidR="00143820" w:rsidRPr="009C5CAF" w14:paraId="064F1337" w14:textId="77777777" w:rsidTr="004B694B">
        <w:trPr>
          <w:trHeight w:val="312"/>
        </w:trPr>
        <w:tc>
          <w:tcPr>
            <w:tcW w:w="1915" w:type="dxa"/>
            <w:vMerge/>
            <w:vAlign w:val="center"/>
            <w:hideMark/>
          </w:tcPr>
          <w:p w14:paraId="18637BC5" w14:textId="77777777" w:rsidR="00143820" w:rsidRPr="00776DDB" w:rsidRDefault="00143820" w:rsidP="006C650C">
            <w:pPr>
              <w:spacing w:line="240" w:lineRule="auto"/>
              <w:rPr>
                <w:rFonts w:ascii="Arial" w:hAnsi="Arial" w:cs="Arial"/>
                <w:b/>
                <w:bCs/>
                <w:sz w:val="18"/>
                <w:szCs w:val="18"/>
              </w:rPr>
            </w:pPr>
          </w:p>
        </w:tc>
        <w:tc>
          <w:tcPr>
            <w:tcW w:w="1276" w:type="dxa"/>
            <w:shd w:val="clear" w:color="auto" w:fill="D9D9D9" w:themeFill="background1" w:themeFillShade="D9"/>
            <w:noWrap/>
            <w:vAlign w:val="center"/>
            <w:hideMark/>
          </w:tcPr>
          <w:p w14:paraId="3B90003F" w14:textId="77777777" w:rsidR="00143820" w:rsidRPr="00776DDB" w:rsidRDefault="00143820" w:rsidP="004B694B">
            <w:pPr>
              <w:spacing w:line="240" w:lineRule="auto"/>
              <w:ind w:firstLine="0"/>
              <w:jc w:val="center"/>
              <w:rPr>
                <w:rFonts w:ascii="Arial" w:eastAsia="Arial" w:hAnsi="Arial" w:cs="Arial"/>
                <w:b/>
                <w:bCs/>
                <w:iCs/>
                <w:sz w:val="18"/>
                <w:szCs w:val="18"/>
              </w:rPr>
            </w:pPr>
            <w:r w:rsidRPr="00776DDB">
              <w:rPr>
                <w:rFonts w:ascii="Arial" w:eastAsia="Arial" w:hAnsi="Arial" w:cs="Arial"/>
                <w:b/>
                <w:bCs/>
                <w:iCs/>
                <w:sz w:val="18"/>
                <w:szCs w:val="18"/>
              </w:rPr>
              <w:t>venkov</w:t>
            </w:r>
          </w:p>
        </w:tc>
        <w:tc>
          <w:tcPr>
            <w:tcW w:w="1158" w:type="dxa"/>
            <w:shd w:val="clear" w:color="auto" w:fill="D9D9D9" w:themeFill="background1" w:themeFillShade="D9"/>
            <w:noWrap/>
            <w:vAlign w:val="center"/>
            <w:hideMark/>
          </w:tcPr>
          <w:p w14:paraId="1E6635E6" w14:textId="77777777" w:rsidR="00143820" w:rsidRPr="00776DDB" w:rsidRDefault="00143820" w:rsidP="004B694B">
            <w:pPr>
              <w:spacing w:line="240" w:lineRule="auto"/>
              <w:ind w:firstLine="0"/>
              <w:jc w:val="center"/>
              <w:rPr>
                <w:rFonts w:ascii="Arial" w:eastAsia="Arial" w:hAnsi="Arial" w:cs="Arial"/>
                <w:b/>
                <w:bCs/>
                <w:iCs/>
                <w:sz w:val="18"/>
                <w:szCs w:val="18"/>
              </w:rPr>
            </w:pPr>
            <w:r w:rsidRPr="00776DDB">
              <w:rPr>
                <w:rFonts w:ascii="Arial" w:eastAsia="Arial" w:hAnsi="Arial" w:cs="Arial"/>
                <w:b/>
                <w:bCs/>
                <w:iCs/>
                <w:sz w:val="18"/>
                <w:szCs w:val="18"/>
              </w:rPr>
              <w:t>města</w:t>
            </w:r>
          </w:p>
        </w:tc>
        <w:tc>
          <w:tcPr>
            <w:tcW w:w="1251" w:type="dxa"/>
            <w:shd w:val="clear" w:color="auto" w:fill="D9D9D9" w:themeFill="background1" w:themeFillShade="D9"/>
            <w:noWrap/>
            <w:vAlign w:val="center"/>
            <w:hideMark/>
          </w:tcPr>
          <w:p w14:paraId="522E7732" w14:textId="77777777" w:rsidR="00143820" w:rsidRPr="00776DDB" w:rsidRDefault="00143820" w:rsidP="004B694B">
            <w:pPr>
              <w:spacing w:line="240" w:lineRule="auto"/>
              <w:ind w:firstLine="0"/>
              <w:jc w:val="center"/>
              <w:rPr>
                <w:rFonts w:ascii="Arial" w:eastAsia="Arial" w:hAnsi="Arial" w:cs="Arial"/>
                <w:b/>
                <w:bCs/>
                <w:iCs/>
                <w:sz w:val="18"/>
                <w:szCs w:val="18"/>
              </w:rPr>
            </w:pPr>
            <w:r w:rsidRPr="00776DDB">
              <w:rPr>
                <w:rFonts w:ascii="Arial" w:eastAsia="Arial" w:hAnsi="Arial" w:cs="Arial"/>
                <w:b/>
                <w:bCs/>
                <w:iCs/>
                <w:sz w:val="18"/>
                <w:szCs w:val="18"/>
              </w:rPr>
              <w:t>celkem</w:t>
            </w:r>
          </w:p>
        </w:tc>
        <w:tc>
          <w:tcPr>
            <w:tcW w:w="1158" w:type="dxa"/>
            <w:shd w:val="clear" w:color="auto" w:fill="D9D9D9" w:themeFill="background1" w:themeFillShade="D9"/>
            <w:noWrap/>
            <w:vAlign w:val="center"/>
            <w:hideMark/>
          </w:tcPr>
          <w:p w14:paraId="5B9F8D4F" w14:textId="77777777" w:rsidR="00143820" w:rsidRPr="00776DDB" w:rsidRDefault="00143820" w:rsidP="004B694B">
            <w:pPr>
              <w:spacing w:line="240" w:lineRule="auto"/>
              <w:ind w:firstLine="0"/>
              <w:jc w:val="center"/>
              <w:rPr>
                <w:rFonts w:ascii="Arial" w:eastAsia="Arial" w:hAnsi="Arial" w:cs="Arial"/>
                <w:b/>
                <w:bCs/>
                <w:iCs/>
                <w:sz w:val="18"/>
                <w:szCs w:val="18"/>
              </w:rPr>
            </w:pPr>
            <w:r w:rsidRPr="00776DDB">
              <w:rPr>
                <w:rFonts w:ascii="Arial" w:eastAsia="Arial" w:hAnsi="Arial" w:cs="Arial"/>
                <w:b/>
                <w:bCs/>
                <w:iCs/>
                <w:sz w:val="18"/>
                <w:szCs w:val="18"/>
              </w:rPr>
              <w:t>venkov</w:t>
            </w:r>
          </w:p>
        </w:tc>
        <w:tc>
          <w:tcPr>
            <w:tcW w:w="1158" w:type="dxa"/>
            <w:shd w:val="clear" w:color="auto" w:fill="D9D9D9" w:themeFill="background1" w:themeFillShade="D9"/>
            <w:noWrap/>
            <w:vAlign w:val="center"/>
            <w:hideMark/>
          </w:tcPr>
          <w:p w14:paraId="12FCE8DE" w14:textId="77777777" w:rsidR="00143820" w:rsidRPr="00776DDB" w:rsidRDefault="00143820" w:rsidP="004B694B">
            <w:pPr>
              <w:spacing w:line="240" w:lineRule="auto"/>
              <w:ind w:firstLine="0"/>
              <w:jc w:val="center"/>
              <w:rPr>
                <w:rFonts w:ascii="Arial" w:eastAsia="Arial" w:hAnsi="Arial" w:cs="Arial"/>
                <w:b/>
                <w:bCs/>
                <w:iCs/>
                <w:sz w:val="18"/>
                <w:szCs w:val="18"/>
              </w:rPr>
            </w:pPr>
            <w:r w:rsidRPr="00776DDB">
              <w:rPr>
                <w:rFonts w:ascii="Arial" w:eastAsia="Arial" w:hAnsi="Arial" w:cs="Arial"/>
                <w:b/>
                <w:bCs/>
                <w:iCs/>
                <w:sz w:val="18"/>
                <w:szCs w:val="18"/>
              </w:rPr>
              <w:t>města</w:t>
            </w:r>
          </w:p>
        </w:tc>
        <w:tc>
          <w:tcPr>
            <w:tcW w:w="1228" w:type="dxa"/>
            <w:shd w:val="clear" w:color="auto" w:fill="D9D9D9" w:themeFill="background1" w:themeFillShade="D9"/>
            <w:noWrap/>
            <w:vAlign w:val="center"/>
            <w:hideMark/>
          </w:tcPr>
          <w:p w14:paraId="0B7E45F9" w14:textId="77777777" w:rsidR="00143820" w:rsidRPr="00776DDB" w:rsidRDefault="00143820" w:rsidP="004B694B">
            <w:pPr>
              <w:spacing w:line="240" w:lineRule="auto"/>
              <w:ind w:firstLine="0"/>
              <w:jc w:val="center"/>
              <w:rPr>
                <w:rFonts w:ascii="Arial" w:eastAsia="Arial" w:hAnsi="Arial" w:cs="Arial"/>
                <w:b/>
                <w:bCs/>
                <w:iCs/>
                <w:sz w:val="18"/>
                <w:szCs w:val="18"/>
              </w:rPr>
            </w:pPr>
            <w:r w:rsidRPr="00776DDB">
              <w:rPr>
                <w:rFonts w:ascii="Arial" w:eastAsia="Arial" w:hAnsi="Arial" w:cs="Arial"/>
                <w:b/>
                <w:bCs/>
                <w:iCs/>
                <w:sz w:val="18"/>
                <w:szCs w:val="18"/>
              </w:rPr>
              <w:t>celkem</w:t>
            </w:r>
          </w:p>
        </w:tc>
      </w:tr>
      <w:tr w:rsidR="00143820" w:rsidRPr="009C5CAF" w14:paraId="15755B47" w14:textId="77777777" w:rsidTr="004B694B">
        <w:trPr>
          <w:trHeight w:val="312"/>
        </w:trPr>
        <w:tc>
          <w:tcPr>
            <w:tcW w:w="1915" w:type="dxa"/>
            <w:shd w:val="clear" w:color="auto" w:fill="FFFFFF" w:themeFill="background1"/>
            <w:noWrap/>
            <w:vAlign w:val="center"/>
            <w:hideMark/>
          </w:tcPr>
          <w:p w14:paraId="22A0C979" w14:textId="77777777" w:rsidR="00143820" w:rsidRPr="00776DDB" w:rsidRDefault="00143820" w:rsidP="004B694B">
            <w:pPr>
              <w:spacing w:line="240" w:lineRule="auto"/>
              <w:ind w:firstLine="7"/>
              <w:rPr>
                <w:rFonts w:ascii="Arial" w:eastAsia="Arial" w:hAnsi="Arial" w:cs="Arial"/>
                <w:iCs/>
                <w:sz w:val="18"/>
                <w:szCs w:val="18"/>
              </w:rPr>
            </w:pPr>
            <w:r w:rsidRPr="00776DDB">
              <w:rPr>
                <w:rFonts w:ascii="Arial" w:eastAsia="Arial" w:hAnsi="Arial" w:cs="Arial"/>
                <w:iCs/>
                <w:sz w:val="18"/>
                <w:szCs w:val="18"/>
              </w:rPr>
              <w:t>Agrární sektor</w:t>
            </w:r>
          </w:p>
        </w:tc>
        <w:tc>
          <w:tcPr>
            <w:tcW w:w="1276" w:type="dxa"/>
            <w:shd w:val="clear" w:color="auto" w:fill="FFFFFF" w:themeFill="background1"/>
            <w:noWrap/>
            <w:vAlign w:val="center"/>
            <w:hideMark/>
          </w:tcPr>
          <w:p w14:paraId="0D5DEC0B"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11,4</w:t>
            </w:r>
          </w:p>
        </w:tc>
        <w:tc>
          <w:tcPr>
            <w:tcW w:w="1158" w:type="dxa"/>
            <w:shd w:val="clear" w:color="auto" w:fill="FFFFFF" w:themeFill="background1"/>
            <w:noWrap/>
            <w:vAlign w:val="center"/>
            <w:hideMark/>
          </w:tcPr>
          <w:p w14:paraId="6735279A"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2,2</w:t>
            </w:r>
          </w:p>
        </w:tc>
        <w:tc>
          <w:tcPr>
            <w:tcW w:w="1251" w:type="dxa"/>
            <w:shd w:val="clear" w:color="auto" w:fill="FFFFFF" w:themeFill="background1"/>
            <w:noWrap/>
            <w:vAlign w:val="center"/>
            <w:hideMark/>
          </w:tcPr>
          <w:p w14:paraId="7D3D3554"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4,5</w:t>
            </w:r>
          </w:p>
        </w:tc>
        <w:tc>
          <w:tcPr>
            <w:tcW w:w="1158" w:type="dxa"/>
            <w:shd w:val="clear" w:color="auto" w:fill="FFFFFF" w:themeFill="background1"/>
            <w:noWrap/>
            <w:vAlign w:val="center"/>
            <w:hideMark/>
          </w:tcPr>
          <w:p w14:paraId="3033D76B"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6,5</w:t>
            </w:r>
          </w:p>
        </w:tc>
        <w:tc>
          <w:tcPr>
            <w:tcW w:w="1158" w:type="dxa"/>
            <w:shd w:val="clear" w:color="auto" w:fill="FFFFFF" w:themeFill="background1"/>
            <w:noWrap/>
            <w:vAlign w:val="center"/>
            <w:hideMark/>
          </w:tcPr>
          <w:p w14:paraId="4FDC001B"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1,4</w:t>
            </w:r>
          </w:p>
        </w:tc>
        <w:tc>
          <w:tcPr>
            <w:tcW w:w="1228" w:type="dxa"/>
            <w:shd w:val="clear" w:color="auto" w:fill="FFFFFF" w:themeFill="background1"/>
            <w:noWrap/>
            <w:vAlign w:val="center"/>
            <w:hideMark/>
          </w:tcPr>
          <w:p w14:paraId="45FCFCA7"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2,7</w:t>
            </w:r>
          </w:p>
        </w:tc>
      </w:tr>
      <w:tr w:rsidR="00143820" w:rsidRPr="009C5CAF" w14:paraId="142D3CAF" w14:textId="77777777" w:rsidTr="004B694B">
        <w:trPr>
          <w:trHeight w:val="312"/>
        </w:trPr>
        <w:tc>
          <w:tcPr>
            <w:tcW w:w="1915" w:type="dxa"/>
            <w:shd w:val="clear" w:color="auto" w:fill="auto"/>
            <w:noWrap/>
            <w:vAlign w:val="center"/>
            <w:hideMark/>
          </w:tcPr>
          <w:p w14:paraId="523B66A4" w14:textId="77777777" w:rsidR="00143820" w:rsidRPr="00776DDB" w:rsidRDefault="00143820" w:rsidP="004B694B">
            <w:pPr>
              <w:spacing w:line="240" w:lineRule="auto"/>
              <w:ind w:firstLine="7"/>
              <w:rPr>
                <w:rFonts w:ascii="Arial" w:eastAsia="Arial" w:hAnsi="Arial" w:cs="Arial"/>
                <w:iCs/>
                <w:sz w:val="18"/>
                <w:szCs w:val="18"/>
              </w:rPr>
            </w:pPr>
            <w:r w:rsidRPr="00776DDB">
              <w:rPr>
                <w:rFonts w:ascii="Arial" w:eastAsia="Arial" w:hAnsi="Arial" w:cs="Arial"/>
                <w:iCs/>
                <w:sz w:val="18"/>
                <w:szCs w:val="18"/>
              </w:rPr>
              <w:t>Průmysl, stavebnictví</w:t>
            </w:r>
          </w:p>
        </w:tc>
        <w:tc>
          <w:tcPr>
            <w:tcW w:w="1276" w:type="dxa"/>
            <w:shd w:val="clear" w:color="auto" w:fill="auto"/>
            <w:noWrap/>
            <w:vAlign w:val="center"/>
            <w:hideMark/>
          </w:tcPr>
          <w:p w14:paraId="4BDD9617"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43,8</w:t>
            </w:r>
          </w:p>
        </w:tc>
        <w:tc>
          <w:tcPr>
            <w:tcW w:w="1158" w:type="dxa"/>
            <w:shd w:val="clear" w:color="auto" w:fill="auto"/>
            <w:noWrap/>
            <w:vAlign w:val="center"/>
            <w:hideMark/>
          </w:tcPr>
          <w:p w14:paraId="0ED3DB82"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36,9</w:t>
            </w:r>
          </w:p>
        </w:tc>
        <w:tc>
          <w:tcPr>
            <w:tcW w:w="1251" w:type="dxa"/>
            <w:shd w:val="clear" w:color="auto" w:fill="auto"/>
            <w:noWrap/>
            <w:vAlign w:val="center"/>
            <w:hideMark/>
          </w:tcPr>
          <w:p w14:paraId="7098B3F6"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38,7</w:t>
            </w:r>
          </w:p>
        </w:tc>
        <w:tc>
          <w:tcPr>
            <w:tcW w:w="1158" w:type="dxa"/>
            <w:shd w:val="clear" w:color="auto" w:fill="auto"/>
            <w:noWrap/>
            <w:vAlign w:val="center"/>
            <w:hideMark/>
          </w:tcPr>
          <w:p w14:paraId="2D3CC4E0"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37,4</w:t>
            </w:r>
          </w:p>
        </w:tc>
        <w:tc>
          <w:tcPr>
            <w:tcW w:w="1158" w:type="dxa"/>
            <w:shd w:val="clear" w:color="auto" w:fill="auto"/>
            <w:noWrap/>
            <w:vAlign w:val="center"/>
            <w:hideMark/>
          </w:tcPr>
          <w:p w14:paraId="0F599D6B"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30,4</w:t>
            </w:r>
          </w:p>
        </w:tc>
        <w:tc>
          <w:tcPr>
            <w:tcW w:w="1228" w:type="dxa"/>
            <w:shd w:val="clear" w:color="auto" w:fill="auto"/>
            <w:noWrap/>
            <w:vAlign w:val="center"/>
            <w:hideMark/>
          </w:tcPr>
          <w:p w14:paraId="7BF8D5C1"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32,2</w:t>
            </w:r>
          </w:p>
        </w:tc>
      </w:tr>
      <w:tr w:rsidR="00143820" w:rsidRPr="009C5CAF" w14:paraId="35E09A78" w14:textId="77777777" w:rsidTr="004B694B">
        <w:trPr>
          <w:trHeight w:val="312"/>
        </w:trPr>
        <w:tc>
          <w:tcPr>
            <w:tcW w:w="1915" w:type="dxa"/>
            <w:shd w:val="clear" w:color="auto" w:fill="auto"/>
            <w:noWrap/>
            <w:vAlign w:val="center"/>
            <w:hideMark/>
          </w:tcPr>
          <w:p w14:paraId="267DCAE3" w14:textId="77777777" w:rsidR="00143820" w:rsidRPr="00776DDB" w:rsidRDefault="00143820" w:rsidP="004B694B">
            <w:pPr>
              <w:spacing w:line="240" w:lineRule="auto"/>
              <w:ind w:firstLine="7"/>
              <w:rPr>
                <w:rFonts w:ascii="Arial" w:eastAsia="Arial" w:hAnsi="Arial" w:cs="Arial"/>
                <w:iCs/>
                <w:sz w:val="18"/>
                <w:szCs w:val="18"/>
              </w:rPr>
            </w:pPr>
            <w:r w:rsidRPr="00776DDB">
              <w:rPr>
                <w:rFonts w:ascii="Arial" w:eastAsia="Arial" w:hAnsi="Arial" w:cs="Arial"/>
                <w:iCs/>
                <w:sz w:val="18"/>
                <w:szCs w:val="18"/>
              </w:rPr>
              <w:t>Služby</w:t>
            </w:r>
          </w:p>
        </w:tc>
        <w:tc>
          <w:tcPr>
            <w:tcW w:w="1276" w:type="dxa"/>
            <w:shd w:val="clear" w:color="auto" w:fill="auto"/>
            <w:noWrap/>
            <w:vAlign w:val="center"/>
            <w:hideMark/>
          </w:tcPr>
          <w:p w14:paraId="42DD1A9D"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40,6</w:t>
            </w:r>
          </w:p>
        </w:tc>
        <w:tc>
          <w:tcPr>
            <w:tcW w:w="1158" w:type="dxa"/>
            <w:shd w:val="clear" w:color="auto" w:fill="auto"/>
            <w:noWrap/>
            <w:vAlign w:val="center"/>
            <w:hideMark/>
          </w:tcPr>
          <w:p w14:paraId="3752E30F"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56,6</w:t>
            </w:r>
          </w:p>
        </w:tc>
        <w:tc>
          <w:tcPr>
            <w:tcW w:w="1251" w:type="dxa"/>
            <w:shd w:val="clear" w:color="auto" w:fill="auto"/>
            <w:noWrap/>
            <w:vAlign w:val="center"/>
            <w:hideMark/>
          </w:tcPr>
          <w:p w14:paraId="01DD911E"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52,6</w:t>
            </w:r>
          </w:p>
        </w:tc>
        <w:tc>
          <w:tcPr>
            <w:tcW w:w="1158" w:type="dxa"/>
            <w:shd w:val="clear" w:color="auto" w:fill="auto"/>
            <w:noWrap/>
            <w:vAlign w:val="center"/>
            <w:hideMark/>
          </w:tcPr>
          <w:p w14:paraId="2C14D722"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44,4</w:t>
            </w:r>
          </w:p>
        </w:tc>
        <w:tc>
          <w:tcPr>
            <w:tcW w:w="1158" w:type="dxa"/>
            <w:shd w:val="clear" w:color="auto" w:fill="auto"/>
            <w:noWrap/>
            <w:vAlign w:val="center"/>
            <w:hideMark/>
          </w:tcPr>
          <w:p w14:paraId="368E05C7"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57,3</w:t>
            </w:r>
          </w:p>
        </w:tc>
        <w:tc>
          <w:tcPr>
            <w:tcW w:w="1228" w:type="dxa"/>
            <w:shd w:val="clear" w:color="auto" w:fill="auto"/>
            <w:noWrap/>
            <w:vAlign w:val="center"/>
            <w:hideMark/>
          </w:tcPr>
          <w:p w14:paraId="01806648"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53,9</w:t>
            </w:r>
          </w:p>
        </w:tc>
      </w:tr>
      <w:tr w:rsidR="00143820" w:rsidRPr="009C5CAF" w14:paraId="44EC42CD" w14:textId="77777777" w:rsidTr="004B694B">
        <w:trPr>
          <w:trHeight w:val="312"/>
        </w:trPr>
        <w:tc>
          <w:tcPr>
            <w:tcW w:w="1915" w:type="dxa"/>
            <w:shd w:val="clear" w:color="auto" w:fill="auto"/>
            <w:noWrap/>
            <w:vAlign w:val="center"/>
            <w:hideMark/>
          </w:tcPr>
          <w:p w14:paraId="0492BDEC" w14:textId="77777777" w:rsidR="00143820" w:rsidRPr="00776DDB" w:rsidRDefault="00143820" w:rsidP="004B694B">
            <w:pPr>
              <w:spacing w:line="240" w:lineRule="auto"/>
              <w:ind w:firstLine="7"/>
              <w:rPr>
                <w:rFonts w:ascii="Arial" w:eastAsia="Arial" w:hAnsi="Arial" w:cs="Arial"/>
                <w:iCs/>
                <w:sz w:val="18"/>
                <w:szCs w:val="18"/>
              </w:rPr>
            </w:pPr>
            <w:r w:rsidRPr="00776DDB">
              <w:rPr>
                <w:rFonts w:ascii="Arial" w:eastAsia="Arial" w:hAnsi="Arial" w:cs="Arial"/>
                <w:iCs/>
                <w:sz w:val="18"/>
                <w:szCs w:val="18"/>
              </w:rPr>
              <w:t>Nezjištěno</w:t>
            </w:r>
          </w:p>
        </w:tc>
        <w:tc>
          <w:tcPr>
            <w:tcW w:w="1276" w:type="dxa"/>
            <w:shd w:val="clear" w:color="auto" w:fill="auto"/>
            <w:noWrap/>
            <w:vAlign w:val="center"/>
            <w:hideMark/>
          </w:tcPr>
          <w:p w14:paraId="0C8CBAE3"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4,2</w:t>
            </w:r>
          </w:p>
        </w:tc>
        <w:tc>
          <w:tcPr>
            <w:tcW w:w="1158" w:type="dxa"/>
            <w:shd w:val="clear" w:color="auto" w:fill="auto"/>
            <w:noWrap/>
            <w:vAlign w:val="center"/>
            <w:hideMark/>
          </w:tcPr>
          <w:p w14:paraId="0DEA5A21"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4,3</w:t>
            </w:r>
          </w:p>
        </w:tc>
        <w:tc>
          <w:tcPr>
            <w:tcW w:w="1251" w:type="dxa"/>
            <w:shd w:val="clear" w:color="auto" w:fill="auto"/>
            <w:noWrap/>
            <w:vAlign w:val="center"/>
            <w:hideMark/>
          </w:tcPr>
          <w:p w14:paraId="72905849"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4,2</w:t>
            </w:r>
          </w:p>
        </w:tc>
        <w:tc>
          <w:tcPr>
            <w:tcW w:w="1158" w:type="dxa"/>
            <w:shd w:val="clear" w:color="auto" w:fill="auto"/>
            <w:noWrap/>
            <w:vAlign w:val="center"/>
            <w:hideMark/>
          </w:tcPr>
          <w:p w14:paraId="2697E07B"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11,7</w:t>
            </w:r>
          </w:p>
        </w:tc>
        <w:tc>
          <w:tcPr>
            <w:tcW w:w="1158" w:type="dxa"/>
            <w:shd w:val="clear" w:color="auto" w:fill="auto"/>
            <w:noWrap/>
            <w:vAlign w:val="center"/>
            <w:hideMark/>
          </w:tcPr>
          <w:p w14:paraId="2B8BA12E"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11,0</w:t>
            </w:r>
          </w:p>
        </w:tc>
        <w:tc>
          <w:tcPr>
            <w:tcW w:w="1228" w:type="dxa"/>
            <w:shd w:val="clear" w:color="auto" w:fill="auto"/>
            <w:noWrap/>
            <w:vAlign w:val="center"/>
            <w:hideMark/>
          </w:tcPr>
          <w:p w14:paraId="26B33B07"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11,2</w:t>
            </w:r>
          </w:p>
        </w:tc>
      </w:tr>
      <w:tr w:rsidR="00143820" w:rsidRPr="009C5CAF" w14:paraId="21CAA033" w14:textId="77777777" w:rsidTr="004B694B">
        <w:trPr>
          <w:trHeight w:val="312"/>
        </w:trPr>
        <w:tc>
          <w:tcPr>
            <w:tcW w:w="1915" w:type="dxa"/>
            <w:shd w:val="clear" w:color="auto" w:fill="auto"/>
            <w:noWrap/>
            <w:vAlign w:val="center"/>
            <w:hideMark/>
          </w:tcPr>
          <w:p w14:paraId="36CB8259" w14:textId="77777777" w:rsidR="00143820" w:rsidRPr="00776DDB" w:rsidRDefault="00143820" w:rsidP="004B694B">
            <w:pPr>
              <w:spacing w:line="240" w:lineRule="auto"/>
              <w:ind w:firstLine="7"/>
              <w:rPr>
                <w:rFonts w:ascii="Arial" w:eastAsia="Arial" w:hAnsi="Arial" w:cs="Arial"/>
                <w:iCs/>
                <w:sz w:val="18"/>
                <w:szCs w:val="18"/>
              </w:rPr>
            </w:pPr>
            <w:r w:rsidRPr="00776DDB">
              <w:rPr>
                <w:rFonts w:ascii="Arial" w:eastAsia="Arial" w:hAnsi="Arial" w:cs="Arial"/>
                <w:iCs/>
                <w:sz w:val="18"/>
                <w:szCs w:val="18"/>
              </w:rPr>
              <w:t>Celkem</w:t>
            </w:r>
          </w:p>
        </w:tc>
        <w:tc>
          <w:tcPr>
            <w:tcW w:w="1276" w:type="dxa"/>
            <w:shd w:val="clear" w:color="auto" w:fill="auto"/>
            <w:noWrap/>
            <w:vAlign w:val="center"/>
            <w:hideMark/>
          </w:tcPr>
          <w:p w14:paraId="38545BEF"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100,0</w:t>
            </w:r>
          </w:p>
        </w:tc>
        <w:tc>
          <w:tcPr>
            <w:tcW w:w="1158" w:type="dxa"/>
            <w:shd w:val="clear" w:color="auto" w:fill="auto"/>
            <w:noWrap/>
            <w:vAlign w:val="center"/>
            <w:hideMark/>
          </w:tcPr>
          <w:p w14:paraId="1757C43B"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100,0</w:t>
            </w:r>
          </w:p>
        </w:tc>
        <w:tc>
          <w:tcPr>
            <w:tcW w:w="1251" w:type="dxa"/>
            <w:shd w:val="clear" w:color="auto" w:fill="auto"/>
            <w:noWrap/>
            <w:vAlign w:val="center"/>
            <w:hideMark/>
          </w:tcPr>
          <w:p w14:paraId="1D0FCE32"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100,0</w:t>
            </w:r>
          </w:p>
        </w:tc>
        <w:tc>
          <w:tcPr>
            <w:tcW w:w="1158" w:type="dxa"/>
            <w:shd w:val="clear" w:color="auto" w:fill="auto"/>
            <w:noWrap/>
            <w:vAlign w:val="center"/>
            <w:hideMark/>
          </w:tcPr>
          <w:p w14:paraId="026627F0"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100,0</w:t>
            </w:r>
          </w:p>
        </w:tc>
        <w:tc>
          <w:tcPr>
            <w:tcW w:w="1158" w:type="dxa"/>
            <w:shd w:val="clear" w:color="auto" w:fill="auto"/>
            <w:noWrap/>
            <w:vAlign w:val="center"/>
            <w:hideMark/>
          </w:tcPr>
          <w:p w14:paraId="2416D883"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100,0</w:t>
            </w:r>
          </w:p>
        </w:tc>
        <w:tc>
          <w:tcPr>
            <w:tcW w:w="1228" w:type="dxa"/>
            <w:shd w:val="clear" w:color="auto" w:fill="auto"/>
            <w:noWrap/>
            <w:vAlign w:val="center"/>
            <w:hideMark/>
          </w:tcPr>
          <w:p w14:paraId="1B7CE785" w14:textId="77777777" w:rsidR="00143820" w:rsidRPr="00776DDB" w:rsidRDefault="00143820" w:rsidP="004B694B">
            <w:pPr>
              <w:spacing w:line="240" w:lineRule="auto"/>
              <w:ind w:firstLine="0"/>
              <w:jc w:val="right"/>
              <w:rPr>
                <w:rFonts w:ascii="Arial" w:eastAsia="Arial" w:hAnsi="Arial" w:cs="Arial"/>
                <w:iCs/>
                <w:sz w:val="18"/>
                <w:szCs w:val="18"/>
              </w:rPr>
            </w:pPr>
            <w:r w:rsidRPr="00776DDB">
              <w:rPr>
                <w:rFonts w:ascii="Arial" w:eastAsia="Arial" w:hAnsi="Arial" w:cs="Arial"/>
                <w:iCs/>
                <w:sz w:val="18"/>
                <w:szCs w:val="18"/>
              </w:rPr>
              <w:t>100,0</w:t>
            </w:r>
          </w:p>
        </w:tc>
      </w:tr>
    </w:tbl>
    <w:p w14:paraId="757097EB" w14:textId="77777777" w:rsidR="00143820" w:rsidRPr="004B694B" w:rsidRDefault="00EE3C77">
      <w:pPr>
        <w:pStyle w:val="poznmkatabulka"/>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Zdroj</w:t>
      </w:r>
      <w:r w:rsidR="00143820" w:rsidRPr="004B694B">
        <w:rPr>
          <w:rFonts w:asciiTheme="majorHAnsi" w:eastAsiaTheme="majorEastAsia" w:hAnsiTheme="majorHAnsi" w:cstheme="majorBidi"/>
          <w:sz w:val="18"/>
          <w:szCs w:val="18"/>
        </w:rPr>
        <w:t>: SLDB 2001, 2011; ČSÚ 2002, 2013.</w:t>
      </w:r>
    </w:p>
    <w:p w14:paraId="7B8118F0" w14:textId="77777777" w:rsidR="00143820" w:rsidRDefault="00143820" w:rsidP="00143820"/>
    <w:p w14:paraId="22A6B815" w14:textId="77777777" w:rsidR="00143820" w:rsidRPr="004B694B" w:rsidRDefault="00143820" w:rsidP="004B694B">
      <w:pPr>
        <w:pStyle w:val="Titulek"/>
        <w:keepNext/>
        <w:spacing w:after="0"/>
        <w:ind w:firstLine="0"/>
        <w:rPr>
          <w:rFonts w:asciiTheme="minorHAnsi" w:eastAsiaTheme="minorEastAsia" w:hAnsiTheme="minorHAnsi" w:cstheme="minorBidi"/>
          <w:b/>
          <w:bCs/>
          <w:i w:val="0"/>
          <w:iCs w:val="0"/>
          <w:color w:val="auto"/>
          <w:sz w:val="22"/>
          <w:szCs w:val="22"/>
        </w:rPr>
      </w:pPr>
      <w:bookmarkStart w:id="129" w:name="_Toc525727643"/>
      <w:bookmarkStart w:id="130" w:name="_Toc525735930"/>
      <w:bookmarkStart w:id="131" w:name="_Toc525738227"/>
      <w:r w:rsidRPr="004B694B">
        <w:rPr>
          <w:rFonts w:asciiTheme="minorHAnsi" w:eastAsiaTheme="minorEastAsia" w:hAnsiTheme="minorHAnsi" w:cstheme="minorBidi"/>
          <w:b/>
          <w:bCs/>
          <w:i w:val="0"/>
          <w:iCs w:val="0"/>
          <w:color w:val="auto"/>
          <w:sz w:val="22"/>
          <w:szCs w:val="22"/>
        </w:rPr>
        <w:t xml:space="preserve">Obrázek </w:t>
      </w:r>
      <w:r w:rsidR="005208F1">
        <w:rPr>
          <w:rFonts w:asciiTheme="minorHAnsi" w:eastAsiaTheme="minorEastAsia" w:hAnsiTheme="minorHAnsi" w:cstheme="minorBidi"/>
          <w:b/>
          <w:bCs/>
          <w:i w:val="0"/>
          <w:iCs w:val="0"/>
          <w:color w:val="auto"/>
          <w:sz w:val="22"/>
          <w:szCs w:val="22"/>
        </w:rPr>
        <w:t>7.</w:t>
      </w:r>
      <w:r w:rsidR="00240E36">
        <w:rPr>
          <w:rFonts w:asciiTheme="minorHAnsi" w:eastAsiaTheme="minorEastAsia" w:hAnsiTheme="minorHAnsi" w:cstheme="minorBidi"/>
          <w:b/>
          <w:bCs/>
          <w:i w:val="0"/>
          <w:iCs w:val="0"/>
          <w:color w:val="auto"/>
          <w:sz w:val="22"/>
          <w:szCs w:val="22"/>
        </w:rPr>
        <w:fldChar w:fldCharType="begin"/>
      </w:r>
      <w:r w:rsidR="00240E36">
        <w:rPr>
          <w:rFonts w:asciiTheme="minorHAnsi" w:eastAsiaTheme="minorEastAsia" w:hAnsiTheme="minorHAnsi" w:cstheme="minorBidi"/>
          <w:b/>
          <w:bCs/>
          <w:i w:val="0"/>
          <w:iCs w:val="0"/>
          <w:color w:val="auto"/>
          <w:sz w:val="22"/>
          <w:szCs w:val="22"/>
        </w:rPr>
        <w:instrText xml:space="preserve"> STYLEREF 1 \s </w:instrText>
      </w:r>
      <w:r w:rsidR="00240E36">
        <w:rPr>
          <w:rFonts w:asciiTheme="minorHAnsi" w:eastAsiaTheme="minorEastAsia" w:hAnsiTheme="minorHAnsi" w:cstheme="minorBidi"/>
          <w:b/>
          <w:bCs/>
          <w:i w:val="0"/>
          <w:iCs w:val="0"/>
          <w:color w:val="auto"/>
          <w:sz w:val="22"/>
          <w:szCs w:val="22"/>
        </w:rPr>
        <w:fldChar w:fldCharType="separate"/>
      </w:r>
      <w:r w:rsidR="00240E36">
        <w:rPr>
          <w:rFonts w:asciiTheme="minorHAnsi" w:eastAsiaTheme="minorEastAsia" w:hAnsiTheme="minorHAnsi" w:cstheme="minorBidi"/>
          <w:b/>
          <w:bCs/>
          <w:i w:val="0"/>
          <w:iCs w:val="0"/>
          <w:noProof/>
          <w:color w:val="auto"/>
          <w:sz w:val="22"/>
          <w:szCs w:val="22"/>
        </w:rPr>
        <w:t>4</w:t>
      </w:r>
      <w:r w:rsidR="00240E36">
        <w:rPr>
          <w:rFonts w:asciiTheme="minorHAnsi" w:eastAsiaTheme="minorEastAsia" w:hAnsiTheme="minorHAnsi" w:cstheme="minorBidi"/>
          <w:b/>
          <w:bCs/>
          <w:i w:val="0"/>
          <w:iCs w:val="0"/>
          <w:color w:val="auto"/>
          <w:sz w:val="22"/>
          <w:szCs w:val="22"/>
        </w:rPr>
        <w:fldChar w:fldCharType="end"/>
      </w:r>
      <w:r w:rsidR="00240E36">
        <w:rPr>
          <w:rFonts w:asciiTheme="minorHAnsi" w:eastAsiaTheme="minorEastAsia" w:hAnsiTheme="minorHAnsi" w:cstheme="minorBidi"/>
          <w:b/>
          <w:bCs/>
          <w:i w:val="0"/>
          <w:iCs w:val="0"/>
          <w:color w:val="auto"/>
          <w:sz w:val="22"/>
          <w:szCs w:val="22"/>
        </w:rPr>
        <w:t>.</w:t>
      </w:r>
      <w:r w:rsidR="00EB5B81">
        <w:rPr>
          <w:rFonts w:asciiTheme="minorHAnsi" w:eastAsiaTheme="minorEastAsia" w:hAnsiTheme="minorHAnsi" w:cstheme="minorBidi"/>
          <w:b/>
          <w:bCs/>
          <w:i w:val="0"/>
          <w:iCs w:val="0"/>
          <w:color w:val="auto"/>
          <w:sz w:val="22"/>
          <w:szCs w:val="22"/>
        </w:rPr>
        <w:fldChar w:fldCharType="begin"/>
      </w:r>
      <w:r w:rsidR="00EB5B81">
        <w:rPr>
          <w:rFonts w:asciiTheme="minorHAnsi" w:eastAsiaTheme="minorEastAsia" w:hAnsiTheme="minorHAnsi" w:cstheme="minorBidi"/>
          <w:b/>
          <w:bCs/>
          <w:i w:val="0"/>
          <w:iCs w:val="0"/>
          <w:color w:val="auto"/>
          <w:sz w:val="22"/>
          <w:szCs w:val="22"/>
        </w:rPr>
        <w:instrText xml:space="preserve"> SEQ Obrázek \* ARABIC \s 1 </w:instrText>
      </w:r>
      <w:r w:rsidR="00EB5B81">
        <w:rPr>
          <w:rFonts w:asciiTheme="minorHAnsi" w:eastAsiaTheme="minorEastAsia" w:hAnsiTheme="minorHAnsi" w:cstheme="minorBidi"/>
          <w:b/>
          <w:bCs/>
          <w:i w:val="0"/>
          <w:iCs w:val="0"/>
          <w:color w:val="auto"/>
          <w:sz w:val="22"/>
          <w:szCs w:val="22"/>
        </w:rPr>
        <w:fldChar w:fldCharType="separate"/>
      </w:r>
      <w:r w:rsidR="00EB5B81">
        <w:rPr>
          <w:rFonts w:asciiTheme="minorHAnsi" w:eastAsiaTheme="minorEastAsia" w:hAnsiTheme="minorHAnsi" w:cstheme="minorBidi"/>
          <w:b/>
          <w:bCs/>
          <w:i w:val="0"/>
          <w:iCs w:val="0"/>
          <w:noProof/>
          <w:color w:val="auto"/>
          <w:sz w:val="22"/>
          <w:szCs w:val="22"/>
        </w:rPr>
        <w:t>1</w:t>
      </w:r>
      <w:r w:rsidR="00EB5B81">
        <w:rPr>
          <w:rFonts w:asciiTheme="minorHAnsi" w:eastAsiaTheme="minorEastAsia" w:hAnsiTheme="minorHAnsi" w:cstheme="minorBidi"/>
          <w:b/>
          <w:bCs/>
          <w:i w:val="0"/>
          <w:iCs w:val="0"/>
          <w:color w:val="auto"/>
          <w:sz w:val="22"/>
          <w:szCs w:val="22"/>
        </w:rPr>
        <w:fldChar w:fldCharType="end"/>
      </w:r>
      <w:r w:rsidRPr="004B694B">
        <w:rPr>
          <w:rFonts w:asciiTheme="minorHAnsi" w:eastAsiaTheme="minorEastAsia" w:hAnsiTheme="minorHAnsi" w:cstheme="minorBidi"/>
          <w:b/>
          <w:bCs/>
          <w:i w:val="0"/>
          <w:iCs w:val="0"/>
          <w:color w:val="auto"/>
          <w:sz w:val="22"/>
          <w:szCs w:val="22"/>
        </w:rPr>
        <w:t>: Podíl AS na zaměstnanosti celkem dle velikostních kategorií obcí</w:t>
      </w:r>
      <w:bookmarkEnd w:id="129"/>
      <w:bookmarkEnd w:id="130"/>
      <w:bookmarkEnd w:id="131"/>
    </w:p>
    <w:p w14:paraId="70F0D212" w14:textId="77777777" w:rsidR="00143820" w:rsidRDefault="00143820" w:rsidP="00A11EFF">
      <w:pPr>
        <w:keepNext/>
        <w:ind w:firstLine="0"/>
      </w:pPr>
      <w:r>
        <w:rPr>
          <w:noProof/>
        </w:rPr>
        <w:drawing>
          <wp:inline distT="0" distB="0" distL="0" distR="0" wp14:anchorId="6AB7777F" wp14:editId="1B703674">
            <wp:extent cx="5734050" cy="2724150"/>
            <wp:effectExtent l="0" t="0" r="0" b="0"/>
            <wp:docPr id="20" name="Graf 20">
              <a:extLst xmlns:a="http://schemas.openxmlformats.org/drawingml/2006/main">
                <a:ext uri="{FF2B5EF4-FFF2-40B4-BE49-F238E27FC236}">
                  <a16:creationId xmlns:a16="http://schemas.microsoft.com/office/drawing/2014/main" id="{FEC1A073-A3C5-4055-B873-4D1032A2E0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1B7F193" w14:textId="77777777" w:rsidR="00143820" w:rsidRPr="004B694B" w:rsidRDefault="00143820"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 SLDB 2011</w:t>
      </w:r>
    </w:p>
    <w:p w14:paraId="68BB8A1D" w14:textId="77777777" w:rsidR="00143820" w:rsidRDefault="00143820" w:rsidP="00143820">
      <w:pPr>
        <w:rPr>
          <w:color w:val="0070C0"/>
        </w:rPr>
      </w:pPr>
      <w:r>
        <w:rPr>
          <w:color w:val="0070C0"/>
        </w:rPr>
        <w:t xml:space="preserve"> </w:t>
      </w:r>
    </w:p>
    <w:p w14:paraId="7DAE6215" w14:textId="77777777" w:rsidR="00143820" w:rsidRDefault="00143820" w:rsidP="00143820">
      <w:r w:rsidRPr="00F337C8">
        <w:lastRenderedPageBreak/>
        <w:t xml:space="preserve">Vývoj zaměstnanosti celkem a dle sektorů na venkově ve srovnání s městy (zde na úrovni regionů NUTS 3) </w:t>
      </w:r>
      <w:r>
        <w:t xml:space="preserve">v letech 2007-2016 </w:t>
      </w:r>
      <w:r w:rsidRPr="00F337C8">
        <w:t xml:space="preserve">ukazují </w:t>
      </w:r>
      <w:r w:rsidRPr="00E87A90">
        <w:rPr>
          <w:color w:val="000000" w:themeColor="text1"/>
        </w:rPr>
        <w:t xml:space="preserve">následující Tabulky </w:t>
      </w:r>
      <w:r w:rsidR="005208F1">
        <w:rPr>
          <w:color w:val="000000" w:themeColor="text1"/>
        </w:rPr>
        <w:t>7.</w:t>
      </w:r>
      <w:r w:rsidRPr="00E87A90">
        <w:rPr>
          <w:color w:val="000000" w:themeColor="text1"/>
        </w:rPr>
        <w:t xml:space="preserve">4.2, </w:t>
      </w:r>
      <w:r w:rsidR="005208F1">
        <w:rPr>
          <w:color w:val="000000" w:themeColor="text1"/>
        </w:rPr>
        <w:t>7.</w:t>
      </w:r>
      <w:r w:rsidRPr="00E87A90">
        <w:rPr>
          <w:color w:val="000000" w:themeColor="text1"/>
        </w:rPr>
        <w:t xml:space="preserve">4.3.  </w:t>
      </w:r>
    </w:p>
    <w:p w14:paraId="25F5C0E2" w14:textId="77777777" w:rsidR="00A11EFF" w:rsidRPr="00F337C8" w:rsidRDefault="00A11EFF" w:rsidP="00143820"/>
    <w:p w14:paraId="5FF55E50" w14:textId="77777777" w:rsidR="00143820" w:rsidRPr="004B694B" w:rsidRDefault="00143820" w:rsidP="004B694B">
      <w:pPr>
        <w:keepNext/>
        <w:spacing w:before="0" w:line="240" w:lineRule="auto"/>
        <w:ind w:firstLine="0"/>
        <w:jc w:val="left"/>
        <w:rPr>
          <w:rFonts w:asciiTheme="minorHAnsi" w:eastAsiaTheme="minorEastAsia" w:hAnsiTheme="minorHAnsi" w:cstheme="minorBidi"/>
          <w:b/>
          <w:bCs/>
          <w:sz w:val="22"/>
          <w:szCs w:val="22"/>
        </w:rPr>
      </w:pPr>
      <w:bookmarkStart w:id="132" w:name="_Toc522869014"/>
      <w:r w:rsidRPr="004B694B">
        <w:rPr>
          <w:rFonts w:asciiTheme="minorHAnsi" w:eastAsiaTheme="minorEastAsia" w:hAnsiTheme="minorHAnsi" w:cstheme="minorBidi"/>
          <w:b/>
          <w:bCs/>
          <w:sz w:val="22"/>
          <w:szCs w:val="22"/>
        </w:rPr>
        <w:t xml:space="preserve">Tabulka </w:t>
      </w:r>
      <w:r w:rsidR="005208F1">
        <w:rPr>
          <w:rFonts w:asciiTheme="minorHAnsi" w:eastAsiaTheme="minorEastAsia" w:hAnsiTheme="minorHAnsi" w:cstheme="minorBidi"/>
          <w:b/>
          <w:bCs/>
          <w:sz w:val="22"/>
          <w:szCs w:val="22"/>
        </w:rPr>
        <w:t>7.</w:t>
      </w:r>
      <w:r w:rsidR="00E34D45">
        <w:rPr>
          <w:rFonts w:asciiTheme="minorHAnsi" w:eastAsiaTheme="minorEastAsia" w:hAnsiTheme="minorHAnsi" w:cstheme="minorBidi"/>
          <w:b/>
          <w:bCs/>
          <w:sz w:val="22"/>
          <w:szCs w:val="22"/>
        </w:rPr>
        <w:fldChar w:fldCharType="begin"/>
      </w:r>
      <w:r w:rsidR="00E34D45">
        <w:rPr>
          <w:rFonts w:asciiTheme="minorHAnsi" w:eastAsiaTheme="minorEastAsia" w:hAnsiTheme="minorHAnsi" w:cstheme="minorBidi"/>
          <w:b/>
          <w:bCs/>
          <w:sz w:val="22"/>
          <w:szCs w:val="22"/>
        </w:rPr>
        <w:instrText xml:space="preserve"> STYLEREF 1 \s </w:instrText>
      </w:r>
      <w:r w:rsidR="00E34D45">
        <w:rPr>
          <w:rFonts w:asciiTheme="minorHAnsi" w:eastAsiaTheme="minorEastAsia" w:hAnsiTheme="minorHAnsi" w:cstheme="minorBidi"/>
          <w:b/>
          <w:bCs/>
          <w:sz w:val="22"/>
          <w:szCs w:val="22"/>
        </w:rPr>
        <w:fldChar w:fldCharType="separate"/>
      </w:r>
      <w:r w:rsidR="00240E36">
        <w:rPr>
          <w:rFonts w:asciiTheme="minorHAnsi" w:eastAsiaTheme="minorEastAsia" w:hAnsiTheme="minorHAnsi" w:cstheme="minorBidi"/>
          <w:b/>
          <w:bCs/>
          <w:noProof/>
          <w:sz w:val="22"/>
          <w:szCs w:val="22"/>
        </w:rPr>
        <w:t>4</w:t>
      </w:r>
      <w:r w:rsidR="00E34D45">
        <w:rPr>
          <w:rFonts w:asciiTheme="minorHAnsi" w:eastAsiaTheme="minorEastAsia" w:hAnsiTheme="minorHAnsi" w:cstheme="minorBidi"/>
          <w:b/>
          <w:bCs/>
          <w:sz w:val="22"/>
          <w:szCs w:val="22"/>
        </w:rPr>
        <w:fldChar w:fldCharType="end"/>
      </w:r>
      <w:r w:rsidR="00E34D45">
        <w:rPr>
          <w:rFonts w:asciiTheme="minorHAnsi" w:eastAsiaTheme="minorEastAsia" w:hAnsiTheme="minorHAnsi" w:cstheme="minorBidi"/>
          <w:b/>
          <w:bCs/>
          <w:sz w:val="22"/>
          <w:szCs w:val="22"/>
        </w:rPr>
        <w:t>.</w:t>
      </w:r>
      <w:r w:rsidR="00E34D45">
        <w:rPr>
          <w:rFonts w:asciiTheme="minorHAnsi" w:eastAsiaTheme="minorEastAsia" w:hAnsiTheme="minorHAnsi" w:cstheme="minorBidi"/>
          <w:b/>
          <w:bCs/>
          <w:sz w:val="22"/>
          <w:szCs w:val="22"/>
        </w:rPr>
        <w:fldChar w:fldCharType="begin"/>
      </w:r>
      <w:r w:rsidR="00E34D45">
        <w:rPr>
          <w:rFonts w:asciiTheme="minorHAnsi" w:eastAsiaTheme="minorEastAsia" w:hAnsiTheme="minorHAnsi" w:cstheme="minorBidi"/>
          <w:b/>
          <w:bCs/>
          <w:sz w:val="22"/>
          <w:szCs w:val="22"/>
        </w:rPr>
        <w:instrText xml:space="preserve"> SEQ Tabulka \* ARABIC \s 1 </w:instrText>
      </w:r>
      <w:r w:rsidR="00E34D45">
        <w:rPr>
          <w:rFonts w:asciiTheme="minorHAnsi" w:eastAsiaTheme="minorEastAsia" w:hAnsiTheme="minorHAnsi" w:cstheme="minorBidi"/>
          <w:b/>
          <w:bCs/>
          <w:sz w:val="22"/>
          <w:szCs w:val="22"/>
        </w:rPr>
        <w:fldChar w:fldCharType="separate"/>
      </w:r>
      <w:r w:rsidR="00240E36">
        <w:rPr>
          <w:rFonts w:asciiTheme="minorHAnsi" w:eastAsiaTheme="minorEastAsia" w:hAnsiTheme="minorHAnsi" w:cstheme="minorBidi"/>
          <w:b/>
          <w:bCs/>
          <w:noProof/>
          <w:sz w:val="22"/>
          <w:szCs w:val="22"/>
        </w:rPr>
        <w:t>2</w:t>
      </w:r>
      <w:r w:rsidR="00E34D45">
        <w:rPr>
          <w:rFonts w:asciiTheme="minorHAnsi" w:eastAsiaTheme="minorEastAsia" w:hAnsiTheme="minorHAnsi" w:cstheme="minorBidi"/>
          <w:b/>
          <w:bCs/>
          <w:sz w:val="22"/>
          <w:szCs w:val="22"/>
        </w:rPr>
        <w:fldChar w:fldCharType="end"/>
      </w:r>
      <w:r w:rsidRPr="004B694B">
        <w:rPr>
          <w:rFonts w:asciiTheme="minorHAnsi" w:eastAsiaTheme="minorEastAsia" w:hAnsiTheme="minorHAnsi" w:cstheme="minorBidi"/>
          <w:b/>
          <w:bCs/>
          <w:sz w:val="22"/>
          <w:szCs w:val="22"/>
        </w:rPr>
        <w:t>: Zaměstnanost v NH dle typologie městských a venkovských regionů NUTS 3 (</w:t>
      </w:r>
      <w:proofErr w:type="spellStart"/>
      <w:r w:rsidRPr="004B694B">
        <w:rPr>
          <w:rFonts w:asciiTheme="minorHAnsi" w:eastAsiaTheme="minorEastAsia" w:hAnsiTheme="minorHAnsi" w:cstheme="minorBidi"/>
          <w:b/>
          <w:bCs/>
          <w:sz w:val="22"/>
          <w:szCs w:val="22"/>
        </w:rPr>
        <w:t>abs</w:t>
      </w:r>
      <w:proofErr w:type="spellEnd"/>
      <w:r w:rsidRPr="004B694B">
        <w:rPr>
          <w:rFonts w:asciiTheme="minorHAnsi" w:eastAsiaTheme="minorEastAsia" w:hAnsiTheme="minorHAnsi" w:cstheme="minorBidi"/>
          <w:b/>
          <w:bCs/>
          <w:sz w:val="22"/>
          <w:szCs w:val="22"/>
        </w:rPr>
        <w:t>.)</w:t>
      </w:r>
      <w:bookmarkEnd w:id="132"/>
    </w:p>
    <w:p w14:paraId="63301673" w14:textId="77777777" w:rsidR="00143820" w:rsidRDefault="00143820" w:rsidP="00A11EFF">
      <w:pPr>
        <w:spacing w:line="240" w:lineRule="auto"/>
        <w:ind w:firstLine="0"/>
      </w:pPr>
      <w:r w:rsidRPr="00506353">
        <w:rPr>
          <w:noProof/>
        </w:rPr>
        <w:drawing>
          <wp:inline distT="0" distB="0" distL="0" distR="0" wp14:anchorId="3AE5C886" wp14:editId="1C4A81FE">
            <wp:extent cx="5760720" cy="609521"/>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609521"/>
                    </a:xfrm>
                    <a:prstGeom prst="rect">
                      <a:avLst/>
                    </a:prstGeom>
                    <a:noFill/>
                    <a:ln>
                      <a:noFill/>
                    </a:ln>
                  </pic:spPr>
                </pic:pic>
              </a:graphicData>
            </a:graphic>
          </wp:inline>
        </w:drawing>
      </w:r>
    </w:p>
    <w:p w14:paraId="46DA2F7D" w14:textId="77777777" w:rsidR="00143820" w:rsidRPr="004B694B" w:rsidRDefault="00EE3C77"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w:t>
      </w:r>
      <w:r w:rsidR="00143820" w:rsidRPr="004B694B">
        <w:rPr>
          <w:rFonts w:asciiTheme="majorHAnsi" w:eastAsiaTheme="majorEastAsia" w:hAnsiTheme="majorHAnsi" w:cstheme="majorBidi"/>
          <w:i/>
          <w:iCs/>
          <w:sz w:val="18"/>
          <w:szCs w:val="18"/>
        </w:rPr>
        <w:t xml:space="preserve">: Národní účty, ČSÚ </w:t>
      </w:r>
    </w:p>
    <w:p w14:paraId="3B5CB5F6" w14:textId="77777777" w:rsidR="001E245D" w:rsidRPr="004B694B" w:rsidRDefault="001E245D"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Zpracování: ÚZEI</w:t>
      </w:r>
    </w:p>
    <w:p w14:paraId="6EBD7941" w14:textId="77777777" w:rsidR="00A11EFF" w:rsidRDefault="00A11EFF" w:rsidP="00A11EFF"/>
    <w:p w14:paraId="75E1991D" w14:textId="77777777" w:rsidR="00143820" w:rsidRDefault="00143820" w:rsidP="00A11EFF">
      <w:r w:rsidRPr="008172CB">
        <w:t xml:space="preserve">Zaměstnanost v ČR se v období 2007-2016 mírně zvýšila, nejvíce však v krajích převážně městských (o 6,2 %, </w:t>
      </w:r>
      <w:r w:rsidRPr="519AA2E2">
        <w:rPr>
          <w:i/>
          <w:iCs/>
        </w:rPr>
        <w:t>přičemž</w:t>
      </w:r>
      <w:r w:rsidRPr="519AA2E2">
        <w:t xml:space="preserve"> </w:t>
      </w:r>
      <w:r w:rsidRPr="519AA2E2">
        <w:rPr>
          <w:i/>
          <w:iCs/>
          <w:shd w:val="clear" w:color="auto" w:fill="FFFFFF" w:themeFill="background1"/>
        </w:rPr>
        <w:t>tyto dle VŠPS dlouhodobě vykazují nejvyšší podíly zaměstnaných na obyvatelstvu starším 15 let</w:t>
      </w:r>
      <w:r w:rsidRPr="00EE6BBF">
        <w:t xml:space="preserve">), naopak nejméně v krajích převážně venkovských (pouze o 1,1 %). Růst zaměstnanosti souvisí s celkově příznivou ekonomickou situací v ČR (situace na trhu práce, vznik nových pracovních míst, pokles nezaměstnanosti), z demografických změn se na zvyšování zaměstnanosti spolupodílí zahraniční imigrace (v ČR převažuje imigrace osob v produktivním věku za prací). </w:t>
      </w:r>
    </w:p>
    <w:p w14:paraId="6ABBD9F4" w14:textId="77777777" w:rsidR="00A11EFF" w:rsidRDefault="00A11EFF" w:rsidP="00A11EFF">
      <w:pPr>
        <w:rPr>
          <w:color w:val="7030A0"/>
        </w:rPr>
      </w:pPr>
    </w:p>
    <w:p w14:paraId="43A55F8D" w14:textId="77777777" w:rsidR="00143820" w:rsidRPr="004B694B" w:rsidRDefault="00143820" w:rsidP="004B694B">
      <w:pPr>
        <w:keepNext/>
        <w:spacing w:before="0" w:line="240" w:lineRule="auto"/>
        <w:ind w:firstLine="0"/>
        <w:jc w:val="left"/>
        <w:rPr>
          <w:rFonts w:asciiTheme="minorHAnsi" w:eastAsiaTheme="minorEastAsia" w:hAnsiTheme="minorHAnsi" w:cstheme="minorBidi"/>
          <w:b/>
          <w:bCs/>
          <w:sz w:val="22"/>
          <w:szCs w:val="22"/>
        </w:rPr>
      </w:pPr>
      <w:bookmarkStart w:id="133" w:name="_Toc522869015"/>
      <w:r w:rsidRPr="004B694B">
        <w:rPr>
          <w:rFonts w:asciiTheme="minorHAnsi" w:eastAsiaTheme="minorEastAsia" w:hAnsiTheme="minorHAnsi" w:cstheme="minorBidi"/>
          <w:b/>
          <w:bCs/>
          <w:sz w:val="22"/>
          <w:szCs w:val="22"/>
        </w:rPr>
        <w:t xml:space="preserve">Tabulka </w:t>
      </w:r>
      <w:r w:rsidR="005208F1">
        <w:rPr>
          <w:rFonts w:asciiTheme="minorHAnsi" w:eastAsiaTheme="minorEastAsia" w:hAnsiTheme="minorHAnsi" w:cstheme="minorBidi"/>
          <w:b/>
          <w:bCs/>
          <w:sz w:val="22"/>
          <w:szCs w:val="22"/>
        </w:rPr>
        <w:t>7.</w:t>
      </w:r>
      <w:r w:rsidR="00E34D45">
        <w:rPr>
          <w:rFonts w:asciiTheme="minorHAnsi" w:eastAsiaTheme="minorEastAsia" w:hAnsiTheme="minorHAnsi" w:cstheme="minorBidi"/>
          <w:b/>
          <w:bCs/>
          <w:sz w:val="22"/>
          <w:szCs w:val="22"/>
        </w:rPr>
        <w:fldChar w:fldCharType="begin"/>
      </w:r>
      <w:r w:rsidR="00E34D45">
        <w:rPr>
          <w:rFonts w:asciiTheme="minorHAnsi" w:eastAsiaTheme="minorEastAsia" w:hAnsiTheme="minorHAnsi" w:cstheme="minorBidi"/>
          <w:b/>
          <w:bCs/>
          <w:sz w:val="22"/>
          <w:szCs w:val="22"/>
        </w:rPr>
        <w:instrText xml:space="preserve"> STYLEREF 1 \s </w:instrText>
      </w:r>
      <w:r w:rsidR="00E34D45">
        <w:rPr>
          <w:rFonts w:asciiTheme="minorHAnsi" w:eastAsiaTheme="minorEastAsia" w:hAnsiTheme="minorHAnsi" w:cstheme="minorBidi"/>
          <w:b/>
          <w:bCs/>
          <w:sz w:val="22"/>
          <w:szCs w:val="22"/>
        </w:rPr>
        <w:fldChar w:fldCharType="separate"/>
      </w:r>
      <w:r w:rsidR="00E34D45">
        <w:rPr>
          <w:rFonts w:asciiTheme="minorHAnsi" w:eastAsiaTheme="minorEastAsia" w:hAnsiTheme="minorHAnsi" w:cstheme="minorBidi"/>
          <w:b/>
          <w:bCs/>
          <w:noProof/>
          <w:sz w:val="22"/>
          <w:szCs w:val="22"/>
        </w:rPr>
        <w:t>4</w:t>
      </w:r>
      <w:r w:rsidR="00E34D45">
        <w:rPr>
          <w:rFonts w:asciiTheme="minorHAnsi" w:eastAsiaTheme="minorEastAsia" w:hAnsiTheme="minorHAnsi" w:cstheme="minorBidi"/>
          <w:b/>
          <w:bCs/>
          <w:sz w:val="22"/>
          <w:szCs w:val="22"/>
        </w:rPr>
        <w:fldChar w:fldCharType="end"/>
      </w:r>
      <w:r w:rsidR="00E34D45">
        <w:rPr>
          <w:rFonts w:asciiTheme="minorHAnsi" w:eastAsiaTheme="minorEastAsia" w:hAnsiTheme="minorHAnsi" w:cstheme="minorBidi"/>
          <w:b/>
          <w:bCs/>
          <w:sz w:val="22"/>
          <w:szCs w:val="22"/>
        </w:rPr>
        <w:t>.</w:t>
      </w:r>
      <w:r w:rsidR="00E34D45">
        <w:rPr>
          <w:rFonts w:asciiTheme="minorHAnsi" w:eastAsiaTheme="minorEastAsia" w:hAnsiTheme="minorHAnsi" w:cstheme="minorBidi"/>
          <w:b/>
          <w:bCs/>
          <w:sz w:val="22"/>
          <w:szCs w:val="22"/>
        </w:rPr>
        <w:fldChar w:fldCharType="begin"/>
      </w:r>
      <w:r w:rsidR="00E34D45">
        <w:rPr>
          <w:rFonts w:asciiTheme="minorHAnsi" w:eastAsiaTheme="minorEastAsia" w:hAnsiTheme="minorHAnsi" w:cstheme="minorBidi"/>
          <w:b/>
          <w:bCs/>
          <w:sz w:val="22"/>
          <w:szCs w:val="22"/>
        </w:rPr>
        <w:instrText xml:space="preserve"> SEQ Tabulka \* ARABIC \s 1 </w:instrText>
      </w:r>
      <w:r w:rsidR="00E34D45">
        <w:rPr>
          <w:rFonts w:asciiTheme="minorHAnsi" w:eastAsiaTheme="minorEastAsia" w:hAnsiTheme="minorHAnsi" w:cstheme="minorBidi"/>
          <w:b/>
          <w:bCs/>
          <w:sz w:val="22"/>
          <w:szCs w:val="22"/>
        </w:rPr>
        <w:fldChar w:fldCharType="separate"/>
      </w:r>
      <w:r w:rsidR="00E34D45">
        <w:rPr>
          <w:rFonts w:asciiTheme="minorHAnsi" w:eastAsiaTheme="minorEastAsia" w:hAnsiTheme="minorHAnsi" w:cstheme="minorBidi"/>
          <w:b/>
          <w:bCs/>
          <w:noProof/>
          <w:sz w:val="22"/>
          <w:szCs w:val="22"/>
        </w:rPr>
        <w:t>3</w:t>
      </w:r>
      <w:r w:rsidR="00E34D45">
        <w:rPr>
          <w:rFonts w:asciiTheme="minorHAnsi" w:eastAsiaTheme="minorEastAsia" w:hAnsiTheme="minorHAnsi" w:cstheme="minorBidi"/>
          <w:b/>
          <w:bCs/>
          <w:sz w:val="22"/>
          <w:szCs w:val="22"/>
        </w:rPr>
        <w:fldChar w:fldCharType="end"/>
      </w:r>
      <w:r w:rsidRPr="004B694B">
        <w:rPr>
          <w:rFonts w:asciiTheme="minorHAnsi" w:eastAsiaTheme="minorEastAsia" w:hAnsiTheme="minorHAnsi" w:cstheme="minorBidi"/>
          <w:b/>
          <w:bCs/>
          <w:sz w:val="22"/>
          <w:szCs w:val="22"/>
        </w:rPr>
        <w:t>: Zaměstnanost v sektorech NH dle typologie městských a venkovských regionů NUTS 3 (%)</w:t>
      </w:r>
      <w:bookmarkEnd w:id="133"/>
    </w:p>
    <w:p w14:paraId="3A4F6C01" w14:textId="77777777" w:rsidR="00143820" w:rsidRDefault="00143820" w:rsidP="00A11EFF">
      <w:pPr>
        <w:spacing w:line="240" w:lineRule="auto"/>
        <w:ind w:firstLine="0"/>
      </w:pPr>
      <w:r w:rsidRPr="003E58DD">
        <w:rPr>
          <w:noProof/>
        </w:rPr>
        <w:drawing>
          <wp:inline distT="0" distB="0" distL="0" distR="0" wp14:anchorId="7169A16C" wp14:editId="7C629641">
            <wp:extent cx="5760720" cy="61615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616159"/>
                    </a:xfrm>
                    <a:prstGeom prst="rect">
                      <a:avLst/>
                    </a:prstGeom>
                    <a:noFill/>
                    <a:ln>
                      <a:noFill/>
                    </a:ln>
                  </pic:spPr>
                </pic:pic>
              </a:graphicData>
            </a:graphic>
          </wp:inline>
        </w:drawing>
      </w:r>
    </w:p>
    <w:p w14:paraId="13EF3CA8" w14:textId="77777777" w:rsidR="00143820" w:rsidRDefault="00143820" w:rsidP="00A11EFF">
      <w:pPr>
        <w:spacing w:line="240" w:lineRule="auto"/>
        <w:ind w:firstLine="0"/>
      </w:pPr>
      <w:r w:rsidRPr="003E58DD">
        <w:rPr>
          <w:noProof/>
        </w:rPr>
        <w:drawing>
          <wp:inline distT="0" distB="0" distL="0" distR="0" wp14:anchorId="6D2B3CB6" wp14:editId="2EC5111F">
            <wp:extent cx="5760720" cy="623583"/>
            <wp:effectExtent l="0" t="0" r="0" b="508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623583"/>
                    </a:xfrm>
                    <a:prstGeom prst="rect">
                      <a:avLst/>
                    </a:prstGeom>
                    <a:noFill/>
                    <a:ln>
                      <a:noFill/>
                    </a:ln>
                  </pic:spPr>
                </pic:pic>
              </a:graphicData>
            </a:graphic>
          </wp:inline>
        </w:drawing>
      </w:r>
    </w:p>
    <w:p w14:paraId="5BF6A7C9" w14:textId="77777777" w:rsidR="00143820" w:rsidRDefault="00143820" w:rsidP="00A11EFF">
      <w:pPr>
        <w:spacing w:line="240" w:lineRule="auto"/>
        <w:ind w:firstLine="0"/>
      </w:pPr>
      <w:r w:rsidRPr="003E58DD">
        <w:rPr>
          <w:noProof/>
        </w:rPr>
        <w:drawing>
          <wp:inline distT="0" distB="0" distL="0" distR="0" wp14:anchorId="592EA79B" wp14:editId="6DE0BAE0">
            <wp:extent cx="5760720" cy="616159"/>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616159"/>
                    </a:xfrm>
                    <a:prstGeom prst="rect">
                      <a:avLst/>
                    </a:prstGeom>
                    <a:noFill/>
                    <a:ln>
                      <a:noFill/>
                    </a:ln>
                  </pic:spPr>
                </pic:pic>
              </a:graphicData>
            </a:graphic>
          </wp:inline>
        </w:drawing>
      </w:r>
    </w:p>
    <w:p w14:paraId="208FB10C" w14:textId="77777777" w:rsidR="00143820" w:rsidRPr="004B694B" w:rsidRDefault="00143820"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 xml:space="preserve">Pozn.: zem. = zemědělství, lesnictví, rybářství, </w:t>
      </w:r>
      <w:proofErr w:type="spellStart"/>
      <w:r w:rsidRPr="004B694B">
        <w:rPr>
          <w:rFonts w:asciiTheme="majorHAnsi" w:eastAsiaTheme="majorEastAsia" w:hAnsiTheme="majorHAnsi" w:cstheme="majorBidi"/>
          <w:i/>
          <w:iCs/>
          <w:sz w:val="18"/>
          <w:szCs w:val="18"/>
        </w:rPr>
        <w:t>prům</w:t>
      </w:r>
      <w:proofErr w:type="spellEnd"/>
      <w:r w:rsidRPr="004B694B">
        <w:rPr>
          <w:rFonts w:asciiTheme="majorHAnsi" w:eastAsiaTheme="majorEastAsia" w:hAnsiTheme="majorHAnsi" w:cstheme="majorBidi"/>
          <w:i/>
          <w:iCs/>
          <w:sz w:val="18"/>
          <w:szCs w:val="18"/>
        </w:rPr>
        <w:t>. = průmysl, vč. stavebnictví</w:t>
      </w:r>
    </w:p>
    <w:p w14:paraId="4387E9D5" w14:textId="77777777" w:rsidR="001E245D" w:rsidRPr="004B694B" w:rsidRDefault="00EE3C77"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w:t>
      </w:r>
      <w:r w:rsidR="00143820" w:rsidRPr="004B694B">
        <w:rPr>
          <w:rFonts w:asciiTheme="majorHAnsi" w:eastAsiaTheme="majorEastAsia" w:hAnsiTheme="majorHAnsi" w:cstheme="majorBidi"/>
          <w:i/>
          <w:iCs/>
          <w:sz w:val="18"/>
          <w:szCs w:val="18"/>
        </w:rPr>
        <w:t>: Národní účty, ČSÚ</w:t>
      </w:r>
      <w:r w:rsidR="001E245D" w:rsidRPr="004B694B">
        <w:rPr>
          <w:rFonts w:asciiTheme="majorHAnsi" w:eastAsiaTheme="majorEastAsia" w:hAnsiTheme="majorHAnsi" w:cstheme="majorBidi"/>
          <w:i/>
          <w:iCs/>
          <w:sz w:val="18"/>
          <w:szCs w:val="18"/>
        </w:rPr>
        <w:t xml:space="preserve"> </w:t>
      </w:r>
    </w:p>
    <w:p w14:paraId="50226D5D" w14:textId="77777777" w:rsidR="001E245D" w:rsidRPr="004B694B" w:rsidRDefault="001E245D"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Zpracování: ÚZEI</w:t>
      </w:r>
    </w:p>
    <w:p w14:paraId="53CA7295" w14:textId="77777777" w:rsidR="00143820" w:rsidRPr="008649B4" w:rsidRDefault="00143820" w:rsidP="00A11EFF">
      <w:pPr>
        <w:ind w:firstLine="0"/>
        <w:rPr>
          <w:i/>
        </w:rPr>
      </w:pPr>
    </w:p>
    <w:p w14:paraId="189AAA41" w14:textId="77777777" w:rsidR="00143820" w:rsidRPr="008850C7" w:rsidRDefault="00143820" w:rsidP="00A11EFF">
      <w:r w:rsidRPr="008850C7">
        <w:t xml:space="preserve">Význam jednotlivých sektorů je v krajích následující: </w:t>
      </w:r>
    </w:p>
    <w:p w14:paraId="00823737" w14:textId="77777777" w:rsidR="00143820" w:rsidRDefault="00143820" w:rsidP="004F675C">
      <w:r w:rsidRPr="00C150AD">
        <w:rPr>
          <w:b/>
          <w:bCs/>
        </w:rPr>
        <w:t xml:space="preserve">Primární sektor </w:t>
      </w:r>
      <w:r w:rsidRPr="00841BEA">
        <w:rPr>
          <w:b/>
          <w:bCs/>
        </w:rPr>
        <w:t>(zemědělství, lesnictví a rybářství)</w:t>
      </w:r>
      <w:r>
        <w:t xml:space="preserve"> vykazoval v roce 2016 nejvyšší podíl pracovníků na celkové zaměstnanosti v krajích převážně venkovských. Podíl </w:t>
      </w:r>
      <w:proofErr w:type="spellStart"/>
      <w:r>
        <w:t>priméru</w:t>
      </w:r>
      <w:proofErr w:type="spellEnd"/>
      <w:r>
        <w:t xml:space="preserve"> na zaměstnanosti v nich činil 4,9 % a tento podíl v období 2007-2016 poklesl o 0,3 p. b. V krajích smíšených činil 2,6 % (poklesl rovněž cca o 0,3 p. b.) a v krajích převážně městských 1,8 % (zde se prakticky nezměnil). </w:t>
      </w:r>
    </w:p>
    <w:p w14:paraId="1E8CE3EB" w14:textId="77777777" w:rsidR="00143820" w:rsidRPr="00FB44D0" w:rsidRDefault="00143820" w:rsidP="00A11EFF">
      <w:r w:rsidRPr="00FB44D0">
        <w:rPr>
          <w:b/>
          <w:bCs/>
        </w:rPr>
        <w:lastRenderedPageBreak/>
        <w:t>Sektor průmyslu (vč. stavebnictví)</w:t>
      </w:r>
      <w:r w:rsidRPr="00FB44D0">
        <w:t xml:space="preserve"> je nejvýrazněji zastoupen rovněž v převážně venkovských krajích. V roce 2016 v nich činil podíl pracovníků v průmyslu téměř 44 % (proti roku 2007 poklesl o 0,3 p. b.). Silně zastoupen je i krajích smíšených, dosáhl tam téměř 40 % (proti roku 2006 poklesl o 1,6 p. b.). V krajích převážně městských představovali pracovníci v průmyslu přibližně čtvrtinu všech pracovníků NH (proti roku 2007 pokles o 2,8 p. b.).</w:t>
      </w:r>
    </w:p>
    <w:p w14:paraId="1E1064EC" w14:textId="77777777" w:rsidR="00143820" w:rsidRPr="00FB44D0" w:rsidRDefault="00143820" w:rsidP="00A11EFF">
      <w:r w:rsidRPr="00FB44D0">
        <w:rPr>
          <w:b/>
          <w:bCs/>
        </w:rPr>
        <w:t>Sektor služeb</w:t>
      </w:r>
      <w:r w:rsidRPr="00FB44D0">
        <w:t xml:space="preserve"> je naopak nejvíce rozvinut v krajích převážně městských. Podíl pracovníků služeb na zaměstnanosti v NH v nich v roce 2016 činil 73,4 % a proti roku 2007 narostl o 2,7 p. b. Zvýšil se i v krajích smíšených, a to na 57,7 % (o 1,9 p. b.). Nejnižší podíl vykazovali pracovníci služeb v krajích převážně venkovských, činil 51,3 % a za sledované desetileté období narostl jen o 0,6 p. b.</w:t>
      </w:r>
    </w:p>
    <w:p w14:paraId="75FC79B3" w14:textId="77777777" w:rsidR="00143820" w:rsidRPr="00FB44D0" w:rsidRDefault="00143820" w:rsidP="00143820">
      <w:bookmarkStart w:id="134" w:name="_Hlk518999026"/>
    </w:p>
    <w:p w14:paraId="71D5C6EA" w14:textId="77777777" w:rsidR="00143820" w:rsidRPr="00FB44D0" w:rsidRDefault="00143820">
      <w:pPr>
        <w:ind w:firstLine="0"/>
        <w:rPr>
          <w:rFonts w:eastAsiaTheme="majorEastAsia"/>
          <w:b/>
          <w:bCs/>
        </w:rPr>
      </w:pPr>
      <w:r w:rsidRPr="00FB44D0">
        <w:rPr>
          <w:rFonts w:eastAsiaTheme="majorEastAsia"/>
          <w:b/>
          <w:bCs/>
        </w:rPr>
        <w:t>Zaměstnatelnost</w:t>
      </w:r>
    </w:p>
    <w:p w14:paraId="313D0368" w14:textId="77777777" w:rsidR="00143820" w:rsidRPr="00FB44D0" w:rsidRDefault="00143820" w:rsidP="68ED4599">
      <w:pPr>
        <w:ind w:left="45"/>
        <w:rPr>
          <w:szCs w:val="24"/>
        </w:rPr>
      </w:pPr>
      <w:r w:rsidRPr="00FB44D0">
        <w:t>Na venkově (v obcích do 2000 obyvatel) žilo v roce 2011 zhruba 1 185 tis. zaměstnaných osob (cca ¼ všech zaměstnaných), celkový počet obsazených pracovních míst</w:t>
      </w:r>
      <w:r w:rsidRPr="00FB44D0">
        <w:rPr>
          <w:rStyle w:val="FootnoteCharacters"/>
        </w:rPr>
        <w:footnoteReference w:id="8"/>
      </w:r>
      <w:r w:rsidRPr="00FB44D0">
        <w:t xml:space="preserve"> zde však činil pouze 876 tis., což odpovídá méně než 1/5 všech pracovních míst v ČR. </w:t>
      </w:r>
    </w:p>
    <w:p w14:paraId="0CB88520" w14:textId="77777777" w:rsidR="00143820" w:rsidRPr="00FB44D0" w:rsidRDefault="00143820" w:rsidP="68ED4599">
      <w:pPr>
        <w:ind w:left="45"/>
        <w:rPr>
          <w:szCs w:val="24"/>
        </w:rPr>
      </w:pPr>
      <w:r w:rsidRPr="00FB44D0">
        <w:t>Míra zaměstnatelnosti (tedy míra potenciálu najít zaměstnání v určitém regionu) je ve venkovském prostoru obecně nízká (0,66), pracovní uplatnění přímo na venkově mají šanci najít jen zhruba 2/3 tamních pracovních sil. Ve městech v roce 2011 dosáhl hodnoty 0,97, tento prostor umožňuje najít pracovní uplatnění prakticky pro všechny „své“ ekonomicky aktivní obyvatele (tj. zaměstnané i nezaměstnané), vzhledem k hospodářské krizi byl ukazatel v roce 2011 méně příznivý než v roce 2001. Napříč velikostními kategoriemi obcí vykazuje ukazatel lineárně rostoucí trend.</w:t>
      </w:r>
    </w:p>
    <w:p w14:paraId="1DD7D606" w14:textId="77777777" w:rsidR="00143820" w:rsidRDefault="00143820" w:rsidP="68ED4599">
      <w:pPr>
        <w:ind w:left="45"/>
        <w:rPr>
          <w:szCs w:val="24"/>
        </w:rPr>
      </w:pPr>
      <w:r w:rsidRPr="00FB44D0">
        <w:t xml:space="preserve">Při sektorovém členění je evidentní, že zemědělství má průběh míry zaměstnatelnosti v závislosti na velikosti obce mnohem </w:t>
      </w:r>
      <w:r w:rsidRPr="00FB44D0">
        <w:rPr>
          <w:color w:val="000000" w:themeColor="text1"/>
        </w:rPr>
        <w:t xml:space="preserve">vyrovnanější (Obrázek </w:t>
      </w:r>
      <w:r w:rsidR="005208F1">
        <w:rPr>
          <w:color w:val="000000" w:themeColor="text1"/>
        </w:rPr>
        <w:t>7.</w:t>
      </w:r>
      <w:r w:rsidRPr="00FB44D0">
        <w:rPr>
          <w:color w:val="000000" w:themeColor="text1"/>
        </w:rPr>
        <w:t xml:space="preserve">4.2). Ukazatel narůstá s velikostí obce od hodnoty 0,75 do hodnoty 1,01 a rozdíl mezi venkovem a </w:t>
      </w:r>
      <w:r w:rsidRPr="00FB44D0">
        <w:t>městy je ve srovnání s</w:t>
      </w:r>
      <w:r w:rsidRPr="004B694B">
        <w:t xml:space="preserve"> ostatními sektory naprosto minimální (0,93 vůči 0,94). Zemědělství tak lépe absorbuje potenciální místní pracovní sílu přímo v místě než ostatní sektory. S velikostí obce narůstá míra zaměstnatelnosti mnohem strměji jak pro sektor průmyslu a stavebnictví, tak především pro sektor služeb, jenž má na venkově nejnižší potenciál. Hodnoty tohoto ukazatele vykazují pro města více než dvojnásobné hodnoty než pro venkov.</w:t>
      </w:r>
    </w:p>
    <w:p w14:paraId="7C3A5CE6" w14:textId="77777777" w:rsidR="00A11EFF" w:rsidRPr="00B30276" w:rsidRDefault="00A11EFF" w:rsidP="00A11EFF">
      <w:pPr>
        <w:ind w:left="45"/>
        <w:rPr>
          <w:szCs w:val="24"/>
        </w:rPr>
      </w:pPr>
    </w:p>
    <w:p w14:paraId="660AD0A6" w14:textId="77777777" w:rsidR="00143820" w:rsidRPr="004B694B" w:rsidRDefault="00143820" w:rsidP="004B694B">
      <w:pPr>
        <w:pStyle w:val="Titulek"/>
        <w:keepNext/>
        <w:spacing w:after="0"/>
        <w:ind w:firstLine="0"/>
        <w:jc w:val="left"/>
        <w:rPr>
          <w:rFonts w:asciiTheme="minorHAnsi" w:eastAsiaTheme="minorEastAsia" w:hAnsiTheme="minorHAnsi" w:cstheme="minorBidi"/>
          <w:b/>
          <w:bCs/>
          <w:i w:val="0"/>
          <w:iCs w:val="0"/>
          <w:color w:val="auto"/>
          <w:sz w:val="22"/>
          <w:szCs w:val="22"/>
        </w:rPr>
      </w:pPr>
      <w:bookmarkStart w:id="135" w:name="_Toc525727644"/>
      <w:bookmarkStart w:id="136" w:name="_Toc525735931"/>
      <w:bookmarkStart w:id="137" w:name="_Toc525738228"/>
      <w:r w:rsidRPr="004B694B">
        <w:rPr>
          <w:rFonts w:asciiTheme="minorHAnsi" w:eastAsiaTheme="minorEastAsia" w:hAnsiTheme="minorHAnsi" w:cstheme="minorBidi"/>
          <w:b/>
          <w:bCs/>
          <w:i w:val="0"/>
          <w:iCs w:val="0"/>
          <w:color w:val="auto"/>
          <w:sz w:val="22"/>
          <w:szCs w:val="22"/>
        </w:rPr>
        <w:lastRenderedPageBreak/>
        <w:t xml:space="preserve">Obrázek </w:t>
      </w:r>
      <w:r w:rsidR="005208F1">
        <w:rPr>
          <w:rFonts w:asciiTheme="minorHAnsi" w:eastAsiaTheme="minorEastAsia" w:hAnsiTheme="minorHAnsi" w:cstheme="minorBidi"/>
          <w:b/>
          <w:bCs/>
          <w:i w:val="0"/>
          <w:iCs w:val="0"/>
          <w:color w:val="auto"/>
          <w:sz w:val="22"/>
          <w:szCs w:val="22"/>
        </w:rPr>
        <w:t>7.</w:t>
      </w:r>
      <w:r w:rsidR="00240E36">
        <w:rPr>
          <w:rFonts w:asciiTheme="minorHAnsi" w:eastAsiaTheme="minorEastAsia" w:hAnsiTheme="minorHAnsi" w:cstheme="minorBidi"/>
          <w:b/>
          <w:bCs/>
          <w:i w:val="0"/>
          <w:iCs w:val="0"/>
          <w:color w:val="auto"/>
          <w:sz w:val="22"/>
          <w:szCs w:val="22"/>
        </w:rPr>
        <w:fldChar w:fldCharType="begin"/>
      </w:r>
      <w:r w:rsidR="00240E36">
        <w:rPr>
          <w:rFonts w:asciiTheme="minorHAnsi" w:eastAsiaTheme="minorEastAsia" w:hAnsiTheme="minorHAnsi" w:cstheme="minorBidi"/>
          <w:b/>
          <w:bCs/>
          <w:i w:val="0"/>
          <w:iCs w:val="0"/>
          <w:color w:val="auto"/>
          <w:sz w:val="22"/>
          <w:szCs w:val="22"/>
        </w:rPr>
        <w:instrText xml:space="preserve"> STYLEREF 1 \s </w:instrText>
      </w:r>
      <w:r w:rsidR="00240E36">
        <w:rPr>
          <w:rFonts w:asciiTheme="minorHAnsi" w:eastAsiaTheme="minorEastAsia" w:hAnsiTheme="minorHAnsi" w:cstheme="minorBidi"/>
          <w:b/>
          <w:bCs/>
          <w:i w:val="0"/>
          <w:iCs w:val="0"/>
          <w:color w:val="auto"/>
          <w:sz w:val="22"/>
          <w:szCs w:val="22"/>
        </w:rPr>
        <w:fldChar w:fldCharType="separate"/>
      </w:r>
      <w:r w:rsidR="00240E36">
        <w:rPr>
          <w:rFonts w:asciiTheme="minorHAnsi" w:eastAsiaTheme="minorEastAsia" w:hAnsiTheme="minorHAnsi" w:cstheme="minorBidi"/>
          <w:b/>
          <w:bCs/>
          <w:i w:val="0"/>
          <w:iCs w:val="0"/>
          <w:noProof/>
          <w:color w:val="auto"/>
          <w:sz w:val="22"/>
          <w:szCs w:val="22"/>
        </w:rPr>
        <w:t>4</w:t>
      </w:r>
      <w:r w:rsidR="00240E36">
        <w:rPr>
          <w:rFonts w:asciiTheme="minorHAnsi" w:eastAsiaTheme="minorEastAsia" w:hAnsiTheme="minorHAnsi" w:cstheme="minorBidi"/>
          <w:b/>
          <w:bCs/>
          <w:i w:val="0"/>
          <w:iCs w:val="0"/>
          <w:color w:val="auto"/>
          <w:sz w:val="22"/>
          <w:szCs w:val="22"/>
        </w:rPr>
        <w:fldChar w:fldCharType="end"/>
      </w:r>
      <w:r w:rsidR="00240E36">
        <w:rPr>
          <w:rFonts w:asciiTheme="minorHAnsi" w:eastAsiaTheme="minorEastAsia" w:hAnsiTheme="minorHAnsi" w:cstheme="minorBidi"/>
          <w:b/>
          <w:bCs/>
          <w:i w:val="0"/>
          <w:iCs w:val="0"/>
          <w:color w:val="auto"/>
          <w:sz w:val="22"/>
          <w:szCs w:val="22"/>
        </w:rPr>
        <w:t>.</w:t>
      </w:r>
      <w:r w:rsidR="00EB5B81">
        <w:rPr>
          <w:rFonts w:asciiTheme="minorHAnsi" w:eastAsiaTheme="minorEastAsia" w:hAnsiTheme="minorHAnsi" w:cstheme="minorBidi"/>
          <w:b/>
          <w:bCs/>
          <w:i w:val="0"/>
          <w:iCs w:val="0"/>
          <w:color w:val="auto"/>
          <w:sz w:val="22"/>
          <w:szCs w:val="22"/>
        </w:rPr>
        <w:fldChar w:fldCharType="begin"/>
      </w:r>
      <w:r w:rsidR="00EB5B81">
        <w:rPr>
          <w:rFonts w:asciiTheme="minorHAnsi" w:eastAsiaTheme="minorEastAsia" w:hAnsiTheme="minorHAnsi" w:cstheme="minorBidi"/>
          <w:b/>
          <w:bCs/>
          <w:i w:val="0"/>
          <w:iCs w:val="0"/>
          <w:color w:val="auto"/>
          <w:sz w:val="22"/>
          <w:szCs w:val="22"/>
        </w:rPr>
        <w:instrText xml:space="preserve"> SEQ Obrázek \* ARABIC \s 1 </w:instrText>
      </w:r>
      <w:r w:rsidR="00EB5B81">
        <w:rPr>
          <w:rFonts w:asciiTheme="minorHAnsi" w:eastAsiaTheme="minorEastAsia" w:hAnsiTheme="minorHAnsi" w:cstheme="minorBidi"/>
          <w:b/>
          <w:bCs/>
          <w:i w:val="0"/>
          <w:iCs w:val="0"/>
          <w:color w:val="auto"/>
          <w:sz w:val="22"/>
          <w:szCs w:val="22"/>
        </w:rPr>
        <w:fldChar w:fldCharType="separate"/>
      </w:r>
      <w:r w:rsidR="00EB5B81">
        <w:rPr>
          <w:rFonts w:asciiTheme="minorHAnsi" w:eastAsiaTheme="minorEastAsia" w:hAnsiTheme="minorHAnsi" w:cstheme="minorBidi"/>
          <w:b/>
          <w:bCs/>
          <w:i w:val="0"/>
          <w:iCs w:val="0"/>
          <w:noProof/>
          <w:color w:val="auto"/>
          <w:sz w:val="22"/>
          <w:szCs w:val="22"/>
        </w:rPr>
        <w:t>2</w:t>
      </w:r>
      <w:r w:rsidR="00EB5B81">
        <w:rPr>
          <w:rFonts w:asciiTheme="minorHAnsi" w:eastAsiaTheme="minorEastAsia" w:hAnsiTheme="minorHAnsi" w:cstheme="minorBidi"/>
          <w:b/>
          <w:bCs/>
          <w:i w:val="0"/>
          <w:iCs w:val="0"/>
          <w:color w:val="auto"/>
          <w:sz w:val="22"/>
          <w:szCs w:val="22"/>
        </w:rPr>
        <w:fldChar w:fldCharType="end"/>
      </w:r>
      <w:r w:rsidR="00240E36">
        <w:rPr>
          <w:rFonts w:asciiTheme="minorHAnsi" w:eastAsiaTheme="minorEastAsia" w:hAnsiTheme="minorHAnsi" w:cstheme="minorBidi"/>
          <w:b/>
          <w:bCs/>
          <w:i w:val="0"/>
          <w:iCs w:val="0"/>
          <w:color w:val="auto"/>
          <w:sz w:val="22"/>
          <w:szCs w:val="22"/>
        </w:rPr>
        <w:t>:</w:t>
      </w:r>
      <w:r w:rsidRPr="004B694B">
        <w:rPr>
          <w:rFonts w:asciiTheme="minorHAnsi" w:eastAsiaTheme="minorEastAsia" w:hAnsiTheme="minorHAnsi" w:cstheme="minorBidi"/>
          <w:b/>
          <w:bCs/>
          <w:i w:val="0"/>
          <w:iCs w:val="0"/>
          <w:color w:val="auto"/>
          <w:sz w:val="22"/>
          <w:szCs w:val="22"/>
        </w:rPr>
        <w:t xml:space="preserve"> Míra zaměstnatelnosti podle odvětví v roce 2011</w:t>
      </w:r>
      <w:bookmarkEnd w:id="135"/>
      <w:bookmarkEnd w:id="136"/>
      <w:bookmarkEnd w:id="137"/>
      <w:r w:rsidRPr="004B694B">
        <w:rPr>
          <w:rFonts w:asciiTheme="minorHAnsi" w:eastAsiaTheme="minorEastAsia" w:hAnsiTheme="minorHAnsi" w:cstheme="minorBidi"/>
          <w:b/>
          <w:bCs/>
          <w:i w:val="0"/>
          <w:iCs w:val="0"/>
          <w:color w:val="auto"/>
          <w:sz w:val="22"/>
          <w:szCs w:val="22"/>
        </w:rPr>
        <w:t xml:space="preserve"> </w:t>
      </w:r>
    </w:p>
    <w:p w14:paraId="47F35C20" w14:textId="77777777" w:rsidR="00143820" w:rsidRPr="00B30276" w:rsidRDefault="00143820" w:rsidP="00A11EFF">
      <w:pPr>
        <w:spacing w:line="240" w:lineRule="auto"/>
        <w:ind w:firstLine="0"/>
        <w:rPr>
          <w:lang w:eastAsia="zh-CN"/>
        </w:rPr>
      </w:pPr>
      <w:r w:rsidRPr="00B30276">
        <w:rPr>
          <w:noProof/>
        </w:rPr>
        <w:drawing>
          <wp:inline distT="0" distB="0" distL="0" distR="0" wp14:anchorId="616E0DD9" wp14:editId="56161C04">
            <wp:extent cx="5591175" cy="2352675"/>
            <wp:effectExtent l="0" t="0" r="9525" b="9525"/>
            <wp:docPr id="28" name="Graf 28">
              <a:extLst xmlns:a="http://schemas.openxmlformats.org/drawingml/2006/main">
                <a:ext uri="{FF2B5EF4-FFF2-40B4-BE49-F238E27FC236}">
                  <a16:creationId xmlns:a16="http://schemas.microsoft.com/office/drawing/2014/main" id="{ECD9B5CF-EA24-4149-B8FA-F2CC916CC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E222013" w14:textId="77777777" w:rsidR="001E245D" w:rsidRPr="004B694B" w:rsidRDefault="00143820"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 xml:space="preserve">Zdroj: SLDB 2011 </w:t>
      </w:r>
    </w:p>
    <w:p w14:paraId="5E355AAF" w14:textId="77777777" w:rsidR="001E245D" w:rsidRPr="004B694B" w:rsidRDefault="001E245D"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Zpracování: ÚZEI</w:t>
      </w:r>
    </w:p>
    <w:p w14:paraId="3FE4C6FD" w14:textId="77777777" w:rsidR="00143820" w:rsidRPr="001E245D" w:rsidRDefault="00143820" w:rsidP="00A11EFF">
      <w:pPr>
        <w:ind w:left="45"/>
        <w:rPr>
          <w:sz w:val="18"/>
          <w:szCs w:val="18"/>
        </w:rPr>
      </w:pPr>
    </w:p>
    <w:p w14:paraId="46B2A277" w14:textId="77777777" w:rsidR="00143820" w:rsidRDefault="00143820" w:rsidP="68ED4599">
      <w:pPr>
        <w:rPr>
          <w:szCs w:val="24"/>
        </w:rPr>
      </w:pPr>
      <w:r w:rsidRPr="00C150AD">
        <w:t xml:space="preserve">Ekonomicky aktivní obyvatelstvo na venkově je z velké části závislé na pracovních </w:t>
      </w:r>
      <w:r w:rsidRPr="00841BEA">
        <w:t xml:space="preserve">nabídkách z měst, samotný venkov není schopen vygenerovat dostatečný počet pracovních míst pro vlastní </w:t>
      </w:r>
      <w:r w:rsidRPr="00E87A90">
        <w:rPr>
          <w:color w:val="000000" w:themeColor="text1"/>
        </w:rPr>
        <w:t xml:space="preserve">obyvatelstvo (Obrázek </w:t>
      </w:r>
      <w:r w:rsidR="005208F1">
        <w:rPr>
          <w:color w:val="000000" w:themeColor="text1"/>
        </w:rPr>
        <w:t>7.</w:t>
      </w:r>
      <w:r w:rsidRPr="00E87A90">
        <w:rPr>
          <w:color w:val="000000" w:themeColor="text1"/>
        </w:rPr>
        <w:t xml:space="preserve">4.3). Za </w:t>
      </w:r>
      <w:r w:rsidRPr="00B30276">
        <w:t>soběstačné v generování pracovních míst lze považovat až obce s 10 tis. a více obyvateli (počet pracovních míst zde převažuje nad počtem pracujících obyvatel zde sídlících – v menších obcích je tomu naopak).</w:t>
      </w:r>
      <w:r w:rsidRPr="00C150AD">
        <w:rPr>
          <w:color w:val="FF0000"/>
        </w:rPr>
        <w:t xml:space="preserve"> </w:t>
      </w:r>
      <w:r w:rsidRPr="00841BEA">
        <w:t>Z hlediska soběstačnosti vychází nejlépe pro venkov pracovní místa v zemědělství, lesnic</w:t>
      </w:r>
      <w:r w:rsidRPr="004B694B">
        <w:t>tví a rybolovu.</w:t>
      </w:r>
    </w:p>
    <w:p w14:paraId="4E0F7ECE" w14:textId="77777777" w:rsidR="00A11EFF" w:rsidRPr="00B30276" w:rsidRDefault="00A11EFF" w:rsidP="00143820">
      <w:pPr>
        <w:rPr>
          <w:color w:val="FF0000"/>
        </w:rPr>
      </w:pPr>
    </w:p>
    <w:p w14:paraId="43807AEE" w14:textId="77777777" w:rsidR="00143820" w:rsidRPr="004B694B" w:rsidRDefault="00143820" w:rsidP="004B694B">
      <w:pPr>
        <w:pStyle w:val="Titulek"/>
        <w:keepNext/>
        <w:spacing w:after="0"/>
        <w:ind w:firstLine="0"/>
        <w:jc w:val="left"/>
        <w:rPr>
          <w:rFonts w:asciiTheme="minorHAnsi" w:eastAsiaTheme="minorEastAsia" w:hAnsiTheme="minorHAnsi" w:cstheme="minorBidi"/>
          <w:b/>
          <w:bCs/>
          <w:i w:val="0"/>
          <w:iCs w:val="0"/>
          <w:color w:val="auto"/>
          <w:sz w:val="22"/>
          <w:szCs w:val="22"/>
        </w:rPr>
      </w:pPr>
      <w:bookmarkStart w:id="138" w:name="_Toc525727645"/>
      <w:bookmarkStart w:id="139" w:name="_Toc525735932"/>
      <w:bookmarkStart w:id="140" w:name="_Toc525738229"/>
      <w:r w:rsidRPr="004B694B">
        <w:rPr>
          <w:rFonts w:asciiTheme="minorHAnsi" w:eastAsiaTheme="minorEastAsia" w:hAnsiTheme="minorHAnsi" w:cstheme="minorBidi"/>
          <w:b/>
          <w:bCs/>
          <w:i w:val="0"/>
          <w:iCs w:val="0"/>
          <w:color w:val="auto"/>
          <w:sz w:val="22"/>
          <w:szCs w:val="22"/>
        </w:rPr>
        <w:t xml:space="preserve">Obrázek </w:t>
      </w:r>
      <w:r w:rsidR="005208F1">
        <w:rPr>
          <w:rFonts w:asciiTheme="minorHAnsi" w:eastAsiaTheme="minorEastAsia" w:hAnsiTheme="minorHAnsi" w:cstheme="minorBidi"/>
          <w:b/>
          <w:bCs/>
          <w:i w:val="0"/>
          <w:iCs w:val="0"/>
          <w:color w:val="auto"/>
          <w:sz w:val="22"/>
          <w:szCs w:val="22"/>
        </w:rPr>
        <w:t>7.</w:t>
      </w:r>
      <w:r w:rsidR="00240E36">
        <w:rPr>
          <w:rFonts w:asciiTheme="minorHAnsi" w:eastAsiaTheme="minorEastAsia" w:hAnsiTheme="minorHAnsi" w:cstheme="minorBidi"/>
          <w:b/>
          <w:bCs/>
          <w:i w:val="0"/>
          <w:iCs w:val="0"/>
          <w:color w:val="auto"/>
          <w:sz w:val="22"/>
          <w:szCs w:val="22"/>
        </w:rPr>
        <w:fldChar w:fldCharType="begin"/>
      </w:r>
      <w:r w:rsidR="00240E36">
        <w:rPr>
          <w:rFonts w:asciiTheme="minorHAnsi" w:eastAsiaTheme="minorEastAsia" w:hAnsiTheme="minorHAnsi" w:cstheme="minorBidi"/>
          <w:b/>
          <w:bCs/>
          <w:i w:val="0"/>
          <w:iCs w:val="0"/>
          <w:color w:val="auto"/>
          <w:sz w:val="22"/>
          <w:szCs w:val="22"/>
        </w:rPr>
        <w:instrText xml:space="preserve"> STYLEREF 1 \s </w:instrText>
      </w:r>
      <w:r w:rsidR="00240E36">
        <w:rPr>
          <w:rFonts w:asciiTheme="minorHAnsi" w:eastAsiaTheme="minorEastAsia" w:hAnsiTheme="minorHAnsi" w:cstheme="minorBidi"/>
          <w:b/>
          <w:bCs/>
          <w:i w:val="0"/>
          <w:iCs w:val="0"/>
          <w:color w:val="auto"/>
          <w:sz w:val="22"/>
          <w:szCs w:val="22"/>
        </w:rPr>
        <w:fldChar w:fldCharType="separate"/>
      </w:r>
      <w:r w:rsidR="00240E36">
        <w:rPr>
          <w:rFonts w:asciiTheme="minorHAnsi" w:eastAsiaTheme="minorEastAsia" w:hAnsiTheme="minorHAnsi" w:cstheme="minorBidi"/>
          <w:b/>
          <w:bCs/>
          <w:i w:val="0"/>
          <w:iCs w:val="0"/>
          <w:noProof/>
          <w:color w:val="auto"/>
          <w:sz w:val="22"/>
          <w:szCs w:val="22"/>
        </w:rPr>
        <w:t>4</w:t>
      </w:r>
      <w:r w:rsidR="00240E36">
        <w:rPr>
          <w:rFonts w:asciiTheme="minorHAnsi" w:eastAsiaTheme="minorEastAsia" w:hAnsiTheme="minorHAnsi" w:cstheme="minorBidi"/>
          <w:b/>
          <w:bCs/>
          <w:i w:val="0"/>
          <w:iCs w:val="0"/>
          <w:color w:val="auto"/>
          <w:sz w:val="22"/>
          <w:szCs w:val="22"/>
        </w:rPr>
        <w:fldChar w:fldCharType="end"/>
      </w:r>
      <w:r w:rsidR="00240E36">
        <w:rPr>
          <w:rFonts w:asciiTheme="minorHAnsi" w:eastAsiaTheme="minorEastAsia" w:hAnsiTheme="minorHAnsi" w:cstheme="minorBidi"/>
          <w:b/>
          <w:bCs/>
          <w:i w:val="0"/>
          <w:iCs w:val="0"/>
          <w:color w:val="auto"/>
          <w:sz w:val="22"/>
          <w:szCs w:val="22"/>
        </w:rPr>
        <w:t>.</w:t>
      </w:r>
      <w:r w:rsidR="00EB5B81">
        <w:rPr>
          <w:rFonts w:asciiTheme="minorHAnsi" w:eastAsiaTheme="minorEastAsia" w:hAnsiTheme="minorHAnsi" w:cstheme="minorBidi"/>
          <w:b/>
          <w:bCs/>
          <w:i w:val="0"/>
          <w:iCs w:val="0"/>
          <w:color w:val="auto"/>
          <w:sz w:val="22"/>
          <w:szCs w:val="22"/>
        </w:rPr>
        <w:fldChar w:fldCharType="begin"/>
      </w:r>
      <w:r w:rsidR="00EB5B81">
        <w:rPr>
          <w:rFonts w:asciiTheme="minorHAnsi" w:eastAsiaTheme="minorEastAsia" w:hAnsiTheme="minorHAnsi" w:cstheme="minorBidi"/>
          <w:b/>
          <w:bCs/>
          <w:i w:val="0"/>
          <w:iCs w:val="0"/>
          <w:color w:val="auto"/>
          <w:sz w:val="22"/>
          <w:szCs w:val="22"/>
        </w:rPr>
        <w:instrText xml:space="preserve"> SEQ Obrázek \* ARABIC \s 1 </w:instrText>
      </w:r>
      <w:r w:rsidR="00EB5B81">
        <w:rPr>
          <w:rFonts w:asciiTheme="minorHAnsi" w:eastAsiaTheme="minorEastAsia" w:hAnsiTheme="minorHAnsi" w:cstheme="minorBidi"/>
          <w:b/>
          <w:bCs/>
          <w:i w:val="0"/>
          <w:iCs w:val="0"/>
          <w:color w:val="auto"/>
          <w:sz w:val="22"/>
          <w:szCs w:val="22"/>
        </w:rPr>
        <w:fldChar w:fldCharType="separate"/>
      </w:r>
      <w:r w:rsidR="00EB5B81">
        <w:rPr>
          <w:rFonts w:asciiTheme="minorHAnsi" w:eastAsiaTheme="minorEastAsia" w:hAnsiTheme="minorHAnsi" w:cstheme="minorBidi"/>
          <w:b/>
          <w:bCs/>
          <w:i w:val="0"/>
          <w:iCs w:val="0"/>
          <w:noProof/>
          <w:color w:val="auto"/>
          <w:sz w:val="22"/>
          <w:szCs w:val="22"/>
        </w:rPr>
        <w:t>3</w:t>
      </w:r>
      <w:r w:rsidR="00EB5B81">
        <w:rPr>
          <w:rFonts w:asciiTheme="minorHAnsi" w:eastAsiaTheme="minorEastAsia" w:hAnsiTheme="minorHAnsi" w:cstheme="minorBidi"/>
          <w:b/>
          <w:bCs/>
          <w:i w:val="0"/>
          <w:iCs w:val="0"/>
          <w:color w:val="auto"/>
          <w:sz w:val="22"/>
          <w:szCs w:val="22"/>
        </w:rPr>
        <w:fldChar w:fldCharType="end"/>
      </w:r>
      <w:r w:rsidR="00240E36">
        <w:rPr>
          <w:rFonts w:asciiTheme="minorHAnsi" w:eastAsiaTheme="minorEastAsia" w:hAnsiTheme="minorHAnsi" w:cstheme="minorBidi"/>
          <w:b/>
          <w:bCs/>
          <w:i w:val="0"/>
          <w:iCs w:val="0"/>
          <w:color w:val="auto"/>
          <w:sz w:val="22"/>
          <w:szCs w:val="22"/>
        </w:rPr>
        <w:t>:</w:t>
      </w:r>
      <w:r w:rsidRPr="004B694B">
        <w:rPr>
          <w:rFonts w:asciiTheme="minorHAnsi" w:eastAsiaTheme="minorEastAsia" w:hAnsiTheme="minorHAnsi" w:cstheme="minorBidi"/>
          <w:b/>
          <w:bCs/>
          <w:i w:val="0"/>
          <w:iCs w:val="0"/>
          <w:color w:val="auto"/>
          <w:sz w:val="22"/>
          <w:szCs w:val="22"/>
        </w:rPr>
        <w:t xml:space="preserve"> Počty zaměstnaných a pracovních míst v jednotlivých velikostních kategoriích obcí v roce 2011</w:t>
      </w:r>
      <w:bookmarkEnd w:id="138"/>
      <w:bookmarkEnd w:id="139"/>
      <w:bookmarkEnd w:id="140"/>
    </w:p>
    <w:p w14:paraId="32F8CAFD" w14:textId="77777777" w:rsidR="00143820" w:rsidRPr="00E34CC6" w:rsidRDefault="00143820" w:rsidP="00A11EFF">
      <w:pPr>
        <w:ind w:firstLine="0"/>
      </w:pPr>
      <w:r w:rsidRPr="00E34CC6">
        <w:rPr>
          <w:noProof/>
        </w:rPr>
        <w:drawing>
          <wp:inline distT="0" distB="0" distL="0" distR="0" wp14:anchorId="293DABA8" wp14:editId="3DEF1C94">
            <wp:extent cx="5686425" cy="3181350"/>
            <wp:effectExtent l="0" t="0" r="9525" b="0"/>
            <wp:docPr id="64" name="Graf 64">
              <a:extLst xmlns:a="http://schemas.openxmlformats.org/drawingml/2006/main">
                <a:ext uri="{FF2B5EF4-FFF2-40B4-BE49-F238E27FC236}">
                  <a16:creationId xmlns:a16="http://schemas.microsoft.com/office/drawing/2014/main" id="{F9FBC823-C37D-405D-A03C-7164E96F97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D900D2D" w14:textId="77777777" w:rsidR="001E245D" w:rsidRPr="004B694B" w:rsidRDefault="00EE3C77"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w:t>
      </w:r>
      <w:r w:rsidR="00143820" w:rsidRPr="004B694B">
        <w:rPr>
          <w:rFonts w:asciiTheme="majorHAnsi" w:eastAsiaTheme="majorEastAsia" w:hAnsiTheme="majorHAnsi" w:cstheme="majorBidi"/>
          <w:i/>
          <w:iCs/>
          <w:sz w:val="18"/>
          <w:szCs w:val="18"/>
        </w:rPr>
        <w:t xml:space="preserve">: SLDB 2011 </w:t>
      </w:r>
    </w:p>
    <w:p w14:paraId="6A5632D7" w14:textId="77777777" w:rsidR="001E245D" w:rsidRPr="004B694B" w:rsidRDefault="001E245D"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Zpracování: ÚZEI</w:t>
      </w:r>
    </w:p>
    <w:p w14:paraId="07E9447D" w14:textId="77777777" w:rsidR="00143820" w:rsidRPr="00A11EFF" w:rsidRDefault="00143820" w:rsidP="00A11EFF">
      <w:pPr>
        <w:spacing w:before="0" w:line="240" w:lineRule="auto"/>
        <w:ind w:firstLine="0"/>
        <w:rPr>
          <w:rFonts w:asciiTheme="majorHAnsi" w:hAnsiTheme="majorHAnsi" w:cstheme="majorHAnsi"/>
          <w:i/>
          <w:sz w:val="18"/>
          <w:szCs w:val="18"/>
        </w:rPr>
      </w:pPr>
    </w:p>
    <w:bookmarkEnd w:id="134"/>
    <w:p w14:paraId="1AF535D8" w14:textId="77777777" w:rsidR="00143820" w:rsidRPr="004B694B" w:rsidRDefault="00143820">
      <w:pPr>
        <w:ind w:firstLine="0"/>
        <w:rPr>
          <w:rFonts w:asciiTheme="majorHAnsi" w:eastAsiaTheme="majorEastAsia" w:hAnsiTheme="majorHAnsi" w:cstheme="majorBidi"/>
          <w:b/>
          <w:bCs/>
        </w:rPr>
      </w:pPr>
      <w:r w:rsidRPr="004B694B">
        <w:rPr>
          <w:rFonts w:asciiTheme="majorHAnsi" w:eastAsiaTheme="majorEastAsia" w:hAnsiTheme="majorHAnsi" w:cstheme="majorBidi"/>
          <w:b/>
          <w:bCs/>
        </w:rPr>
        <w:lastRenderedPageBreak/>
        <w:t xml:space="preserve">Nezaměstnanost </w:t>
      </w:r>
    </w:p>
    <w:p w14:paraId="4C1F6F6B" w14:textId="77777777" w:rsidR="00143820" w:rsidRDefault="00143820" w:rsidP="00143820">
      <w:r w:rsidRPr="008850C7">
        <w:t xml:space="preserve">Vývoj zaměstnanosti je v posledních letech v ČR příznivý, </w:t>
      </w:r>
      <w:r w:rsidRPr="00C150AD">
        <w:t>v roce 2017 klesla nezaměstnanost na nejnižší úroveň za posledních 19 let a vykazovala nejnižší hodnotu v EU-28. Problémem ekonomiky se v posledních letech tak stává nikoliv nezaměstnanost, ale nedostatek pracovních sil (volných míst bylo naopak nejvíce v </w:t>
      </w:r>
      <w:r w:rsidRPr="00841BEA">
        <w:t>historii měření). Toto konstatování platí i pro venkov. Přitom n</w:t>
      </w:r>
      <w:r w:rsidRPr="008850C7">
        <w:t>a rozdíl od let 2003-2011, kdy byla nezaměstnanost (na základě registrované míry nezaměstnanosti) ve venkovských obcích mírně vyšší než ve městech, od roku 2014 vykazují vyšší průměrnou nezaměstnanost (na základě podílu neza</w:t>
      </w:r>
      <w:r>
        <w:t xml:space="preserve">městnaných osob v obcích) </w:t>
      </w:r>
      <w:r w:rsidRPr="00E87A90">
        <w:rPr>
          <w:color w:val="000000" w:themeColor="text1"/>
        </w:rPr>
        <w:t xml:space="preserve">města (Obrázek </w:t>
      </w:r>
      <w:r w:rsidR="005208F1">
        <w:rPr>
          <w:color w:val="000000" w:themeColor="text1"/>
        </w:rPr>
        <w:t>7.</w:t>
      </w:r>
      <w:r w:rsidRPr="00E87A90">
        <w:rPr>
          <w:color w:val="000000" w:themeColor="text1"/>
        </w:rPr>
        <w:t>4.4).</w:t>
      </w:r>
    </w:p>
    <w:p w14:paraId="6D022E71" w14:textId="77777777" w:rsidR="00A11EFF" w:rsidRPr="008850C7" w:rsidRDefault="00A11EFF" w:rsidP="00143820"/>
    <w:p w14:paraId="07BC8556" w14:textId="77777777" w:rsidR="00143820" w:rsidRPr="004B694B" w:rsidRDefault="00143820" w:rsidP="004B694B">
      <w:pPr>
        <w:pStyle w:val="Titulek"/>
        <w:keepNext/>
        <w:spacing w:after="0"/>
        <w:ind w:firstLine="0"/>
        <w:jc w:val="left"/>
        <w:rPr>
          <w:rFonts w:asciiTheme="majorHAnsi" w:eastAsiaTheme="majorEastAsia" w:hAnsiTheme="majorHAnsi" w:cstheme="majorBidi"/>
          <w:b/>
          <w:bCs/>
          <w:i w:val="0"/>
          <w:iCs w:val="0"/>
          <w:color w:val="auto"/>
          <w:sz w:val="22"/>
          <w:szCs w:val="22"/>
        </w:rPr>
      </w:pPr>
      <w:bookmarkStart w:id="141" w:name="_Toc525727646"/>
      <w:bookmarkStart w:id="142" w:name="_Toc525735933"/>
      <w:bookmarkStart w:id="143" w:name="_Toc525738230"/>
      <w:r w:rsidRPr="004B694B">
        <w:rPr>
          <w:rFonts w:asciiTheme="majorHAnsi" w:eastAsiaTheme="majorEastAsia" w:hAnsiTheme="majorHAnsi" w:cstheme="majorBidi"/>
          <w:b/>
          <w:bCs/>
          <w:i w:val="0"/>
          <w:iCs w:val="0"/>
          <w:color w:val="auto"/>
          <w:sz w:val="22"/>
          <w:szCs w:val="22"/>
        </w:rPr>
        <w:t xml:space="preserve">Obrázek </w:t>
      </w:r>
      <w:r w:rsidR="005208F1">
        <w:rPr>
          <w:rFonts w:asciiTheme="majorHAnsi" w:eastAsiaTheme="majorEastAsia" w:hAnsiTheme="majorHAnsi" w:cstheme="majorBidi"/>
          <w:b/>
          <w:bCs/>
          <w:i w:val="0"/>
          <w:iCs w:val="0"/>
          <w:color w:val="auto"/>
          <w:sz w:val="22"/>
          <w:szCs w:val="22"/>
        </w:rPr>
        <w:t>7.</w:t>
      </w:r>
      <w:r w:rsidR="00240E36">
        <w:rPr>
          <w:rFonts w:asciiTheme="majorHAnsi" w:eastAsiaTheme="majorEastAsia" w:hAnsiTheme="majorHAnsi" w:cstheme="majorBidi"/>
          <w:b/>
          <w:bCs/>
          <w:i w:val="0"/>
          <w:iCs w:val="0"/>
          <w:color w:val="auto"/>
          <w:sz w:val="22"/>
          <w:szCs w:val="22"/>
        </w:rPr>
        <w:fldChar w:fldCharType="begin"/>
      </w:r>
      <w:r w:rsidR="00240E36">
        <w:rPr>
          <w:rFonts w:asciiTheme="majorHAnsi" w:eastAsiaTheme="majorEastAsia" w:hAnsiTheme="majorHAnsi" w:cstheme="majorBidi"/>
          <w:b/>
          <w:bCs/>
          <w:i w:val="0"/>
          <w:iCs w:val="0"/>
          <w:color w:val="auto"/>
          <w:sz w:val="22"/>
          <w:szCs w:val="22"/>
        </w:rPr>
        <w:instrText xml:space="preserve"> STYLEREF 1 \s </w:instrText>
      </w:r>
      <w:r w:rsidR="00240E36">
        <w:rPr>
          <w:rFonts w:asciiTheme="majorHAnsi" w:eastAsiaTheme="majorEastAsia" w:hAnsiTheme="majorHAnsi" w:cstheme="majorBidi"/>
          <w:b/>
          <w:bCs/>
          <w:i w:val="0"/>
          <w:iCs w:val="0"/>
          <w:color w:val="auto"/>
          <w:sz w:val="22"/>
          <w:szCs w:val="22"/>
        </w:rPr>
        <w:fldChar w:fldCharType="separate"/>
      </w:r>
      <w:r w:rsidR="00240E36">
        <w:rPr>
          <w:rFonts w:asciiTheme="majorHAnsi" w:eastAsiaTheme="majorEastAsia" w:hAnsiTheme="majorHAnsi" w:cstheme="majorBidi"/>
          <w:b/>
          <w:bCs/>
          <w:i w:val="0"/>
          <w:iCs w:val="0"/>
          <w:noProof/>
          <w:color w:val="auto"/>
          <w:sz w:val="22"/>
          <w:szCs w:val="22"/>
        </w:rPr>
        <w:t>4</w:t>
      </w:r>
      <w:r w:rsidR="00240E36">
        <w:rPr>
          <w:rFonts w:asciiTheme="majorHAnsi" w:eastAsiaTheme="majorEastAsia" w:hAnsiTheme="majorHAnsi" w:cstheme="majorBidi"/>
          <w:b/>
          <w:bCs/>
          <w:i w:val="0"/>
          <w:iCs w:val="0"/>
          <w:color w:val="auto"/>
          <w:sz w:val="22"/>
          <w:szCs w:val="22"/>
        </w:rPr>
        <w:fldChar w:fldCharType="end"/>
      </w:r>
      <w:r w:rsidR="00240E36">
        <w:rPr>
          <w:rFonts w:asciiTheme="majorHAnsi" w:eastAsiaTheme="majorEastAsia" w:hAnsiTheme="majorHAnsi" w:cstheme="majorBidi"/>
          <w:b/>
          <w:bCs/>
          <w:i w:val="0"/>
          <w:iCs w:val="0"/>
          <w:color w:val="auto"/>
          <w:sz w:val="22"/>
          <w:szCs w:val="22"/>
        </w:rPr>
        <w:t>.</w:t>
      </w:r>
      <w:r w:rsidR="00EB5B81">
        <w:rPr>
          <w:rFonts w:asciiTheme="majorHAnsi" w:eastAsiaTheme="majorEastAsia" w:hAnsiTheme="majorHAnsi" w:cstheme="majorBidi"/>
          <w:b/>
          <w:bCs/>
          <w:i w:val="0"/>
          <w:iCs w:val="0"/>
          <w:color w:val="auto"/>
          <w:sz w:val="22"/>
          <w:szCs w:val="22"/>
        </w:rPr>
        <w:fldChar w:fldCharType="begin"/>
      </w:r>
      <w:r w:rsidR="00EB5B81">
        <w:rPr>
          <w:rFonts w:asciiTheme="majorHAnsi" w:eastAsiaTheme="majorEastAsia" w:hAnsiTheme="majorHAnsi" w:cstheme="majorBidi"/>
          <w:b/>
          <w:bCs/>
          <w:i w:val="0"/>
          <w:iCs w:val="0"/>
          <w:color w:val="auto"/>
          <w:sz w:val="22"/>
          <w:szCs w:val="22"/>
        </w:rPr>
        <w:instrText xml:space="preserve"> SEQ Obrázek \* ARABIC \s 1 </w:instrText>
      </w:r>
      <w:r w:rsidR="00EB5B81">
        <w:rPr>
          <w:rFonts w:asciiTheme="majorHAnsi" w:eastAsiaTheme="majorEastAsia" w:hAnsiTheme="majorHAnsi" w:cstheme="majorBidi"/>
          <w:b/>
          <w:bCs/>
          <w:i w:val="0"/>
          <w:iCs w:val="0"/>
          <w:color w:val="auto"/>
          <w:sz w:val="22"/>
          <w:szCs w:val="22"/>
        </w:rPr>
        <w:fldChar w:fldCharType="separate"/>
      </w:r>
      <w:r w:rsidR="00EB5B81">
        <w:rPr>
          <w:rFonts w:asciiTheme="majorHAnsi" w:eastAsiaTheme="majorEastAsia" w:hAnsiTheme="majorHAnsi" w:cstheme="majorBidi"/>
          <w:b/>
          <w:bCs/>
          <w:i w:val="0"/>
          <w:iCs w:val="0"/>
          <w:noProof/>
          <w:color w:val="auto"/>
          <w:sz w:val="22"/>
          <w:szCs w:val="22"/>
        </w:rPr>
        <w:t>4</w:t>
      </w:r>
      <w:r w:rsidR="00EB5B81">
        <w:rPr>
          <w:rFonts w:asciiTheme="majorHAnsi" w:eastAsiaTheme="majorEastAsia" w:hAnsiTheme="majorHAnsi" w:cstheme="majorBidi"/>
          <w:b/>
          <w:bCs/>
          <w:i w:val="0"/>
          <w:iCs w:val="0"/>
          <w:color w:val="auto"/>
          <w:sz w:val="22"/>
          <w:szCs w:val="22"/>
        </w:rPr>
        <w:fldChar w:fldCharType="end"/>
      </w:r>
      <w:r w:rsidR="00240E36">
        <w:rPr>
          <w:rFonts w:asciiTheme="majorHAnsi" w:eastAsiaTheme="majorEastAsia" w:hAnsiTheme="majorHAnsi" w:cstheme="majorBidi"/>
          <w:b/>
          <w:bCs/>
          <w:i w:val="0"/>
          <w:iCs w:val="0"/>
          <w:color w:val="auto"/>
          <w:sz w:val="22"/>
          <w:szCs w:val="22"/>
        </w:rPr>
        <w:t>:</w:t>
      </w:r>
      <w:r w:rsidRPr="004B694B">
        <w:rPr>
          <w:rFonts w:asciiTheme="majorHAnsi" w:eastAsiaTheme="majorEastAsia" w:hAnsiTheme="majorHAnsi" w:cstheme="majorBidi"/>
          <w:b/>
          <w:bCs/>
          <w:i w:val="0"/>
          <w:iCs w:val="0"/>
          <w:color w:val="auto"/>
          <w:sz w:val="22"/>
          <w:szCs w:val="22"/>
        </w:rPr>
        <w:t xml:space="preserve"> Vývoj podílu nezaměstnaných osob ve městě a na venkově ve vybraných měsících let 2015-2017 (%)</w:t>
      </w:r>
      <w:bookmarkEnd w:id="141"/>
      <w:bookmarkEnd w:id="142"/>
      <w:bookmarkEnd w:id="143"/>
    </w:p>
    <w:p w14:paraId="6653F773" w14:textId="77777777" w:rsidR="00143820" w:rsidRDefault="00143820" w:rsidP="00A11EFF">
      <w:pPr>
        <w:keepNext/>
        <w:spacing w:line="240" w:lineRule="auto"/>
        <w:ind w:firstLine="0"/>
      </w:pPr>
      <w:r w:rsidRPr="0041427D">
        <w:rPr>
          <w:noProof/>
          <w:color w:val="0070C0"/>
        </w:rPr>
        <w:drawing>
          <wp:inline distT="0" distB="0" distL="0" distR="0" wp14:anchorId="19283DB9" wp14:editId="37D4A186">
            <wp:extent cx="5743575" cy="2657475"/>
            <wp:effectExtent l="0" t="0" r="9525" b="9525"/>
            <wp:docPr id="46" name="Graf 46">
              <a:extLst xmlns:a="http://schemas.openxmlformats.org/drawingml/2006/main">
                <a:ext uri="{FF2B5EF4-FFF2-40B4-BE49-F238E27FC236}">
                  <a16:creationId xmlns:a16="http://schemas.microsoft.com/office/drawing/2014/main" id="{6584A705-41F3-48D5-93D4-B850AC42B2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E48F45C" w14:textId="77777777" w:rsidR="001E245D" w:rsidRPr="004B694B" w:rsidRDefault="00EE3C77"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w:t>
      </w:r>
      <w:r w:rsidR="00143820" w:rsidRPr="004B694B">
        <w:rPr>
          <w:rFonts w:asciiTheme="majorHAnsi" w:eastAsiaTheme="majorEastAsia" w:hAnsiTheme="majorHAnsi" w:cstheme="majorBidi"/>
          <w:i/>
          <w:iCs/>
          <w:sz w:val="18"/>
          <w:szCs w:val="18"/>
        </w:rPr>
        <w:t xml:space="preserve">: Nezaměstnanost v obcích a mikroregionech v březnu, červnu, září a prosinci od 2015 do června 2017. MPSV 2016, 2017. </w:t>
      </w:r>
      <w:r w:rsidR="001E245D" w:rsidRPr="004B694B">
        <w:rPr>
          <w:rFonts w:asciiTheme="majorHAnsi" w:eastAsiaTheme="majorEastAsia" w:hAnsiTheme="majorHAnsi" w:cstheme="majorBidi"/>
          <w:i/>
          <w:iCs/>
          <w:sz w:val="18"/>
          <w:szCs w:val="18"/>
        </w:rPr>
        <w:t>Zpracování: ÚZEI</w:t>
      </w:r>
    </w:p>
    <w:p w14:paraId="0FD33163" w14:textId="77777777" w:rsidR="00143820" w:rsidRPr="008850C7" w:rsidRDefault="00143820" w:rsidP="00143820">
      <w:pPr>
        <w:rPr>
          <w:szCs w:val="24"/>
        </w:rPr>
      </w:pPr>
    </w:p>
    <w:p w14:paraId="341A4CC7" w14:textId="77777777" w:rsidR="00143820" w:rsidRPr="00FB44D0" w:rsidRDefault="00143820">
      <w:pPr>
        <w:rPr>
          <w:rFonts w:eastAsiaTheme="minorEastAsia"/>
        </w:rPr>
      </w:pPr>
      <w:r w:rsidRPr="00776DDB">
        <w:rPr>
          <w:szCs w:val="24"/>
        </w:rPr>
        <w:t xml:space="preserve">Od roku 2014 dochází ke snižování podílu nezaměstnaných osob ve všech krajích ČR; </w:t>
      </w:r>
      <w:r w:rsidRPr="00776DDB">
        <w:rPr>
          <w:color w:val="000000" w:themeColor="text1"/>
          <w:szCs w:val="24"/>
        </w:rPr>
        <w:t xml:space="preserve">Obrázek </w:t>
      </w:r>
      <w:r w:rsidR="005208F1" w:rsidRPr="00776DDB">
        <w:rPr>
          <w:color w:val="000000" w:themeColor="text1"/>
          <w:szCs w:val="24"/>
        </w:rPr>
        <w:t>7.</w:t>
      </w:r>
      <w:r w:rsidRPr="00776DDB">
        <w:rPr>
          <w:color w:val="000000" w:themeColor="text1"/>
          <w:szCs w:val="24"/>
        </w:rPr>
        <w:t xml:space="preserve">4.5 také </w:t>
      </w:r>
      <w:r w:rsidRPr="00776DDB">
        <w:rPr>
          <w:szCs w:val="24"/>
        </w:rPr>
        <w:t xml:space="preserve">ukazuje na </w:t>
      </w:r>
      <w:r w:rsidRPr="00776DDB">
        <w:rPr>
          <w:rFonts w:eastAsiaTheme="minorEastAsia"/>
          <w:szCs w:val="24"/>
        </w:rPr>
        <w:t>stírání rozdílů mezi převážně venkovskými a převážně městskými kraji, nejvyšší</w:t>
      </w:r>
      <w:r w:rsidRPr="00FB44D0">
        <w:rPr>
          <w:rFonts w:eastAsiaTheme="minorEastAsia"/>
        </w:rPr>
        <w:t xml:space="preserve"> a v rámci ČR nadprůměrné hodnoty PNO jsou dlouhodobě dosahovány ve smíšených regionech (Ústecký a Moravskoslezský kraj). Nejnižší nezaměstnanost má vedle Hl. města Prahy Plzeňský kraj. Z převážně venkovských krajů vykazuje dlouhodobě nadprůměrné hodnoty nezaměstnanosti kraj Olomoucký.  </w:t>
      </w:r>
    </w:p>
    <w:p w14:paraId="70002F67" w14:textId="77777777" w:rsidR="00143820" w:rsidRPr="00FB44D0" w:rsidRDefault="00143820" w:rsidP="00143820">
      <w:pPr>
        <w:spacing w:line="240" w:lineRule="auto"/>
        <w:rPr>
          <w:b/>
        </w:rPr>
      </w:pPr>
    </w:p>
    <w:p w14:paraId="52277CB3" w14:textId="77777777" w:rsidR="00143820" w:rsidRDefault="00143820" w:rsidP="00143820">
      <w:pPr>
        <w:spacing w:line="240" w:lineRule="auto"/>
        <w:rPr>
          <w:rFonts w:cstheme="minorHAnsi"/>
          <w:b/>
        </w:rPr>
      </w:pPr>
    </w:p>
    <w:p w14:paraId="4FE7C9A6" w14:textId="77777777" w:rsidR="00143820" w:rsidRDefault="00143820" w:rsidP="00143820">
      <w:pPr>
        <w:spacing w:line="240" w:lineRule="auto"/>
        <w:rPr>
          <w:rFonts w:cstheme="minorHAnsi"/>
          <w:b/>
        </w:rPr>
      </w:pPr>
    </w:p>
    <w:p w14:paraId="0A2FD15B" w14:textId="77777777" w:rsidR="00143820" w:rsidRDefault="00143820" w:rsidP="00143820">
      <w:pPr>
        <w:spacing w:line="240" w:lineRule="auto"/>
        <w:rPr>
          <w:rFonts w:cstheme="minorHAnsi"/>
          <w:b/>
        </w:rPr>
      </w:pPr>
    </w:p>
    <w:p w14:paraId="677F40AF" w14:textId="77777777" w:rsidR="00143820" w:rsidRDefault="00143820" w:rsidP="00143820">
      <w:pPr>
        <w:spacing w:line="240" w:lineRule="auto"/>
        <w:rPr>
          <w:rFonts w:cstheme="minorHAnsi"/>
          <w:b/>
        </w:rPr>
      </w:pPr>
    </w:p>
    <w:p w14:paraId="17E1755C" w14:textId="77777777" w:rsidR="00143820" w:rsidRDefault="00143820" w:rsidP="00143820">
      <w:pPr>
        <w:spacing w:line="240" w:lineRule="auto"/>
        <w:rPr>
          <w:rFonts w:cstheme="minorHAnsi"/>
          <w:b/>
        </w:rPr>
      </w:pPr>
    </w:p>
    <w:p w14:paraId="3F600098" w14:textId="77777777" w:rsidR="00143820" w:rsidRDefault="00143820" w:rsidP="00143820">
      <w:pPr>
        <w:spacing w:line="240" w:lineRule="auto"/>
        <w:rPr>
          <w:rFonts w:cstheme="minorHAnsi"/>
          <w:b/>
        </w:rPr>
      </w:pPr>
    </w:p>
    <w:p w14:paraId="6103AD92" w14:textId="77777777" w:rsidR="00143820" w:rsidRPr="004B694B" w:rsidRDefault="00143820" w:rsidP="004B694B">
      <w:pPr>
        <w:pStyle w:val="Titulek"/>
        <w:keepNext/>
        <w:spacing w:after="0"/>
        <w:ind w:firstLine="0"/>
        <w:jc w:val="left"/>
        <w:rPr>
          <w:rFonts w:asciiTheme="majorHAnsi" w:eastAsiaTheme="majorEastAsia" w:hAnsiTheme="majorHAnsi" w:cstheme="majorBidi"/>
          <w:b/>
          <w:bCs/>
          <w:i w:val="0"/>
          <w:iCs w:val="0"/>
          <w:color w:val="auto"/>
          <w:sz w:val="22"/>
          <w:szCs w:val="22"/>
        </w:rPr>
      </w:pPr>
      <w:bookmarkStart w:id="144" w:name="_Toc525727647"/>
      <w:bookmarkStart w:id="145" w:name="_Toc525735934"/>
      <w:bookmarkStart w:id="146" w:name="_Toc525738231"/>
      <w:r w:rsidRPr="004B694B">
        <w:rPr>
          <w:rFonts w:asciiTheme="majorHAnsi" w:eastAsiaTheme="majorEastAsia" w:hAnsiTheme="majorHAnsi" w:cstheme="majorBidi"/>
          <w:b/>
          <w:bCs/>
          <w:i w:val="0"/>
          <w:iCs w:val="0"/>
          <w:color w:val="auto"/>
          <w:sz w:val="22"/>
          <w:szCs w:val="22"/>
        </w:rPr>
        <w:lastRenderedPageBreak/>
        <w:t xml:space="preserve">Obrázek </w:t>
      </w:r>
      <w:r w:rsidR="005208F1">
        <w:rPr>
          <w:rFonts w:asciiTheme="majorHAnsi" w:eastAsiaTheme="majorEastAsia" w:hAnsiTheme="majorHAnsi" w:cstheme="majorBidi"/>
          <w:b/>
          <w:bCs/>
          <w:i w:val="0"/>
          <w:iCs w:val="0"/>
          <w:color w:val="auto"/>
          <w:sz w:val="22"/>
          <w:szCs w:val="22"/>
        </w:rPr>
        <w:t>7.</w:t>
      </w:r>
      <w:r w:rsidR="00240E36">
        <w:rPr>
          <w:rFonts w:asciiTheme="majorHAnsi" w:eastAsiaTheme="majorEastAsia" w:hAnsiTheme="majorHAnsi" w:cstheme="majorBidi"/>
          <w:b/>
          <w:bCs/>
          <w:i w:val="0"/>
          <w:iCs w:val="0"/>
          <w:color w:val="auto"/>
          <w:sz w:val="22"/>
          <w:szCs w:val="22"/>
        </w:rPr>
        <w:fldChar w:fldCharType="begin"/>
      </w:r>
      <w:r w:rsidR="00240E36">
        <w:rPr>
          <w:rFonts w:asciiTheme="majorHAnsi" w:eastAsiaTheme="majorEastAsia" w:hAnsiTheme="majorHAnsi" w:cstheme="majorBidi"/>
          <w:b/>
          <w:bCs/>
          <w:i w:val="0"/>
          <w:iCs w:val="0"/>
          <w:color w:val="auto"/>
          <w:sz w:val="22"/>
          <w:szCs w:val="22"/>
        </w:rPr>
        <w:instrText xml:space="preserve"> STYLEREF 1 \s </w:instrText>
      </w:r>
      <w:r w:rsidR="00240E36">
        <w:rPr>
          <w:rFonts w:asciiTheme="majorHAnsi" w:eastAsiaTheme="majorEastAsia" w:hAnsiTheme="majorHAnsi" w:cstheme="majorBidi"/>
          <w:b/>
          <w:bCs/>
          <w:i w:val="0"/>
          <w:iCs w:val="0"/>
          <w:color w:val="auto"/>
          <w:sz w:val="22"/>
          <w:szCs w:val="22"/>
        </w:rPr>
        <w:fldChar w:fldCharType="separate"/>
      </w:r>
      <w:r w:rsidR="00240E36">
        <w:rPr>
          <w:rFonts w:asciiTheme="majorHAnsi" w:eastAsiaTheme="majorEastAsia" w:hAnsiTheme="majorHAnsi" w:cstheme="majorBidi"/>
          <w:b/>
          <w:bCs/>
          <w:i w:val="0"/>
          <w:iCs w:val="0"/>
          <w:noProof/>
          <w:color w:val="auto"/>
          <w:sz w:val="22"/>
          <w:szCs w:val="22"/>
        </w:rPr>
        <w:t>4</w:t>
      </w:r>
      <w:r w:rsidR="00240E36">
        <w:rPr>
          <w:rFonts w:asciiTheme="majorHAnsi" w:eastAsiaTheme="majorEastAsia" w:hAnsiTheme="majorHAnsi" w:cstheme="majorBidi"/>
          <w:b/>
          <w:bCs/>
          <w:i w:val="0"/>
          <w:iCs w:val="0"/>
          <w:color w:val="auto"/>
          <w:sz w:val="22"/>
          <w:szCs w:val="22"/>
        </w:rPr>
        <w:fldChar w:fldCharType="end"/>
      </w:r>
      <w:r w:rsidR="00240E36">
        <w:rPr>
          <w:rFonts w:asciiTheme="majorHAnsi" w:eastAsiaTheme="majorEastAsia" w:hAnsiTheme="majorHAnsi" w:cstheme="majorBidi"/>
          <w:b/>
          <w:bCs/>
          <w:i w:val="0"/>
          <w:iCs w:val="0"/>
          <w:color w:val="auto"/>
          <w:sz w:val="22"/>
          <w:szCs w:val="22"/>
        </w:rPr>
        <w:t>.</w:t>
      </w:r>
      <w:r w:rsidR="00EB5B81">
        <w:rPr>
          <w:rFonts w:asciiTheme="majorHAnsi" w:eastAsiaTheme="majorEastAsia" w:hAnsiTheme="majorHAnsi" w:cstheme="majorBidi"/>
          <w:b/>
          <w:bCs/>
          <w:i w:val="0"/>
          <w:iCs w:val="0"/>
          <w:color w:val="auto"/>
          <w:sz w:val="22"/>
          <w:szCs w:val="22"/>
        </w:rPr>
        <w:fldChar w:fldCharType="begin"/>
      </w:r>
      <w:r w:rsidR="00EB5B81">
        <w:rPr>
          <w:rFonts w:asciiTheme="majorHAnsi" w:eastAsiaTheme="majorEastAsia" w:hAnsiTheme="majorHAnsi" w:cstheme="majorBidi"/>
          <w:b/>
          <w:bCs/>
          <w:i w:val="0"/>
          <w:iCs w:val="0"/>
          <w:color w:val="auto"/>
          <w:sz w:val="22"/>
          <w:szCs w:val="22"/>
        </w:rPr>
        <w:instrText xml:space="preserve"> SEQ Obrázek \* ARABIC \s 1 </w:instrText>
      </w:r>
      <w:r w:rsidR="00EB5B81">
        <w:rPr>
          <w:rFonts w:asciiTheme="majorHAnsi" w:eastAsiaTheme="majorEastAsia" w:hAnsiTheme="majorHAnsi" w:cstheme="majorBidi"/>
          <w:b/>
          <w:bCs/>
          <w:i w:val="0"/>
          <w:iCs w:val="0"/>
          <w:color w:val="auto"/>
          <w:sz w:val="22"/>
          <w:szCs w:val="22"/>
        </w:rPr>
        <w:fldChar w:fldCharType="separate"/>
      </w:r>
      <w:r w:rsidR="00EB5B81">
        <w:rPr>
          <w:rFonts w:asciiTheme="majorHAnsi" w:eastAsiaTheme="majorEastAsia" w:hAnsiTheme="majorHAnsi" w:cstheme="majorBidi"/>
          <w:b/>
          <w:bCs/>
          <w:i w:val="0"/>
          <w:iCs w:val="0"/>
          <w:noProof/>
          <w:color w:val="auto"/>
          <w:sz w:val="22"/>
          <w:szCs w:val="22"/>
        </w:rPr>
        <w:t>5</w:t>
      </w:r>
      <w:r w:rsidR="00EB5B81">
        <w:rPr>
          <w:rFonts w:asciiTheme="majorHAnsi" w:eastAsiaTheme="majorEastAsia" w:hAnsiTheme="majorHAnsi" w:cstheme="majorBidi"/>
          <w:b/>
          <w:bCs/>
          <w:i w:val="0"/>
          <w:iCs w:val="0"/>
          <w:color w:val="auto"/>
          <w:sz w:val="22"/>
          <w:szCs w:val="22"/>
        </w:rPr>
        <w:fldChar w:fldCharType="end"/>
      </w:r>
      <w:r w:rsidRPr="004B694B">
        <w:rPr>
          <w:rFonts w:asciiTheme="majorHAnsi" w:eastAsiaTheme="majorEastAsia" w:hAnsiTheme="majorHAnsi" w:cstheme="majorBidi"/>
          <w:b/>
          <w:bCs/>
          <w:i w:val="0"/>
          <w:iCs w:val="0"/>
          <w:color w:val="auto"/>
          <w:sz w:val="22"/>
          <w:szCs w:val="22"/>
        </w:rPr>
        <w:t>: Vývoj ročních průměrů PNO v krajích ČR 2005-17 (převážně venkovské zeleně, převážně městské červeně)</w:t>
      </w:r>
      <w:bookmarkEnd w:id="144"/>
      <w:bookmarkEnd w:id="145"/>
      <w:bookmarkEnd w:id="146"/>
    </w:p>
    <w:p w14:paraId="65269886" w14:textId="77777777" w:rsidR="00143820" w:rsidRDefault="00143820" w:rsidP="00EF462E">
      <w:pPr>
        <w:keepNext/>
        <w:spacing w:line="240" w:lineRule="auto"/>
        <w:ind w:firstLine="0"/>
      </w:pPr>
      <w:r>
        <w:rPr>
          <w:noProof/>
        </w:rPr>
        <w:drawing>
          <wp:inline distT="0" distB="0" distL="0" distR="0" wp14:anchorId="734557CF" wp14:editId="4646A100">
            <wp:extent cx="5776251" cy="3876675"/>
            <wp:effectExtent l="0" t="0" r="0" b="0"/>
            <wp:docPr id="30229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a:extLst>
                        <a:ext uri="{28A0092B-C50C-407E-A947-70E740481C1C}">
                          <a14:useLocalDpi xmlns:a14="http://schemas.microsoft.com/office/drawing/2010/main" val="0"/>
                        </a:ext>
                      </a:extLst>
                    </a:blip>
                    <a:stretch>
                      <a:fillRect/>
                    </a:stretch>
                  </pic:blipFill>
                  <pic:spPr>
                    <a:xfrm>
                      <a:off x="0" y="0"/>
                      <a:ext cx="5776251" cy="3876675"/>
                    </a:xfrm>
                    <a:prstGeom prst="rect">
                      <a:avLst/>
                    </a:prstGeom>
                  </pic:spPr>
                </pic:pic>
              </a:graphicData>
            </a:graphic>
          </wp:inline>
        </w:drawing>
      </w:r>
    </w:p>
    <w:p w14:paraId="14B62865" w14:textId="77777777" w:rsidR="001E245D" w:rsidRPr="004B694B" w:rsidRDefault="00EE3C77"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w:t>
      </w:r>
      <w:r w:rsidR="00143820" w:rsidRPr="004B694B">
        <w:rPr>
          <w:rFonts w:asciiTheme="majorHAnsi" w:eastAsiaTheme="majorEastAsia" w:hAnsiTheme="majorHAnsi" w:cstheme="majorBidi"/>
          <w:i/>
          <w:iCs/>
          <w:sz w:val="18"/>
          <w:szCs w:val="18"/>
        </w:rPr>
        <w:t xml:space="preserve">: MPSV 2006-2018 </w:t>
      </w:r>
    </w:p>
    <w:p w14:paraId="2B386AC2" w14:textId="77777777" w:rsidR="001E245D" w:rsidRPr="004B694B" w:rsidRDefault="001E245D"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Zpracování: ÚZEI</w:t>
      </w:r>
    </w:p>
    <w:p w14:paraId="2E645391" w14:textId="77777777" w:rsidR="00143820" w:rsidRDefault="00143820" w:rsidP="00EF462E">
      <w:pPr>
        <w:rPr>
          <w:i/>
          <w:color w:val="0070C0"/>
          <w:sz w:val="20"/>
          <w:szCs w:val="20"/>
        </w:rPr>
      </w:pPr>
    </w:p>
    <w:p w14:paraId="59E6B944" w14:textId="77777777" w:rsidR="00143820" w:rsidRPr="0024166F" w:rsidRDefault="00143820" w:rsidP="00EF462E">
      <w:r w:rsidRPr="008850C7">
        <w:t xml:space="preserve">Vzhledem k rozmístění obyvatelstva v ČR je přirozené, že většina evidovaných dosažitelných uchazečů o práci v ČR pochází z měst </w:t>
      </w:r>
      <w:r w:rsidR="001A461C">
        <w:t>–</w:t>
      </w:r>
      <w:r w:rsidRPr="008850C7">
        <w:t xml:space="preserve"> ve</w:t>
      </w:r>
      <w:r w:rsidR="001A461C">
        <w:t xml:space="preserve"> </w:t>
      </w:r>
      <w:r w:rsidRPr="008850C7">
        <w:t>venkovských obcích je lokalizováno méně nezaměstnaných</w:t>
      </w:r>
      <w:r>
        <w:t>,</w:t>
      </w:r>
      <w:r w:rsidRPr="008850C7">
        <w:t xml:space="preserve"> než činí </w:t>
      </w:r>
      <w:r w:rsidRPr="0024166F">
        <w:t xml:space="preserve">jejich podíl na celkovém obyvatelstvu (v roce 2017 cca 27 % dle </w:t>
      </w:r>
      <w:r w:rsidRPr="00F579B4">
        <w:rPr>
          <w:color w:val="000000" w:themeColor="text1"/>
        </w:rPr>
        <w:t xml:space="preserve">tab. 2.1 </w:t>
      </w:r>
      <w:r w:rsidRPr="0024166F">
        <w:t xml:space="preserve">oproti 19,5 % nezaměstnaných dle výpočtů ÚZEI z dat SLDB 2011, resp. necelé čtvrtině nezaměstnaných dle dat MPSV v roce 2017). </w:t>
      </w:r>
    </w:p>
    <w:p w14:paraId="035E4C82" w14:textId="77777777" w:rsidR="00143820" w:rsidRPr="00E87A90" w:rsidRDefault="00143820" w:rsidP="00EF462E">
      <w:pPr>
        <w:rPr>
          <w:color w:val="000000" w:themeColor="text1"/>
        </w:rPr>
      </w:pPr>
      <w:r w:rsidRPr="0024166F">
        <w:t>Na venkovské obce však také připadá výrazně menší podíl volných pracovních míst (VPM; okolo 19 %</w:t>
      </w:r>
      <w:r w:rsidRPr="008850C7">
        <w:t xml:space="preserve"> v roce 2017). Počet dosažitelných uchazečů na jedno volné pracovní místo (DU/VPM) tak zůstává ve venkovských obcích jako celku stále o něco vyšší. Situace pro venkovské uchazeče o zaměstnání je tedy nadále ve srovnání s uchazeči z měst méně příznivá. I když se rozdíl oproti městům zejména vlivem aktuální zlepšující se situace na trhu práce se pomalu </w:t>
      </w:r>
      <w:r w:rsidRPr="0024166F">
        <w:t xml:space="preserve">stírá </w:t>
      </w:r>
      <w:r w:rsidRPr="00E87A90">
        <w:rPr>
          <w:color w:val="000000" w:themeColor="text1"/>
        </w:rPr>
        <w:t xml:space="preserve">(viz Obrázek </w:t>
      </w:r>
      <w:r w:rsidR="005208F1">
        <w:rPr>
          <w:color w:val="000000" w:themeColor="text1"/>
        </w:rPr>
        <w:t>7.</w:t>
      </w:r>
      <w:r w:rsidRPr="00E87A90">
        <w:rPr>
          <w:color w:val="000000" w:themeColor="text1"/>
        </w:rPr>
        <w:t xml:space="preserve">4.6, </w:t>
      </w:r>
      <w:r w:rsidR="005208F1">
        <w:rPr>
          <w:color w:val="000000" w:themeColor="text1"/>
        </w:rPr>
        <w:t>7.</w:t>
      </w:r>
      <w:r w:rsidRPr="00E87A90">
        <w:rPr>
          <w:color w:val="000000" w:themeColor="text1"/>
        </w:rPr>
        <w:t xml:space="preserve">4.7), za </w:t>
      </w:r>
      <w:r w:rsidRPr="008850C7">
        <w:t xml:space="preserve">velmi nepříznivou lze stále označovat situaci v populačně malých obcích do 199 obyvatel, které často patří k nadprůměrně </w:t>
      </w:r>
      <w:proofErr w:type="gramStart"/>
      <w:r w:rsidRPr="008850C7">
        <w:t>zasaženým</w:t>
      </w:r>
      <w:proofErr w:type="gramEnd"/>
      <w:r w:rsidRPr="008850C7">
        <w:t xml:space="preserve"> nezaměstnaností v rámci jednotlivých regionů (v roce 2017 průměrně 3,7 DU/VPM v obcích do 199 obyvatel, z toho v nejmenších obcích do 99 obyvatel dokonce 5,4). Nejméně uchazečů připadalo na volná pracovní místa v menších městech do 10 tis. obyvatel (průměrně 1,5). Poměr dosažitelných uchazečů o práci a nabízených volných pracovních míst dle velikostních kategorií obcí </w:t>
      </w:r>
      <w:r w:rsidRPr="00E87A90">
        <w:rPr>
          <w:color w:val="000000" w:themeColor="text1"/>
        </w:rPr>
        <w:t xml:space="preserve">nabízí Obrázek </w:t>
      </w:r>
      <w:r w:rsidR="00776DDB">
        <w:rPr>
          <w:color w:val="000000" w:themeColor="text1"/>
        </w:rPr>
        <w:t>7.</w:t>
      </w:r>
      <w:r w:rsidRPr="00E87A90">
        <w:rPr>
          <w:color w:val="000000" w:themeColor="text1"/>
        </w:rPr>
        <w:t>4.8.</w:t>
      </w:r>
    </w:p>
    <w:p w14:paraId="53A9D2CB" w14:textId="77777777" w:rsidR="00143820" w:rsidRPr="004B694B" w:rsidRDefault="00143820" w:rsidP="004B694B">
      <w:pPr>
        <w:pStyle w:val="Titulek"/>
        <w:keepNext/>
        <w:spacing w:after="0"/>
        <w:ind w:firstLine="0"/>
        <w:jc w:val="left"/>
        <w:rPr>
          <w:rFonts w:asciiTheme="majorHAnsi" w:eastAsiaTheme="majorEastAsia" w:hAnsiTheme="majorHAnsi" w:cstheme="majorBidi"/>
          <w:b/>
          <w:bCs/>
          <w:i w:val="0"/>
          <w:iCs w:val="0"/>
          <w:color w:val="auto"/>
          <w:sz w:val="22"/>
          <w:szCs w:val="22"/>
        </w:rPr>
      </w:pPr>
      <w:bookmarkStart w:id="147" w:name="_Toc525727648"/>
      <w:bookmarkStart w:id="148" w:name="_Toc525735935"/>
      <w:bookmarkStart w:id="149" w:name="_Toc525738232"/>
      <w:r w:rsidRPr="004B694B">
        <w:rPr>
          <w:rFonts w:asciiTheme="majorHAnsi" w:eastAsiaTheme="majorEastAsia" w:hAnsiTheme="majorHAnsi" w:cstheme="majorBidi"/>
          <w:b/>
          <w:bCs/>
          <w:i w:val="0"/>
          <w:iCs w:val="0"/>
          <w:color w:val="auto"/>
          <w:sz w:val="22"/>
          <w:szCs w:val="22"/>
        </w:rPr>
        <w:lastRenderedPageBreak/>
        <w:t xml:space="preserve">Obrázek </w:t>
      </w:r>
      <w:r w:rsidR="005208F1">
        <w:rPr>
          <w:rFonts w:asciiTheme="majorHAnsi" w:eastAsiaTheme="majorEastAsia" w:hAnsiTheme="majorHAnsi" w:cstheme="majorBidi"/>
          <w:b/>
          <w:bCs/>
          <w:i w:val="0"/>
          <w:iCs w:val="0"/>
          <w:color w:val="auto"/>
          <w:sz w:val="22"/>
          <w:szCs w:val="22"/>
        </w:rPr>
        <w:t>7.</w:t>
      </w:r>
      <w:r w:rsidR="00240E36">
        <w:rPr>
          <w:rFonts w:asciiTheme="majorHAnsi" w:eastAsiaTheme="majorEastAsia" w:hAnsiTheme="majorHAnsi" w:cstheme="majorBidi"/>
          <w:b/>
          <w:bCs/>
          <w:i w:val="0"/>
          <w:iCs w:val="0"/>
          <w:color w:val="auto"/>
          <w:sz w:val="22"/>
          <w:szCs w:val="22"/>
        </w:rPr>
        <w:fldChar w:fldCharType="begin"/>
      </w:r>
      <w:r w:rsidR="00240E36">
        <w:rPr>
          <w:rFonts w:asciiTheme="majorHAnsi" w:eastAsiaTheme="majorEastAsia" w:hAnsiTheme="majorHAnsi" w:cstheme="majorBidi"/>
          <w:b/>
          <w:bCs/>
          <w:i w:val="0"/>
          <w:iCs w:val="0"/>
          <w:color w:val="auto"/>
          <w:sz w:val="22"/>
          <w:szCs w:val="22"/>
        </w:rPr>
        <w:instrText xml:space="preserve"> STYLEREF 1 \s </w:instrText>
      </w:r>
      <w:r w:rsidR="00240E36">
        <w:rPr>
          <w:rFonts w:asciiTheme="majorHAnsi" w:eastAsiaTheme="majorEastAsia" w:hAnsiTheme="majorHAnsi" w:cstheme="majorBidi"/>
          <w:b/>
          <w:bCs/>
          <w:i w:val="0"/>
          <w:iCs w:val="0"/>
          <w:color w:val="auto"/>
          <w:sz w:val="22"/>
          <w:szCs w:val="22"/>
        </w:rPr>
        <w:fldChar w:fldCharType="separate"/>
      </w:r>
      <w:r w:rsidR="00240E36">
        <w:rPr>
          <w:rFonts w:asciiTheme="majorHAnsi" w:eastAsiaTheme="majorEastAsia" w:hAnsiTheme="majorHAnsi" w:cstheme="majorBidi"/>
          <w:b/>
          <w:bCs/>
          <w:i w:val="0"/>
          <w:iCs w:val="0"/>
          <w:noProof/>
          <w:color w:val="auto"/>
          <w:sz w:val="22"/>
          <w:szCs w:val="22"/>
        </w:rPr>
        <w:t>4</w:t>
      </w:r>
      <w:r w:rsidR="00240E36">
        <w:rPr>
          <w:rFonts w:asciiTheme="majorHAnsi" w:eastAsiaTheme="majorEastAsia" w:hAnsiTheme="majorHAnsi" w:cstheme="majorBidi"/>
          <w:b/>
          <w:bCs/>
          <w:i w:val="0"/>
          <w:iCs w:val="0"/>
          <w:color w:val="auto"/>
          <w:sz w:val="22"/>
          <w:szCs w:val="22"/>
        </w:rPr>
        <w:fldChar w:fldCharType="end"/>
      </w:r>
      <w:r w:rsidR="00240E36">
        <w:rPr>
          <w:rFonts w:asciiTheme="majorHAnsi" w:eastAsiaTheme="majorEastAsia" w:hAnsiTheme="majorHAnsi" w:cstheme="majorBidi"/>
          <w:b/>
          <w:bCs/>
          <w:i w:val="0"/>
          <w:iCs w:val="0"/>
          <w:color w:val="auto"/>
          <w:sz w:val="22"/>
          <w:szCs w:val="22"/>
        </w:rPr>
        <w:t>.</w:t>
      </w:r>
      <w:r w:rsidR="00EB5B81">
        <w:rPr>
          <w:rFonts w:asciiTheme="majorHAnsi" w:eastAsiaTheme="majorEastAsia" w:hAnsiTheme="majorHAnsi" w:cstheme="majorBidi"/>
          <w:b/>
          <w:bCs/>
          <w:i w:val="0"/>
          <w:iCs w:val="0"/>
          <w:color w:val="auto"/>
          <w:sz w:val="22"/>
          <w:szCs w:val="22"/>
        </w:rPr>
        <w:fldChar w:fldCharType="begin"/>
      </w:r>
      <w:r w:rsidR="00EB5B81">
        <w:rPr>
          <w:rFonts w:asciiTheme="majorHAnsi" w:eastAsiaTheme="majorEastAsia" w:hAnsiTheme="majorHAnsi" w:cstheme="majorBidi"/>
          <w:b/>
          <w:bCs/>
          <w:i w:val="0"/>
          <w:iCs w:val="0"/>
          <w:color w:val="auto"/>
          <w:sz w:val="22"/>
          <w:szCs w:val="22"/>
        </w:rPr>
        <w:instrText xml:space="preserve"> SEQ Obrázek \* ARABIC \s 1 </w:instrText>
      </w:r>
      <w:r w:rsidR="00EB5B81">
        <w:rPr>
          <w:rFonts w:asciiTheme="majorHAnsi" w:eastAsiaTheme="majorEastAsia" w:hAnsiTheme="majorHAnsi" w:cstheme="majorBidi"/>
          <w:b/>
          <w:bCs/>
          <w:i w:val="0"/>
          <w:iCs w:val="0"/>
          <w:color w:val="auto"/>
          <w:sz w:val="22"/>
          <w:szCs w:val="22"/>
        </w:rPr>
        <w:fldChar w:fldCharType="separate"/>
      </w:r>
      <w:r w:rsidR="00EB5B81">
        <w:rPr>
          <w:rFonts w:asciiTheme="majorHAnsi" w:eastAsiaTheme="majorEastAsia" w:hAnsiTheme="majorHAnsi" w:cstheme="majorBidi"/>
          <w:b/>
          <w:bCs/>
          <w:i w:val="0"/>
          <w:iCs w:val="0"/>
          <w:noProof/>
          <w:color w:val="auto"/>
          <w:sz w:val="22"/>
          <w:szCs w:val="22"/>
        </w:rPr>
        <w:t>6</w:t>
      </w:r>
      <w:r w:rsidR="00EB5B81">
        <w:rPr>
          <w:rFonts w:asciiTheme="majorHAnsi" w:eastAsiaTheme="majorEastAsia" w:hAnsiTheme="majorHAnsi" w:cstheme="majorBidi"/>
          <w:b/>
          <w:bCs/>
          <w:i w:val="0"/>
          <w:iCs w:val="0"/>
          <w:color w:val="auto"/>
          <w:sz w:val="22"/>
          <w:szCs w:val="22"/>
        </w:rPr>
        <w:fldChar w:fldCharType="end"/>
      </w:r>
      <w:r w:rsidRPr="004B694B">
        <w:rPr>
          <w:rFonts w:asciiTheme="majorHAnsi" w:eastAsiaTheme="majorEastAsia" w:hAnsiTheme="majorHAnsi" w:cstheme="majorBidi"/>
          <w:b/>
          <w:bCs/>
          <w:i w:val="0"/>
          <w:iCs w:val="0"/>
          <w:color w:val="auto"/>
          <w:sz w:val="22"/>
          <w:szCs w:val="22"/>
        </w:rPr>
        <w:t>: Počty dosažitelných uchazečů o práci a volných pracovních míst ve městech a na venkově v ČR ve vybraných měsících let 2015-2017</w:t>
      </w:r>
      <w:bookmarkEnd w:id="147"/>
      <w:bookmarkEnd w:id="148"/>
      <w:bookmarkEnd w:id="149"/>
    </w:p>
    <w:p w14:paraId="35089F19" w14:textId="77777777" w:rsidR="001E245D" w:rsidRPr="004B694B" w:rsidRDefault="00143820" w:rsidP="004B694B">
      <w:pPr>
        <w:spacing w:before="0" w:line="240" w:lineRule="auto"/>
        <w:ind w:firstLine="0"/>
        <w:rPr>
          <w:rFonts w:asciiTheme="majorHAnsi" w:eastAsiaTheme="majorEastAsia" w:hAnsiTheme="majorHAnsi" w:cstheme="majorBidi"/>
          <w:i/>
          <w:iCs/>
          <w:sz w:val="18"/>
          <w:szCs w:val="18"/>
        </w:rPr>
      </w:pPr>
      <w:r w:rsidRPr="00A11EFF">
        <w:rPr>
          <w:rFonts w:asciiTheme="majorHAnsi" w:hAnsiTheme="majorHAnsi" w:cstheme="majorHAnsi"/>
          <w:i/>
          <w:noProof/>
        </w:rPr>
        <w:drawing>
          <wp:inline distT="0" distB="0" distL="0" distR="0" wp14:anchorId="1E9B6022" wp14:editId="49C3B7BE">
            <wp:extent cx="5705475" cy="2552700"/>
            <wp:effectExtent l="0" t="0" r="9525" b="0"/>
            <wp:docPr id="47" name="Graf 47">
              <a:extLst xmlns:a="http://schemas.openxmlformats.org/drawingml/2006/main">
                <a:ext uri="{FF2B5EF4-FFF2-40B4-BE49-F238E27FC236}">
                  <a16:creationId xmlns:a16="http://schemas.microsoft.com/office/drawing/2014/main" id="{7AF5A524-5A50-4501-8C7A-75ABCA218B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EE3C77" w:rsidRPr="004B694B">
        <w:rPr>
          <w:rFonts w:asciiTheme="majorHAnsi" w:eastAsiaTheme="majorEastAsia" w:hAnsiTheme="majorHAnsi" w:cstheme="majorBidi"/>
          <w:i/>
          <w:iCs/>
          <w:sz w:val="18"/>
          <w:szCs w:val="18"/>
        </w:rPr>
        <w:t xml:space="preserve"> Zdroj</w:t>
      </w:r>
      <w:r w:rsidRPr="004B694B">
        <w:rPr>
          <w:rFonts w:asciiTheme="majorHAnsi" w:eastAsiaTheme="majorEastAsia" w:hAnsiTheme="majorHAnsi" w:cstheme="majorBidi"/>
          <w:i/>
          <w:iCs/>
          <w:sz w:val="18"/>
          <w:szCs w:val="18"/>
        </w:rPr>
        <w:t xml:space="preserve">: Nezaměstnanost v obcích a mikroregionech v březnu, červnu, září a prosinci od 2015 do června 2017. MPSV 2016, 2017. </w:t>
      </w:r>
      <w:r w:rsidR="001E245D" w:rsidRPr="004B694B">
        <w:rPr>
          <w:rFonts w:asciiTheme="majorHAnsi" w:eastAsiaTheme="majorEastAsia" w:hAnsiTheme="majorHAnsi" w:cstheme="majorBidi"/>
          <w:i/>
          <w:iCs/>
          <w:sz w:val="18"/>
          <w:szCs w:val="18"/>
        </w:rPr>
        <w:t>Zpracování: ÚZEI</w:t>
      </w:r>
    </w:p>
    <w:p w14:paraId="26CC4465" w14:textId="77777777" w:rsidR="00143820" w:rsidRPr="00EF462E" w:rsidRDefault="00143820" w:rsidP="00EF462E">
      <w:pPr>
        <w:rPr>
          <w:i/>
          <w:color w:val="0070C0"/>
          <w:sz w:val="22"/>
          <w:szCs w:val="22"/>
        </w:rPr>
      </w:pPr>
    </w:p>
    <w:p w14:paraId="0568A705" w14:textId="77777777" w:rsidR="00143820" w:rsidRPr="004B694B" w:rsidRDefault="00143820" w:rsidP="004B694B">
      <w:pPr>
        <w:pStyle w:val="Titulek"/>
        <w:keepNext/>
        <w:spacing w:after="0"/>
        <w:ind w:firstLine="0"/>
        <w:jc w:val="left"/>
        <w:rPr>
          <w:rFonts w:asciiTheme="majorHAnsi" w:eastAsiaTheme="majorEastAsia" w:hAnsiTheme="majorHAnsi" w:cstheme="majorBidi"/>
          <w:b/>
          <w:bCs/>
          <w:i w:val="0"/>
          <w:iCs w:val="0"/>
          <w:color w:val="auto"/>
          <w:sz w:val="22"/>
          <w:szCs w:val="22"/>
        </w:rPr>
      </w:pPr>
      <w:bookmarkStart w:id="150" w:name="_Toc525727649"/>
      <w:bookmarkStart w:id="151" w:name="_Toc525735936"/>
      <w:bookmarkStart w:id="152" w:name="_Toc525738233"/>
      <w:r w:rsidRPr="004B694B">
        <w:rPr>
          <w:rFonts w:asciiTheme="majorHAnsi" w:eastAsiaTheme="majorEastAsia" w:hAnsiTheme="majorHAnsi" w:cstheme="majorBidi"/>
          <w:b/>
          <w:bCs/>
          <w:i w:val="0"/>
          <w:iCs w:val="0"/>
          <w:color w:val="auto"/>
          <w:sz w:val="22"/>
          <w:szCs w:val="22"/>
        </w:rPr>
        <w:t xml:space="preserve">Obrázek </w:t>
      </w:r>
      <w:r w:rsidR="005208F1">
        <w:rPr>
          <w:rFonts w:asciiTheme="majorHAnsi" w:eastAsiaTheme="majorEastAsia" w:hAnsiTheme="majorHAnsi" w:cstheme="majorBidi"/>
          <w:b/>
          <w:bCs/>
          <w:i w:val="0"/>
          <w:iCs w:val="0"/>
          <w:color w:val="auto"/>
          <w:sz w:val="22"/>
          <w:szCs w:val="22"/>
        </w:rPr>
        <w:t>7.</w:t>
      </w:r>
      <w:r w:rsidR="00240E36">
        <w:rPr>
          <w:rFonts w:asciiTheme="majorHAnsi" w:eastAsiaTheme="majorEastAsia" w:hAnsiTheme="majorHAnsi" w:cstheme="majorBidi"/>
          <w:b/>
          <w:bCs/>
          <w:i w:val="0"/>
          <w:iCs w:val="0"/>
          <w:color w:val="auto"/>
          <w:sz w:val="22"/>
          <w:szCs w:val="22"/>
        </w:rPr>
        <w:fldChar w:fldCharType="begin"/>
      </w:r>
      <w:r w:rsidR="00240E36">
        <w:rPr>
          <w:rFonts w:asciiTheme="majorHAnsi" w:eastAsiaTheme="majorEastAsia" w:hAnsiTheme="majorHAnsi" w:cstheme="majorBidi"/>
          <w:b/>
          <w:bCs/>
          <w:i w:val="0"/>
          <w:iCs w:val="0"/>
          <w:color w:val="auto"/>
          <w:sz w:val="22"/>
          <w:szCs w:val="22"/>
        </w:rPr>
        <w:instrText xml:space="preserve"> STYLEREF 1 \s </w:instrText>
      </w:r>
      <w:r w:rsidR="00240E36">
        <w:rPr>
          <w:rFonts w:asciiTheme="majorHAnsi" w:eastAsiaTheme="majorEastAsia" w:hAnsiTheme="majorHAnsi" w:cstheme="majorBidi"/>
          <w:b/>
          <w:bCs/>
          <w:i w:val="0"/>
          <w:iCs w:val="0"/>
          <w:color w:val="auto"/>
          <w:sz w:val="22"/>
          <w:szCs w:val="22"/>
        </w:rPr>
        <w:fldChar w:fldCharType="separate"/>
      </w:r>
      <w:r w:rsidR="00240E36">
        <w:rPr>
          <w:rFonts w:asciiTheme="majorHAnsi" w:eastAsiaTheme="majorEastAsia" w:hAnsiTheme="majorHAnsi" w:cstheme="majorBidi"/>
          <w:b/>
          <w:bCs/>
          <w:i w:val="0"/>
          <w:iCs w:val="0"/>
          <w:noProof/>
          <w:color w:val="auto"/>
          <w:sz w:val="22"/>
          <w:szCs w:val="22"/>
        </w:rPr>
        <w:t>4</w:t>
      </w:r>
      <w:r w:rsidR="00240E36">
        <w:rPr>
          <w:rFonts w:asciiTheme="majorHAnsi" w:eastAsiaTheme="majorEastAsia" w:hAnsiTheme="majorHAnsi" w:cstheme="majorBidi"/>
          <w:b/>
          <w:bCs/>
          <w:i w:val="0"/>
          <w:iCs w:val="0"/>
          <w:color w:val="auto"/>
          <w:sz w:val="22"/>
          <w:szCs w:val="22"/>
        </w:rPr>
        <w:fldChar w:fldCharType="end"/>
      </w:r>
      <w:r w:rsidR="00240E36">
        <w:rPr>
          <w:rFonts w:asciiTheme="majorHAnsi" w:eastAsiaTheme="majorEastAsia" w:hAnsiTheme="majorHAnsi" w:cstheme="majorBidi"/>
          <w:b/>
          <w:bCs/>
          <w:i w:val="0"/>
          <w:iCs w:val="0"/>
          <w:color w:val="auto"/>
          <w:sz w:val="22"/>
          <w:szCs w:val="22"/>
        </w:rPr>
        <w:t>.</w:t>
      </w:r>
      <w:r w:rsidR="00EB5B81">
        <w:rPr>
          <w:rFonts w:asciiTheme="majorHAnsi" w:eastAsiaTheme="majorEastAsia" w:hAnsiTheme="majorHAnsi" w:cstheme="majorBidi"/>
          <w:b/>
          <w:bCs/>
          <w:i w:val="0"/>
          <w:iCs w:val="0"/>
          <w:color w:val="auto"/>
          <w:sz w:val="22"/>
          <w:szCs w:val="22"/>
        </w:rPr>
        <w:fldChar w:fldCharType="begin"/>
      </w:r>
      <w:r w:rsidR="00EB5B81">
        <w:rPr>
          <w:rFonts w:asciiTheme="majorHAnsi" w:eastAsiaTheme="majorEastAsia" w:hAnsiTheme="majorHAnsi" w:cstheme="majorBidi"/>
          <w:b/>
          <w:bCs/>
          <w:i w:val="0"/>
          <w:iCs w:val="0"/>
          <w:color w:val="auto"/>
          <w:sz w:val="22"/>
          <w:szCs w:val="22"/>
        </w:rPr>
        <w:instrText xml:space="preserve"> SEQ Obrázek \* ARABIC \s 1 </w:instrText>
      </w:r>
      <w:r w:rsidR="00EB5B81">
        <w:rPr>
          <w:rFonts w:asciiTheme="majorHAnsi" w:eastAsiaTheme="majorEastAsia" w:hAnsiTheme="majorHAnsi" w:cstheme="majorBidi"/>
          <w:b/>
          <w:bCs/>
          <w:i w:val="0"/>
          <w:iCs w:val="0"/>
          <w:color w:val="auto"/>
          <w:sz w:val="22"/>
          <w:szCs w:val="22"/>
        </w:rPr>
        <w:fldChar w:fldCharType="separate"/>
      </w:r>
      <w:r w:rsidR="00EB5B81">
        <w:rPr>
          <w:rFonts w:asciiTheme="majorHAnsi" w:eastAsiaTheme="majorEastAsia" w:hAnsiTheme="majorHAnsi" w:cstheme="majorBidi"/>
          <w:b/>
          <w:bCs/>
          <w:i w:val="0"/>
          <w:iCs w:val="0"/>
          <w:noProof/>
          <w:color w:val="auto"/>
          <w:sz w:val="22"/>
          <w:szCs w:val="22"/>
        </w:rPr>
        <w:t>7</w:t>
      </w:r>
      <w:r w:rsidR="00EB5B81">
        <w:rPr>
          <w:rFonts w:asciiTheme="majorHAnsi" w:eastAsiaTheme="majorEastAsia" w:hAnsiTheme="majorHAnsi" w:cstheme="majorBidi"/>
          <w:b/>
          <w:bCs/>
          <w:i w:val="0"/>
          <w:iCs w:val="0"/>
          <w:color w:val="auto"/>
          <w:sz w:val="22"/>
          <w:szCs w:val="22"/>
        </w:rPr>
        <w:fldChar w:fldCharType="end"/>
      </w:r>
      <w:r w:rsidRPr="004B694B">
        <w:rPr>
          <w:rFonts w:asciiTheme="majorHAnsi" w:eastAsiaTheme="majorEastAsia" w:hAnsiTheme="majorHAnsi" w:cstheme="majorBidi"/>
          <w:b/>
          <w:bCs/>
          <w:i w:val="0"/>
          <w:iCs w:val="0"/>
          <w:color w:val="auto"/>
          <w:sz w:val="22"/>
          <w:szCs w:val="22"/>
        </w:rPr>
        <w:t>: Počet dosažitelných uchazečů o práci na jedno volné pracovní místo ve městě a na venkově v ČR ve vybraných měsících let 2015-2017</w:t>
      </w:r>
      <w:bookmarkEnd w:id="150"/>
      <w:bookmarkEnd w:id="151"/>
      <w:bookmarkEnd w:id="152"/>
    </w:p>
    <w:p w14:paraId="1ADC1381" w14:textId="77777777" w:rsidR="00143820" w:rsidRPr="0041427D" w:rsidRDefault="00143820" w:rsidP="00EF462E">
      <w:pPr>
        <w:pStyle w:val="Titulek"/>
        <w:spacing w:after="0"/>
        <w:ind w:firstLine="0"/>
        <w:rPr>
          <w:i w:val="0"/>
          <w:color w:val="0070C0"/>
          <w:szCs w:val="22"/>
        </w:rPr>
      </w:pPr>
      <w:r w:rsidRPr="0041427D">
        <w:rPr>
          <w:noProof/>
          <w:color w:val="0070C0"/>
        </w:rPr>
        <w:drawing>
          <wp:inline distT="0" distB="0" distL="0" distR="0" wp14:anchorId="746CC11F" wp14:editId="0B39BEF2">
            <wp:extent cx="5600700" cy="2390775"/>
            <wp:effectExtent l="0" t="0" r="0" b="9525"/>
            <wp:docPr id="48" name="Graf 48">
              <a:extLst xmlns:a="http://schemas.openxmlformats.org/drawingml/2006/main">
                <a:ext uri="{FF2B5EF4-FFF2-40B4-BE49-F238E27FC236}">
                  <a16:creationId xmlns:a16="http://schemas.microsoft.com/office/drawing/2014/main" id="{FE0EF13C-AA31-4A5C-8C9B-B4148EEC73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7E5078B" w14:textId="77777777" w:rsidR="00143820" w:rsidRPr="004B694B" w:rsidRDefault="00EE3C77" w:rsidP="004B694B">
      <w:pPr>
        <w:spacing w:before="0" w:line="240" w:lineRule="auto"/>
        <w:ind w:firstLine="0"/>
        <w:jc w:val="left"/>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w:t>
      </w:r>
      <w:r w:rsidR="00143820" w:rsidRPr="004B694B">
        <w:rPr>
          <w:rFonts w:asciiTheme="majorHAnsi" w:eastAsiaTheme="majorEastAsia" w:hAnsiTheme="majorHAnsi" w:cstheme="majorBidi"/>
          <w:i/>
          <w:iCs/>
          <w:sz w:val="18"/>
          <w:szCs w:val="18"/>
        </w:rPr>
        <w:t xml:space="preserve">: Nezaměstnanost v obcích a mikroregionech v březnu, červnu, září a prosinci od 2015 do června 2017. MPSV 2016, 2017. </w:t>
      </w:r>
      <w:r w:rsidR="001E245D" w:rsidRPr="004B694B">
        <w:rPr>
          <w:rFonts w:asciiTheme="majorHAnsi" w:eastAsiaTheme="majorEastAsia" w:hAnsiTheme="majorHAnsi" w:cstheme="majorBidi"/>
          <w:i/>
          <w:iCs/>
          <w:sz w:val="18"/>
          <w:szCs w:val="18"/>
        </w:rPr>
        <w:t>Zpracování: ÚZEI</w:t>
      </w:r>
    </w:p>
    <w:p w14:paraId="785F2480" w14:textId="77777777" w:rsidR="00143820" w:rsidRPr="008850C7" w:rsidRDefault="00143820" w:rsidP="00143820">
      <w:pPr>
        <w:spacing w:line="240" w:lineRule="auto"/>
      </w:pPr>
    </w:p>
    <w:p w14:paraId="75084DDD" w14:textId="77777777" w:rsidR="00143820" w:rsidRDefault="00143820" w:rsidP="00143820">
      <w:pPr>
        <w:spacing w:line="240" w:lineRule="auto"/>
        <w:rPr>
          <w:color w:val="00B0F0"/>
          <w:sz w:val="18"/>
          <w:szCs w:val="18"/>
        </w:rPr>
      </w:pPr>
    </w:p>
    <w:p w14:paraId="5AA011CB" w14:textId="77777777" w:rsidR="00143820" w:rsidRDefault="00143820" w:rsidP="00143820">
      <w:pPr>
        <w:spacing w:line="240" w:lineRule="auto"/>
        <w:rPr>
          <w:color w:val="00B0F0"/>
          <w:sz w:val="18"/>
          <w:szCs w:val="18"/>
        </w:rPr>
      </w:pPr>
    </w:p>
    <w:p w14:paraId="49D771FC" w14:textId="77777777" w:rsidR="00143820" w:rsidRDefault="00143820" w:rsidP="00143820">
      <w:pPr>
        <w:spacing w:line="240" w:lineRule="auto"/>
        <w:rPr>
          <w:color w:val="00B0F0"/>
          <w:sz w:val="18"/>
          <w:szCs w:val="18"/>
        </w:rPr>
      </w:pPr>
    </w:p>
    <w:p w14:paraId="693CB732" w14:textId="77777777" w:rsidR="00143820" w:rsidRDefault="00143820" w:rsidP="00143820">
      <w:pPr>
        <w:spacing w:line="240" w:lineRule="auto"/>
        <w:rPr>
          <w:color w:val="00B0F0"/>
          <w:sz w:val="18"/>
          <w:szCs w:val="18"/>
        </w:rPr>
      </w:pPr>
    </w:p>
    <w:p w14:paraId="594CF385" w14:textId="77777777" w:rsidR="00143820" w:rsidRDefault="00143820" w:rsidP="00143820">
      <w:pPr>
        <w:spacing w:line="240" w:lineRule="auto"/>
        <w:rPr>
          <w:color w:val="00B0F0"/>
          <w:sz w:val="18"/>
          <w:szCs w:val="18"/>
        </w:rPr>
      </w:pPr>
    </w:p>
    <w:p w14:paraId="782726E8" w14:textId="77777777" w:rsidR="00143820" w:rsidRDefault="00143820" w:rsidP="00143820">
      <w:pPr>
        <w:spacing w:line="240" w:lineRule="auto"/>
        <w:rPr>
          <w:color w:val="00B0F0"/>
          <w:sz w:val="18"/>
          <w:szCs w:val="18"/>
        </w:rPr>
      </w:pPr>
    </w:p>
    <w:p w14:paraId="110C7A36" w14:textId="77777777" w:rsidR="00143820" w:rsidRDefault="00143820" w:rsidP="00143820">
      <w:pPr>
        <w:spacing w:line="240" w:lineRule="auto"/>
        <w:rPr>
          <w:color w:val="00B0F0"/>
          <w:sz w:val="18"/>
          <w:szCs w:val="18"/>
        </w:rPr>
      </w:pPr>
    </w:p>
    <w:p w14:paraId="26B91AB2" w14:textId="77777777" w:rsidR="00143820" w:rsidRDefault="00143820" w:rsidP="00143820">
      <w:pPr>
        <w:spacing w:line="240" w:lineRule="auto"/>
        <w:rPr>
          <w:color w:val="00B0F0"/>
          <w:sz w:val="18"/>
          <w:szCs w:val="18"/>
        </w:rPr>
      </w:pPr>
    </w:p>
    <w:p w14:paraId="2641F788" w14:textId="77777777" w:rsidR="00143820" w:rsidRDefault="00143820" w:rsidP="00143820">
      <w:pPr>
        <w:spacing w:line="240" w:lineRule="auto"/>
        <w:rPr>
          <w:color w:val="00B0F0"/>
          <w:sz w:val="18"/>
          <w:szCs w:val="18"/>
        </w:rPr>
      </w:pPr>
    </w:p>
    <w:p w14:paraId="4BC1E037" w14:textId="77777777" w:rsidR="00143820" w:rsidRDefault="00143820" w:rsidP="00143820">
      <w:pPr>
        <w:spacing w:line="240" w:lineRule="auto"/>
        <w:rPr>
          <w:color w:val="00B0F0"/>
          <w:sz w:val="18"/>
          <w:szCs w:val="18"/>
        </w:rPr>
      </w:pPr>
    </w:p>
    <w:p w14:paraId="67C38694" w14:textId="77777777" w:rsidR="00143820" w:rsidRDefault="00143820" w:rsidP="00143820">
      <w:pPr>
        <w:spacing w:line="240" w:lineRule="auto"/>
        <w:rPr>
          <w:color w:val="00B0F0"/>
          <w:sz w:val="18"/>
          <w:szCs w:val="18"/>
        </w:rPr>
      </w:pPr>
    </w:p>
    <w:p w14:paraId="530ECB7C" w14:textId="77777777" w:rsidR="00143820" w:rsidRDefault="00143820" w:rsidP="00143820">
      <w:pPr>
        <w:spacing w:line="240" w:lineRule="auto"/>
        <w:rPr>
          <w:color w:val="00B0F0"/>
          <w:sz w:val="18"/>
          <w:szCs w:val="18"/>
        </w:rPr>
      </w:pPr>
    </w:p>
    <w:p w14:paraId="79A12737" w14:textId="77777777" w:rsidR="00143820" w:rsidRDefault="00143820" w:rsidP="00143820">
      <w:pPr>
        <w:spacing w:line="240" w:lineRule="auto"/>
        <w:rPr>
          <w:color w:val="00B0F0"/>
          <w:sz w:val="18"/>
          <w:szCs w:val="18"/>
        </w:rPr>
      </w:pPr>
    </w:p>
    <w:p w14:paraId="366A5AA6" w14:textId="77777777" w:rsidR="00143820" w:rsidRPr="004B694B" w:rsidRDefault="00143820" w:rsidP="004B694B">
      <w:pPr>
        <w:keepNext/>
        <w:spacing w:before="0" w:line="240" w:lineRule="auto"/>
        <w:ind w:firstLine="0"/>
        <w:jc w:val="left"/>
        <w:rPr>
          <w:rFonts w:asciiTheme="majorHAnsi" w:eastAsiaTheme="majorEastAsia" w:hAnsiTheme="majorHAnsi" w:cstheme="majorBidi"/>
          <w:b/>
          <w:bCs/>
          <w:sz w:val="22"/>
          <w:szCs w:val="22"/>
        </w:rPr>
      </w:pPr>
      <w:bookmarkStart w:id="153" w:name="_Toc525727650"/>
      <w:bookmarkStart w:id="154" w:name="_Toc525735937"/>
      <w:bookmarkStart w:id="155" w:name="_Toc525738234"/>
      <w:r w:rsidRPr="004B694B">
        <w:rPr>
          <w:rFonts w:asciiTheme="majorHAnsi" w:eastAsiaTheme="majorEastAsia" w:hAnsiTheme="majorHAnsi" w:cstheme="majorBidi"/>
          <w:b/>
          <w:bCs/>
          <w:sz w:val="22"/>
          <w:szCs w:val="22"/>
        </w:rPr>
        <w:lastRenderedPageBreak/>
        <w:t xml:space="preserve">Obrázek </w:t>
      </w:r>
      <w:r w:rsidR="005208F1">
        <w:rPr>
          <w:rFonts w:asciiTheme="majorHAnsi" w:eastAsiaTheme="majorEastAsia" w:hAnsiTheme="majorHAnsi" w:cstheme="majorBidi"/>
          <w:b/>
          <w:bCs/>
          <w:sz w:val="22"/>
          <w:szCs w:val="22"/>
        </w:rPr>
        <w:t>7.</w:t>
      </w:r>
      <w:r w:rsidR="00240E36">
        <w:rPr>
          <w:rFonts w:asciiTheme="majorHAnsi" w:eastAsiaTheme="majorEastAsia" w:hAnsiTheme="majorHAnsi" w:cstheme="majorBidi"/>
          <w:b/>
          <w:bCs/>
          <w:sz w:val="22"/>
          <w:szCs w:val="22"/>
        </w:rPr>
        <w:fldChar w:fldCharType="begin"/>
      </w:r>
      <w:r w:rsidR="00240E36">
        <w:rPr>
          <w:rFonts w:asciiTheme="majorHAnsi" w:eastAsiaTheme="majorEastAsia" w:hAnsiTheme="majorHAnsi" w:cstheme="majorBidi"/>
          <w:b/>
          <w:bCs/>
          <w:sz w:val="22"/>
          <w:szCs w:val="22"/>
        </w:rPr>
        <w:instrText xml:space="preserve"> STYLEREF 1 \s </w:instrText>
      </w:r>
      <w:r w:rsidR="00240E36">
        <w:rPr>
          <w:rFonts w:asciiTheme="majorHAnsi" w:eastAsiaTheme="majorEastAsia" w:hAnsiTheme="majorHAnsi" w:cstheme="majorBidi"/>
          <w:b/>
          <w:bCs/>
          <w:sz w:val="22"/>
          <w:szCs w:val="22"/>
        </w:rPr>
        <w:fldChar w:fldCharType="separate"/>
      </w:r>
      <w:r w:rsidR="00240E36">
        <w:rPr>
          <w:rFonts w:asciiTheme="majorHAnsi" w:eastAsiaTheme="majorEastAsia" w:hAnsiTheme="majorHAnsi" w:cstheme="majorBidi"/>
          <w:b/>
          <w:bCs/>
          <w:noProof/>
          <w:sz w:val="22"/>
          <w:szCs w:val="22"/>
        </w:rPr>
        <w:t>4</w:t>
      </w:r>
      <w:r w:rsidR="00240E36">
        <w:rPr>
          <w:rFonts w:asciiTheme="majorHAnsi" w:eastAsiaTheme="majorEastAsia" w:hAnsiTheme="majorHAnsi" w:cstheme="majorBidi"/>
          <w:b/>
          <w:bCs/>
          <w:sz w:val="22"/>
          <w:szCs w:val="22"/>
        </w:rPr>
        <w:fldChar w:fldCharType="end"/>
      </w:r>
      <w:r w:rsidR="00240E36">
        <w:rPr>
          <w:rFonts w:asciiTheme="majorHAnsi" w:eastAsiaTheme="majorEastAsia" w:hAnsiTheme="majorHAnsi" w:cstheme="majorBidi"/>
          <w:b/>
          <w:bCs/>
          <w:sz w:val="22"/>
          <w:szCs w:val="22"/>
        </w:rPr>
        <w:t>.</w:t>
      </w:r>
      <w:r w:rsidR="00EB5B81">
        <w:rPr>
          <w:rFonts w:asciiTheme="majorHAnsi" w:eastAsiaTheme="majorEastAsia" w:hAnsiTheme="majorHAnsi" w:cstheme="majorBidi"/>
          <w:b/>
          <w:bCs/>
          <w:sz w:val="22"/>
          <w:szCs w:val="22"/>
        </w:rPr>
        <w:fldChar w:fldCharType="begin"/>
      </w:r>
      <w:r w:rsidR="00EB5B81">
        <w:rPr>
          <w:rFonts w:asciiTheme="majorHAnsi" w:eastAsiaTheme="majorEastAsia" w:hAnsiTheme="majorHAnsi" w:cstheme="majorBidi"/>
          <w:b/>
          <w:bCs/>
          <w:sz w:val="22"/>
          <w:szCs w:val="22"/>
        </w:rPr>
        <w:instrText xml:space="preserve"> SEQ Obrázek \* ARABIC \s 1 </w:instrText>
      </w:r>
      <w:r w:rsidR="00EB5B81">
        <w:rPr>
          <w:rFonts w:asciiTheme="majorHAnsi" w:eastAsiaTheme="majorEastAsia" w:hAnsiTheme="majorHAnsi" w:cstheme="majorBidi"/>
          <w:b/>
          <w:bCs/>
          <w:sz w:val="22"/>
          <w:szCs w:val="22"/>
        </w:rPr>
        <w:fldChar w:fldCharType="separate"/>
      </w:r>
      <w:r w:rsidR="00EB5B81">
        <w:rPr>
          <w:rFonts w:asciiTheme="majorHAnsi" w:eastAsiaTheme="majorEastAsia" w:hAnsiTheme="majorHAnsi" w:cstheme="majorBidi"/>
          <w:b/>
          <w:bCs/>
          <w:noProof/>
          <w:sz w:val="22"/>
          <w:szCs w:val="22"/>
        </w:rPr>
        <w:t>8</w:t>
      </w:r>
      <w:r w:rsidR="00EB5B81">
        <w:rPr>
          <w:rFonts w:asciiTheme="majorHAnsi" w:eastAsiaTheme="majorEastAsia" w:hAnsiTheme="majorHAnsi" w:cstheme="majorBidi"/>
          <w:b/>
          <w:bCs/>
          <w:sz w:val="22"/>
          <w:szCs w:val="22"/>
        </w:rPr>
        <w:fldChar w:fldCharType="end"/>
      </w:r>
      <w:r w:rsidRPr="004B694B">
        <w:rPr>
          <w:rFonts w:asciiTheme="majorHAnsi" w:eastAsiaTheme="majorEastAsia" w:hAnsiTheme="majorHAnsi" w:cstheme="majorBidi"/>
          <w:b/>
          <w:bCs/>
          <w:sz w:val="22"/>
          <w:szCs w:val="22"/>
        </w:rPr>
        <w:t>: Počet dosažitelných uchazečů a volných pracovních míst ve velikostních skupinách obcí ČR v roce 2017 (průměr hodnot z března, června, září a prosince 2017)</w:t>
      </w:r>
      <w:bookmarkEnd w:id="153"/>
      <w:bookmarkEnd w:id="154"/>
      <w:bookmarkEnd w:id="155"/>
    </w:p>
    <w:p w14:paraId="29245AE9" w14:textId="77777777" w:rsidR="00143820" w:rsidRPr="00A4390C" w:rsidRDefault="00143820" w:rsidP="00EF462E">
      <w:pPr>
        <w:spacing w:line="240" w:lineRule="auto"/>
        <w:ind w:firstLine="0"/>
        <w:rPr>
          <w:rFonts w:cstheme="minorHAnsi"/>
          <w:i/>
          <w:color w:val="0070C0"/>
        </w:rPr>
      </w:pPr>
      <w:r w:rsidRPr="00A4390C">
        <w:rPr>
          <w:rFonts w:cstheme="minorHAnsi"/>
          <w:noProof/>
        </w:rPr>
        <w:drawing>
          <wp:inline distT="0" distB="0" distL="0" distR="0" wp14:anchorId="415F06FB" wp14:editId="759BA671">
            <wp:extent cx="5547872" cy="2043953"/>
            <wp:effectExtent l="0" t="0" r="15240" b="13970"/>
            <wp:docPr id="10" name="Graf 10">
              <a:extLst xmlns:a="http://schemas.openxmlformats.org/drawingml/2006/main">
                <a:ext uri="{FF2B5EF4-FFF2-40B4-BE49-F238E27FC236}">
                  <a16:creationId xmlns:a16="http://schemas.microsoft.com/office/drawing/2014/main" id="{0459DBC6-A37E-44E5-A6EF-B6F4D7EA99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2C076DB" w14:textId="77777777" w:rsidR="001E245D" w:rsidRPr="004B694B" w:rsidRDefault="00EE3C77"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w:t>
      </w:r>
      <w:r w:rsidR="00143820" w:rsidRPr="004B694B">
        <w:rPr>
          <w:rFonts w:asciiTheme="majorHAnsi" w:eastAsiaTheme="majorEastAsia" w:hAnsiTheme="majorHAnsi" w:cstheme="majorBidi"/>
          <w:i/>
          <w:iCs/>
          <w:sz w:val="18"/>
          <w:szCs w:val="18"/>
        </w:rPr>
        <w:t>: MPSV</w:t>
      </w:r>
    </w:p>
    <w:p w14:paraId="5C9CA412" w14:textId="77777777" w:rsidR="001E245D" w:rsidRPr="004B694B" w:rsidRDefault="001E245D"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Zpracování: ÚZEI</w:t>
      </w:r>
    </w:p>
    <w:p w14:paraId="004F31C4" w14:textId="77777777" w:rsidR="00143820" w:rsidRDefault="00143820" w:rsidP="00143820">
      <w:pPr>
        <w:rPr>
          <w:b/>
        </w:rPr>
      </w:pPr>
    </w:p>
    <w:p w14:paraId="7934DCE7" w14:textId="77777777" w:rsidR="00143820" w:rsidRPr="004B694B" w:rsidRDefault="00143820">
      <w:pPr>
        <w:ind w:firstLine="0"/>
        <w:rPr>
          <w:rFonts w:asciiTheme="majorHAnsi" w:eastAsiaTheme="majorEastAsia" w:hAnsiTheme="majorHAnsi" w:cstheme="majorBidi"/>
          <w:b/>
          <w:bCs/>
        </w:rPr>
      </w:pPr>
      <w:r w:rsidRPr="004B694B">
        <w:rPr>
          <w:rFonts w:asciiTheme="majorHAnsi" w:eastAsiaTheme="majorEastAsia" w:hAnsiTheme="majorHAnsi" w:cstheme="majorBidi"/>
          <w:b/>
          <w:bCs/>
        </w:rPr>
        <w:t xml:space="preserve">Mzdová úroveň na venkově </w:t>
      </w:r>
    </w:p>
    <w:p w14:paraId="7C0B8CAA" w14:textId="77777777" w:rsidR="00A11EFF" w:rsidRPr="00A11EFF" w:rsidRDefault="00A11EFF" w:rsidP="00143820">
      <w:pPr>
        <w:rPr>
          <w:rFonts w:asciiTheme="majorHAnsi" w:hAnsiTheme="majorHAnsi" w:cstheme="majorHAnsi"/>
          <w:b/>
          <w:szCs w:val="24"/>
        </w:rPr>
      </w:pPr>
    </w:p>
    <w:p w14:paraId="622062FF" w14:textId="77777777" w:rsidR="00143820" w:rsidRPr="00776DDB" w:rsidRDefault="00143820" w:rsidP="004B694B">
      <w:pPr>
        <w:pStyle w:val="Titulek"/>
        <w:keepNext/>
        <w:spacing w:after="0"/>
        <w:ind w:firstLine="0"/>
        <w:rPr>
          <w:rFonts w:asciiTheme="majorHAnsi" w:eastAsiaTheme="majorEastAsia" w:hAnsiTheme="majorHAnsi" w:cstheme="majorHAnsi"/>
          <w:b/>
          <w:bCs/>
          <w:i w:val="0"/>
          <w:iCs w:val="0"/>
          <w:color w:val="auto"/>
          <w:sz w:val="22"/>
          <w:szCs w:val="22"/>
        </w:rPr>
      </w:pPr>
      <w:bookmarkStart w:id="156" w:name="_Toc522869016"/>
      <w:r w:rsidRPr="00776DDB">
        <w:rPr>
          <w:rFonts w:asciiTheme="majorHAnsi" w:eastAsiaTheme="majorEastAsia" w:hAnsiTheme="majorHAnsi" w:cstheme="majorHAnsi"/>
          <w:b/>
          <w:bCs/>
          <w:i w:val="0"/>
          <w:iCs w:val="0"/>
          <w:color w:val="auto"/>
          <w:sz w:val="22"/>
          <w:szCs w:val="22"/>
        </w:rPr>
        <w:t xml:space="preserve">Tabulka </w:t>
      </w:r>
      <w:r w:rsidR="005208F1" w:rsidRPr="00776DDB">
        <w:rPr>
          <w:rFonts w:asciiTheme="majorHAnsi" w:eastAsiaTheme="majorEastAsia" w:hAnsiTheme="majorHAnsi" w:cstheme="majorHAnsi"/>
          <w:b/>
          <w:bCs/>
          <w:i w:val="0"/>
          <w:iCs w:val="0"/>
          <w:color w:val="auto"/>
          <w:sz w:val="22"/>
          <w:szCs w:val="22"/>
        </w:rPr>
        <w:t>7.</w:t>
      </w:r>
      <w:r w:rsidR="00E34D45" w:rsidRPr="00776DDB">
        <w:rPr>
          <w:rFonts w:asciiTheme="majorHAnsi" w:eastAsiaTheme="majorEastAsia" w:hAnsiTheme="majorHAnsi" w:cstheme="majorHAnsi"/>
          <w:b/>
          <w:bCs/>
          <w:i w:val="0"/>
          <w:iCs w:val="0"/>
          <w:color w:val="auto"/>
          <w:sz w:val="22"/>
          <w:szCs w:val="22"/>
        </w:rPr>
        <w:fldChar w:fldCharType="begin"/>
      </w:r>
      <w:r w:rsidR="00E34D45" w:rsidRPr="00776DDB">
        <w:rPr>
          <w:rFonts w:asciiTheme="majorHAnsi" w:eastAsiaTheme="majorEastAsia" w:hAnsiTheme="majorHAnsi" w:cstheme="majorHAnsi"/>
          <w:b/>
          <w:bCs/>
          <w:i w:val="0"/>
          <w:iCs w:val="0"/>
          <w:color w:val="auto"/>
          <w:sz w:val="22"/>
          <w:szCs w:val="22"/>
        </w:rPr>
        <w:instrText xml:space="preserve"> STYLEREF 1 \s </w:instrText>
      </w:r>
      <w:r w:rsidR="00E34D45" w:rsidRPr="00776DDB">
        <w:rPr>
          <w:rFonts w:asciiTheme="majorHAnsi" w:eastAsiaTheme="majorEastAsia" w:hAnsiTheme="majorHAnsi" w:cstheme="majorHAnsi"/>
          <w:b/>
          <w:bCs/>
          <w:i w:val="0"/>
          <w:iCs w:val="0"/>
          <w:color w:val="auto"/>
          <w:sz w:val="22"/>
          <w:szCs w:val="22"/>
        </w:rPr>
        <w:fldChar w:fldCharType="separate"/>
      </w:r>
      <w:r w:rsidR="00240E36" w:rsidRPr="00776DDB">
        <w:rPr>
          <w:rFonts w:asciiTheme="majorHAnsi" w:eastAsiaTheme="majorEastAsia" w:hAnsiTheme="majorHAnsi" w:cstheme="majorHAnsi"/>
          <w:b/>
          <w:bCs/>
          <w:i w:val="0"/>
          <w:iCs w:val="0"/>
          <w:noProof/>
          <w:color w:val="auto"/>
          <w:sz w:val="22"/>
          <w:szCs w:val="22"/>
        </w:rPr>
        <w:t>4</w:t>
      </w:r>
      <w:r w:rsidR="00E34D45" w:rsidRPr="00776DDB">
        <w:rPr>
          <w:rFonts w:asciiTheme="majorHAnsi" w:eastAsiaTheme="majorEastAsia" w:hAnsiTheme="majorHAnsi" w:cstheme="majorHAnsi"/>
          <w:b/>
          <w:bCs/>
          <w:i w:val="0"/>
          <w:iCs w:val="0"/>
          <w:color w:val="auto"/>
          <w:sz w:val="22"/>
          <w:szCs w:val="22"/>
        </w:rPr>
        <w:fldChar w:fldCharType="end"/>
      </w:r>
      <w:r w:rsidR="00E34D45" w:rsidRPr="00776DDB">
        <w:rPr>
          <w:rFonts w:asciiTheme="majorHAnsi" w:eastAsiaTheme="majorEastAsia" w:hAnsiTheme="majorHAnsi" w:cstheme="majorHAnsi"/>
          <w:b/>
          <w:bCs/>
          <w:i w:val="0"/>
          <w:iCs w:val="0"/>
          <w:color w:val="auto"/>
          <w:sz w:val="22"/>
          <w:szCs w:val="22"/>
        </w:rPr>
        <w:t>.</w:t>
      </w:r>
      <w:r w:rsidR="00E34D45" w:rsidRPr="00776DDB">
        <w:rPr>
          <w:rFonts w:asciiTheme="majorHAnsi" w:eastAsiaTheme="majorEastAsia" w:hAnsiTheme="majorHAnsi" w:cstheme="majorHAnsi"/>
          <w:b/>
          <w:bCs/>
          <w:i w:val="0"/>
          <w:iCs w:val="0"/>
          <w:color w:val="auto"/>
          <w:sz w:val="22"/>
          <w:szCs w:val="22"/>
        </w:rPr>
        <w:fldChar w:fldCharType="begin"/>
      </w:r>
      <w:r w:rsidR="00E34D45" w:rsidRPr="00776DDB">
        <w:rPr>
          <w:rFonts w:asciiTheme="majorHAnsi" w:eastAsiaTheme="majorEastAsia" w:hAnsiTheme="majorHAnsi" w:cstheme="majorHAnsi"/>
          <w:b/>
          <w:bCs/>
          <w:i w:val="0"/>
          <w:iCs w:val="0"/>
          <w:color w:val="auto"/>
          <w:sz w:val="22"/>
          <w:szCs w:val="22"/>
        </w:rPr>
        <w:instrText xml:space="preserve"> SEQ Tabulka \* ARABIC \s 1 </w:instrText>
      </w:r>
      <w:r w:rsidR="00E34D45" w:rsidRPr="00776DDB">
        <w:rPr>
          <w:rFonts w:asciiTheme="majorHAnsi" w:eastAsiaTheme="majorEastAsia" w:hAnsiTheme="majorHAnsi" w:cstheme="majorHAnsi"/>
          <w:b/>
          <w:bCs/>
          <w:i w:val="0"/>
          <w:iCs w:val="0"/>
          <w:color w:val="auto"/>
          <w:sz w:val="22"/>
          <w:szCs w:val="22"/>
        </w:rPr>
        <w:fldChar w:fldCharType="separate"/>
      </w:r>
      <w:r w:rsidR="00240E36" w:rsidRPr="00776DDB">
        <w:rPr>
          <w:rFonts w:asciiTheme="majorHAnsi" w:eastAsiaTheme="majorEastAsia" w:hAnsiTheme="majorHAnsi" w:cstheme="majorHAnsi"/>
          <w:b/>
          <w:bCs/>
          <w:i w:val="0"/>
          <w:iCs w:val="0"/>
          <w:noProof/>
          <w:color w:val="auto"/>
          <w:sz w:val="22"/>
          <w:szCs w:val="22"/>
        </w:rPr>
        <w:t>4</w:t>
      </w:r>
      <w:r w:rsidR="00E34D45" w:rsidRPr="00776DDB">
        <w:rPr>
          <w:rFonts w:asciiTheme="majorHAnsi" w:eastAsiaTheme="majorEastAsia" w:hAnsiTheme="majorHAnsi" w:cstheme="majorHAnsi"/>
          <w:b/>
          <w:bCs/>
          <w:i w:val="0"/>
          <w:iCs w:val="0"/>
          <w:color w:val="auto"/>
          <w:sz w:val="22"/>
          <w:szCs w:val="22"/>
        </w:rPr>
        <w:fldChar w:fldCharType="end"/>
      </w:r>
      <w:r w:rsidRPr="00776DDB">
        <w:rPr>
          <w:rFonts w:asciiTheme="majorHAnsi" w:eastAsiaTheme="majorEastAsia" w:hAnsiTheme="majorHAnsi" w:cstheme="majorHAnsi"/>
          <w:b/>
          <w:bCs/>
          <w:i w:val="0"/>
          <w:iCs w:val="0"/>
          <w:color w:val="auto"/>
          <w:sz w:val="22"/>
          <w:szCs w:val="22"/>
        </w:rPr>
        <w:t>: Vývoj průměrných mezd v</w:t>
      </w:r>
      <w:r w:rsidR="009C7431" w:rsidRPr="00776DDB">
        <w:rPr>
          <w:rFonts w:asciiTheme="majorHAnsi" w:eastAsiaTheme="majorEastAsia" w:hAnsiTheme="majorHAnsi" w:cstheme="majorHAnsi"/>
          <w:b/>
          <w:bCs/>
          <w:i w:val="0"/>
          <w:iCs w:val="0"/>
          <w:color w:val="auto"/>
          <w:sz w:val="22"/>
          <w:szCs w:val="22"/>
        </w:rPr>
        <w:t> </w:t>
      </w:r>
      <w:r w:rsidRPr="00776DDB">
        <w:rPr>
          <w:rFonts w:asciiTheme="majorHAnsi" w:eastAsiaTheme="majorEastAsia" w:hAnsiTheme="majorHAnsi" w:cstheme="majorHAnsi"/>
          <w:b/>
          <w:bCs/>
          <w:i w:val="0"/>
          <w:iCs w:val="0"/>
          <w:color w:val="auto"/>
          <w:sz w:val="22"/>
          <w:szCs w:val="22"/>
        </w:rPr>
        <w:t>krajích</w:t>
      </w:r>
      <w:r w:rsidR="009C7431" w:rsidRPr="00776DDB">
        <w:rPr>
          <w:rFonts w:asciiTheme="majorHAnsi" w:eastAsiaTheme="majorEastAsia" w:hAnsiTheme="majorHAnsi" w:cstheme="majorHAnsi"/>
          <w:b/>
          <w:bCs/>
          <w:i w:val="0"/>
          <w:iCs w:val="0"/>
          <w:color w:val="auto"/>
          <w:sz w:val="22"/>
          <w:szCs w:val="22"/>
        </w:rPr>
        <w:t xml:space="preserve"> a </w:t>
      </w:r>
      <w:r w:rsidR="009C7431" w:rsidRPr="00776DDB">
        <w:rPr>
          <w:rFonts w:asciiTheme="majorHAnsi" w:eastAsia="Calibri" w:hAnsiTheme="majorHAnsi" w:cstheme="majorHAnsi"/>
          <w:b/>
          <w:bCs/>
          <w:i w:val="0"/>
          <w:iCs w:val="0"/>
          <w:color w:val="auto"/>
          <w:sz w:val="22"/>
          <w:szCs w:val="22"/>
          <w:lang w:eastAsia="en-US"/>
        </w:rPr>
        <w:t>dle typologie městských a venkovských regionů (NUTS3)</w:t>
      </w:r>
      <w:r w:rsidRPr="00776DDB">
        <w:rPr>
          <w:rFonts w:asciiTheme="majorHAnsi" w:eastAsiaTheme="majorEastAsia" w:hAnsiTheme="majorHAnsi" w:cstheme="majorHAnsi"/>
          <w:b/>
          <w:bCs/>
          <w:i w:val="0"/>
          <w:iCs w:val="0"/>
          <w:color w:val="auto"/>
          <w:sz w:val="22"/>
          <w:szCs w:val="22"/>
        </w:rPr>
        <w:t xml:space="preserve"> v letech 2011-2017 (Kč)</w:t>
      </w:r>
      <w:bookmarkEnd w:id="156"/>
    </w:p>
    <w:p w14:paraId="0F82B99D" w14:textId="77777777" w:rsidR="00143820" w:rsidRDefault="00143820" w:rsidP="00EF462E">
      <w:pPr>
        <w:ind w:firstLine="0"/>
        <w:rPr>
          <w:b/>
          <w:i/>
          <w:sz w:val="18"/>
          <w:szCs w:val="18"/>
        </w:rPr>
      </w:pPr>
      <w:r w:rsidRPr="0073197E">
        <w:rPr>
          <w:noProof/>
        </w:rPr>
        <w:drawing>
          <wp:inline distT="0" distB="0" distL="0" distR="0" wp14:anchorId="6F4D4664" wp14:editId="02926896">
            <wp:extent cx="5114925" cy="366712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14925" cy="3667125"/>
                    </a:xfrm>
                    <a:prstGeom prst="rect">
                      <a:avLst/>
                    </a:prstGeom>
                    <a:noFill/>
                    <a:ln>
                      <a:noFill/>
                    </a:ln>
                  </pic:spPr>
                </pic:pic>
              </a:graphicData>
            </a:graphic>
          </wp:inline>
        </w:drawing>
      </w:r>
    </w:p>
    <w:p w14:paraId="251781DF" w14:textId="77777777" w:rsidR="00143820" w:rsidRPr="004B694B" w:rsidRDefault="00EE3C77"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w:t>
      </w:r>
      <w:r w:rsidR="00143820" w:rsidRPr="004B694B">
        <w:rPr>
          <w:rFonts w:asciiTheme="majorHAnsi" w:eastAsiaTheme="majorEastAsia" w:hAnsiTheme="majorHAnsi" w:cstheme="majorBidi"/>
          <w:i/>
          <w:iCs/>
          <w:sz w:val="18"/>
          <w:szCs w:val="18"/>
        </w:rPr>
        <w:t>: ČSÚ, Veřejná databáze</w:t>
      </w:r>
    </w:p>
    <w:p w14:paraId="11DE0694" w14:textId="77777777" w:rsidR="00143820" w:rsidRPr="0024166F" w:rsidRDefault="00143820" w:rsidP="00143820">
      <w:pPr>
        <w:rPr>
          <w:sz w:val="18"/>
          <w:szCs w:val="18"/>
        </w:rPr>
      </w:pPr>
    </w:p>
    <w:p w14:paraId="0DAF28F2" w14:textId="77777777" w:rsidR="00143820" w:rsidRPr="004B694B" w:rsidRDefault="00143820" w:rsidP="004B694B">
      <w:pPr>
        <w:pStyle w:val="Titulek"/>
        <w:keepNext/>
        <w:spacing w:after="0"/>
        <w:ind w:firstLine="0"/>
        <w:jc w:val="left"/>
        <w:rPr>
          <w:rFonts w:asciiTheme="minorHAnsi" w:eastAsiaTheme="minorEastAsia" w:hAnsiTheme="minorHAnsi" w:cstheme="minorBidi"/>
          <w:b/>
          <w:bCs/>
          <w:i w:val="0"/>
          <w:iCs w:val="0"/>
          <w:color w:val="auto"/>
          <w:sz w:val="22"/>
          <w:szCs w:val="22"/>
        </w:rPr>
      </w:pPr>
      <w:bookmarkStart w:id="157" w:name="_Toc525727651"/>
      <w:bookmarkStart w:id="158" w:name="_Toc525735938"/>
      <w:bookmarkStart w:id="159" w:name="_Toc525738235"/>
      <w:r w:rsidRPr="004B694B">
        <w:rPr>
          <w:rFonts w:asciiTheme="minorHAnsi" w:eastAsiaTheme="minorEastAsia" w:hAnsiTheme="minorHAnsi" w:cstheme="minorBidi"/>
          <w:b/>
          <w:bCs/>
          <w:i w:val="0"/>
          <w:iCs w:val="0"/>
          <w:color w:val="auto"/>
          <w:sz w:val="22"/>
          <w:szCs w:val="22"/>
        </w:rPr>
        <w:lastRenderedPageBreak/>
        <w:t xml:space="preserve">Obrázek </w:t>
      </w:r>
      <w:r w:rsidR="005208F1">
        <w:rPr>
          <w:rFonts w:asciiTheme="minorHAnsi" w:eastAsiaTheme="minorEastAsia" w:hAnsiTheme="minorHAnsi" w:cstheme="minorBidi"/>
          <w:b/>
          <w:bCs/>
          <w:i w:val="0"/>
          <w:iCs w:val="0"/>
          <w:color w:val="auto"/>
          <w:sz w:val="22"/>
          <w:szCs w:val="22"/>
        </w:rPr>
        <w:t>7.</w:t>
      </w:r>
      <w:r w:rsidR="00240E36">
        <w:rPr>
          <w:rFonts w:asciiTheme="minorHAnsi" w:eastAsiaTheme="minorEastAsia" w:hAnsiTheme="minorHAnsi" w:cstheme="minorBidi"/>
          <w:b/>
          <w:bCs/>
          <w:i w:val="0"/>
          <w:iCs w:val="0"/>
          <w:color w:val="auto"/>
          <w:sz w:val="22"/>
          <w:szCs w:val="22"/>
        </w:rPr>
        <w:fldChar w:fldCharType="begin"/>
      </w:r>
      <w:r w:rsidR="00240E36">
        <w:rPr>
          <w:rFonts w:asciiTheme="minorHAnsi" w:eastAsiaTheme="minorEastAsia" w:hAnsiTheme="minorHAnsi" w:cstheme="minorBidi"/>
          <w:b/>
          <w:bCs/>
          <w:i w:val="0"/>
          <w:iCs w:val="0"/>
          <w:color w:val="auto"/>
          <w:sz w:val="22"/>
          <w:szCs w:val="22"/>
        </w:rPr>
        <w:instrText xml:space="preserve"> STYLEREF 1 \s </w:instrText>
      </w:r>
      <w:r w:rsidR="00240E36">
        <w:rPr>
          <w:rFonts w:asciiTheme="minorHAnsi" w:eastAsiaTheme="minorEastAsia" w:hAnsiTheme="minorHAnsi" w:cstheme="minorBidi"/>
          <w:b/>
          <w:bCs/>
          <w:i w:val="0"/>
          <w:iCs w:val="0"/>
          <w:color w:val="auto"/>
          <w:sz w:val="22"/>
          <w:szCs w:val="22"/>
        </w:rPr>
        <w:fldChar w:fldCharType="separate"/>
      </w:r>
      <w:r w:rsidR="00240E36">
        <w:rPr>
          <w:rFonts w:asciiTheme="minorHAnsi" w:eastAsiaTheme="minorEastAsia" w:hAnsiTheme="minorHAnsi" w:cstheme="minorBidi"/>
          <w:b/>
          <w:bCs/>
          <w:i w:val="0"/>
          <w:iCs w:val="0"/>
          <w:noProof/>
          <w:color w:val="auto"/>
          <w:sz w:val="22"/>
          <w:szCs w:val="22"/>
        </w:rPr>
        <w:t>4</w:t>
      </w:r>
      <w:r w:rsidR="00240E36">
        <w:rPr>
          <w:rFonts w:asciiTheme="minorHAnsi" w:eastAsiaTheme="minorEastAsia" w:hAnsiTheme="minorHAnsi" w:cstheme="minorBidi"/>
          <w:b/>
          <w:bCs/>
          <w:i w:val="0"/>
          <w:iCs w:val="0"/>
          <w:color w:val="auto"/>
          <w:sz w:val="22"/>
          <w:szCs w:val="22"/>
        </w:rPr>
        <w:fldChar w:fldCharType="end"/>
      </w:r>
      <w:r w:rsidR="00240E36">
        <w:rPr>
          <w:rFonts w:asciiTheme="minorHAnsi" w:eastAsiaTheme="minorEastAsia" w:hAnsiTheme="minorHAnsi" w:cstheme="minorBidi"/>
          <w:b/>
          <w:bCs/>
          <w:i w:val="0"/>
          <w:iCs w:val="0"/>
          <w:color w:val="auto"/>
          <w:sz w:val="22"/>
          <w:szCs w:val="22"/>
        </w:rPr>
        <w:t>.</w:t>
      </w:r>
      <w:r w:rsidR="00EB5B81">
        <w:rPr>
          <w:rFonts w:asciiTheme="minorHAnsi" w:eastAsiaTheme="minorEastAsia" w:hAnsiTheme="minorHAnsi" w:cstheme="minorBidi"/>
          <w:b/>
          <w:bCs/>
          <w:i w:val="0"/>
          <w:iCs w:val="0"/>
          <w:color w:val="auto"/>
          <w:sz w:val="22"/>
          <w:szCs w:val="22"/>
        </w:rPr>
        <w:fldChar w:fldCharType="begin"/>
      </w:r>
      <w:r w:rsidR="00EB5B81">
        <w:rPr>
          <w:rFonts w:asciiTheme="minorHAnsi" w:eastAsiaTheme="minorEastAsia" w:hAnsiTheme="minorHAnsi" w:cstheme="minorBidi"/>
          <w:b/>
          <w:bCs/>
          <w:i w:val="0"/>
          <w:iCs w:val="0"/>
          <w:color w:val="auto"/>
          <w:sz w:val="22"/>
          <w:szCs w:val="22"/>
        </w:rPr>
        <w:instrText xml:space="preserve"> SEQ Obrázek \* ARABIC \s 1 </w:instrText>
      </w:r>
      <w:r w:rsidR="00EB5B81">
        <w:rPr>
          <w:rFonts w:asciiTheme="minorHAnsi" w:eastAsiaTheme="minorEastAsia" w:hAnsiTheme="minorHAnsi" w:cstheme="minorBidi"/>
          <w:b/>
          <w:bCs/>
          <w:i w:val="0"/>
          <w:iCs w:val="0"/>
          <w:color w:val="auto"/>
          <w:sz w:val="22"/>
          <w:szCs w:val="22"/>
        </w:rPr>
        <w:fldChar w:fldCharType="separate"/>
      </w:r>
      <w:r w:rsidR="00EB5B81">
        <w:rPr>
          <w:rFonts w:asciiTheme="minorHAnsi" w:eastAsiaTheme="minorEastAsia" w:hAnsiTheme="minorHAnsi" w:cstheme="minorBidi"/>
          <w:b/>
          <w:bCs/>
          <w:i w:val="0"/>
          <w:iCs w:val="0"/>
          <w:noProof/>
          <w:color w:val="auto"/>
          <w:sz w:val="22"/>
          <w:szCs w:val="22"/>
        </w:rPr>
        <w:t>9</w:t>
      </w:r>
      <w:r w:rsidR="00EB5B81">
        <w:rPr>
          <w:rFonts w:asciiTheme="minorHAnsi" w:eastAsiaTheme="minorEastAsia" w:hAnsiTheme="minorHAnsi" w:cstheme="minorBidi"/>
          <w:b/>
          <w:bCs/>
          <w:i w:val="0"/>
          <w:iCs w:val="0"/>
          <w:color w:val="auto"/>
          <w:sz w:val="22"/>
          <w:szCs w:val="22"/>
        </w:rPr>
        <w:fldChar w:fldCharType="end"/>
      </w:r>
      <w:r w:rsidRPr="004B694B">
        <w:rPr>
          <w:rFonts w:asciiTheme="minorHAnsi" w:eastAsiaTheme="minorEastAsia" w:hAnsiTheme="minorHAnsi" w:cstheme="minorBidi"/>
          <w:b/>
          <w:bCs/>
          <w:i w:val="0"/>
          <w:iCs w:val="0"/>
          <w:color w:val="auto"/>
          <w:sz w:val="22"/>
          <w:szCs w:val="22"/>
        </w:rPr>
        <w:t xml:space="preserve">: Vývoj průměrných mezd </w:t>
      </w:r>
      <w:r w:rsidR="00292D1A" w:rsidRPr="004B694B">
        <w:rPr>
          <w:rFonts w:ascii="Calibri" w:eastAsia="Calibri" w:hAnsi="Calibri" w:cs="Calibri"/>
          <w:b/>
          <w:bCs/>
          <w:i w:val="0"/>
          <w:iCs w:val="0"/>
          <w:color w:val="auto"/>
          <w:sz w:val="22"/>
          <w:szCs w:val="22"/>
          <w:lang w:eastAsia="en-US"/>
        </w:rPr>
        <w:t xml:space="preserve">dle typologie městských a venkovských regionů (NUTS3) </w:t>
      </w:r>
      <w:r w:rsidRPr="004B694B">
        <w:rPr>
          <w:rFonts w:asciiTheme="minorHAnsi" w:eastAsiaTheme="minorEastAsia" w:hAnsiTheme="minorHAnsi" w:cstheme="minorBidi"/>
          <w:b/>
          <w:bCs/>
          <w:i w:val="0"/>
          <w:iCs w:val="0"/>
          <w:color w:val="auto"/>
          <w:sz w:val="22"/>
          <w:szCs w:val="22"/>
        </w:rPr>
        <w:t>v letech 2011-2017 (Kč)</w:t>
      </w:r>
      <w:bookmarkEnd w:id="157"/>
      <w:bookmarkEnd w:id="158"/>
      <w:bookmarkEnd w:id="159"/>
    </w:p>
    <w:p w14:paraId="13C282D7" w14:textId="77777777" w:rsidR="00143820" w:rsidRDefault="00143820" w:rsidP="00EF462E">
      <w:pPr>
        <w:ind w:firstLine="0"/>
        <w:rPr>
          <w:b/>
        </w:rPr>
      </w:pPr>
      <w:r>
        <w:rPr>
          <w:noProof/>
        </w:rPr>
        <w:drawing>
          <wp:inline distT="0" distB="0" distL="0" distR="0" wp14:anchorId="45C2F884" wp14:editId="63C4B85E">
            <wp:extent cx="5610225" cy="2571750"/>
            <wp:effectExtent l="0" t="0" r="9525" b="0"/>
            <wp:docPr id="19" name="Graf 19">
              <a:extLst xmlns:a="http://schemas.openxmlformats.org/drawingml/2006/main">
                <a:ext uri="{FF2B5EF4-FFF2-40B4-BE49-F238E27FC236}">
                  <a16:creationId xmlns:a16="http://schemas.microsoft.com/office/drawing/2014/main" id="{946A4061-6F74-4276-870D-7C61C006B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8222B0E" w14:textId="77777777" w:rsidR="00143820" w:rsidRPr="004B694B" w:rsidRDefault="00EE3C77"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w:t>
      </w:r>
      <w:r w:rsidR="00143820" w:rsidRPr="004B694B">
        <w:rPr>
          <w:rFonts w:asciiTheme="majorHAnsi" w:eastAsiaTheme="majorEastAsia" w:hAnsiTheme="majorHAnsi" w:cstheme="majorBidi"/>
          <w:i/>
          <w:iCs/>
          <w:sz w:val="18"/>
          <w:szCs w:val="18"/>
        </w:rPr>
        <w:t>: ČSÚ, Veřejná databáze</w:t>
      </w:r>
    </w:p>
    <w:p w14:paraId="41DA6D5C" w14:textId="77777777" w:rsidR="00EF462E" w:rsidRDefault="00EF462E" w:rsidP="00143820">
      <w:pPr>
        <w:ind w:firstLine="708"/>
      </w:pPr>
    </w:p>
    <w:p w14:paraId="73A241E1" w14:textId="77777777" w:rsidR="00143820" w:rsidRDefault="00143820" w:rsidP="00EF462E">
      <w:r>
        <w:t xml:space="preserve">Nejvyšších průměrných mezd v ČR dosahovaly v období 2011-2017 převážně městské regiony, a to s poměrně velkým odstupem od regionů smíšených a převážně venkovských, přičemž mezi těmito dvěma kategoriemi regionů již byly rozdíly nepoměrně </w:t>
      </w:r>
      <w:r w:rsidRPr="00E87A90">
        <w:rPr>
          <w:color w:val="000000" w:themeColor="text1"/>
        </w:rPr>
        <w:t xml:space="preserve">menší (Obrázek </w:t>
      </w:r>
      <w:r w:rsidR="00776DDB">
        <w:rPr>
          <w:color w:val="000000" w:themeColor="text1"/>
        </w:rPr>
        <w:t>7.</w:t>
      </w:r>
      <w:r w:rsidRPr="00E87A90">
        <w:rPr>
          <w:color w:val="000000" w:themeColor="text1"/>
        </w:rPr>
        <w:t>4.9).</w:t>
      </w:r>
      <w:r w:rsidR="001A461C" w:rsidRPr="00E87A90">
        <w:rPr>
          <w:color w:val="000000" w:themeColor="text1"/>
        </w:rPr>
        <w:t xml:space="preserve"> </w:t>
      </w:r>
      <w:r w:rsidRPr="00E87A90">
        <w:rPr>
          <w:color w:val="000000" w:themeColor="text1"/>
        </w:rPr>
        <w:t xml:space="preserve">Převážně venkovské regiony tak ztrácely po celé období ve srovnání s převážně </w:t>
      </w:r>
      <w:r>
        <w:t xml:space="preserve">městskými regiony na průměrné mzdě 7,6-8,1 tis. Kč, zatímco k dosažení úrovně v regionech smíšených jim scházelo jen 0,6-0,7 tis. Kč. Relativně rostly mzdy nejpomaleji v převážně městských regionech (především v Hlavním městě Praze), ve zbývajících dvou kategoriích regionů bylo tempo růstu velmi podobné (přičemž nepatrně rychlejší bylo v regionech převážně venkovských). </w:t>
      </w:r>
    </w:p>
    <w:p w14:paraId="32C63E50" w14:textId="77777777" w:rsidR="00143820" w:rsidRDefault="00143820" w:rsidP="00143820">
      <w:r>
        <w:t>V rámci jednotlivých krajů ČR dosahovaly po celé období nejnižších mezd kraje Karlovarský (smíšený) a Zlínský (převážně venkovský; v podobné situaci se nachází i další kraj z této kategorie, a to Olomoucký). Naopak nejvyšší úroveň mezd drželo Hlavní město Praha – rozdíl při srovnání s krajem Karlovarským se pohyboval mezi 11,3-12 tis. Kč. Ve všech krajích narostl ve sledovaném období počet zaměstnanců, nejmasivněji v Praze a Středočeském kraji; výjimkou byl již zmíněný kraj Karlovarský a dále Ústecký, v nichž došlo k poklesu.</w:t>
      </w:r>
    </w:p>
    <w:p w14:paraId="7A515A5A" w14:textId="77777777" w:rsidR="004118D1" w:rsidRPr="00E87A90" w:rsidRDefault="004118D1" w:rsidP="68ED4599">
      <w:pPr>
        <w:rPr>
          <w:iCs/>
          <w:color w:val="000000" w:themeColor="text1"/>
        </w:rPr>
      </w:pPr>
      <w:r w:rsidRPr="00C150AD">
        <w:t>Porovnáme-li mediány mezd v krajích, získáme podobný obraz jako při porovnání mzdových průměrů, přičemž však rozdíly mezi kraji či jejich kategoriemi jsou poněkud nižší</w:t>
      </w:r>
      <w:r w:rsidRPr="00E87A90">
        <w:rPr>
          <w:color w:val="000000" w:themeColor="text1"/>
        </w:rPr>
        <w:t>.</w:t>
      </w:r>
    </w:p>
    <w:p w14:paraId="1E041FFD" w14:textId="77777777" w:rsidR="004118D1" w:rsidRDefault="004118D1" w:rsidP="004118D1">
      <w:pPr>
        <w:pStyle w:val="Titulek"/>
        <w:ind w:firstLine="0"/>
        <w:rPr>
          <w:rFonts w:asciiTheme="minorHAnsi" w:hAnsiTheme="minorHAnsi" w:cstheme="minorHAnsi"/>
          <w:i w:val="0"/>
          <w:color w:val="auto"/>
          <w:sz w:val="22"/>
          <w:szCs w:val="22"/>
        </w:rPr>
      </w:pPr>
    </w:p>
    <w:p w14:paraId="1F4BF8F7" w14:textId="77777777" w:rsidR="00A563BC" w:rsidRDefault="00A563BC">
      <w:pPr>
        <w:spacing w:before="0" w:after="160" w:line="259" w:lineRule="auto"/>
        <w:ind w:firstLine="0"/>
        <w:jc w:val="left"/>
        <w:rPr>
          <w:rFonts w:asciiTheme="minorHAnsi" w:hAnsiTheme="minorHAnsi" w:cstheme="minorHAnsi"/>
          <w:iCs/>
          <w:sz w:val="22"/>
          <w:szCs w:val="22"/>
        </w:rPr>
      </w:pPr>
      <w:r>
        <w:rPr>
          <w:rFonts w:asciiTheme="minorHAnsi" w:hAnsiTheme="minorHAnsi" w:cstheme="minorHAnsi"/>
          <w:i/>
          <w:sz w:val="22"/>
          <w:szCs w:val="22"/>
        </w:rPr>
        <w:br w:type="page"/>
      </w:r>
    </w:p>
    <w:p w14:paraId="409ADD38" w14:textId="77777777" w:rsidR="004118D1" w:rsidRDefault="00143820" w:rsidP="00143820">
      <w:r>
        <w:lastRenderedPageBreak/>
        <w:t xml:space="preserve">Zmíněné vysoké rozdíly v příjmové úrovni mezi převážně venkovskými a smíšenými regiony ve srovnání s převážně městskými regiony představují vážný problém – stimulují pracovníky z „chudších“ regionů k hledání lukrativnější práce v největším centru zaměstnanosti ve státě, tj. v Praze a Středočeském kraji. Sílu této přitažlivosti dokumentuje enormní nárůst počtu zaměstnanců v tomto centru v období 2011-17, tj. o téměř 13 % (zatímco za zbytek krajů ČR to bylo pouhých 3,4 %). Se změnou pracoviště souvisí často i trvalé přestěhování – v tomto případě do prostředí velkého města či jeho blízkého okolí. </w:t>
      </w:r>
    </w:p>
    <w:p w14:paraId="10257DBF" w14:textId="77777777" w:rsidR="000C6EEA" w:rsidRDefault="000C6EEA" w:rsidP="000C6EEA">
      <w:r>
        <w:tab/>
        <w:t xml:space="preserve">Úroveň mezd v zemědělství, v průmyslu a v NH v jednotlivých krajích v časové řadě (viz Obr. </w:t>
      </w:r>
      <w:r w:rsidR="005208F1">
        <w:t>7.</w:t>
      </w:r>
      <w:r>
        <w:t>4.1</w:t>
      </w:r>
      <w:r w:rsidR="002507F9">
        <w:t>0</w:t>
      </w:r>
      <w:r>
        <w:t>–</w:t>
      </w:r>
      <w:r w:rsidR="005208F1">
        <w:t>7.</w:t>
      </w:r>
      <w:r>
        <w:t>4.1</w:t>
      </w:r>
      <w:r w:rsidR="002507F9">
        <w:t>5</w:t>
      </w:r>
      <w:r>
        <w:t xml:space="preserve">) dokládá nepříznivou pozici zemědělství i z regionálního pohledu. </w:t>
      </w:r>
    </w:p>
    <w:p w14:paraId="0955B80B" w14:textId="77777777" w:rsidR="000C6EEA" w:rsidRPr="004E296E" w:rsidRDefault="000C6EEA" w:rsidP="004E296E">
      <w:pPr>
        <w:ind w:firstLine="0"/>
        <w:rPr>
          <w:sz w:val="22"/>
          <w:szCs w:val="22"/>
        </w:rPr>
      </w:pPr>
      <w:bookmarkStart w:id="160" w:name="_Toc520294115"/>
    </w:p>
    <w:p w14:paraId="3882458E" w14:textId="77777777" w:rsidR="00240E36" w:rsidRPr="00240E36" w:rsidRDefault="00240E36" w:rsidP="00240E36">
      <w:pPr>
        <w:pStyle w:val="Titulek"/>
        <w:keepNext/>
        <w:ind w:firstLine="0"/>
        <w:rPr>
          <w:rFonts w:asciiTheme="majorHAnsi" w:hAnsiTheme="majorHAnsi" w:cstheme="majorHAnsi"/>
          <w:b/>
          <w:i w:val="0"/>
          <w:color w:val="000000" w:themeColor="text1"/>
          <w:sz w:val="22"/>
          <w:szCs w:val="22"/>
        </w:rPr>
      </w:pPr>
      <w:bookmarkStart w:id="161" w:name="_Toc525727653"/>
      <w:bookmarkStart w:id="162" w:name="_Toc525735940"/>
      <w:bookmarkStart w:id="163" w:name="_Toc525738237"/>
      <w:bookmarkEnd w:id="160"/>
      <w:r w:rsidRPr="00240E36">
        <w:rPr>
          <w:rFonts w:asciiTheme="majorHAnsi" w:hAnsiTheme="majorHAnsi" w:cstheme="majorHAnsi"/>
          <w:b/>
          <w:i w:val="0"/>
          <w:color w:val="000000" w:themeColor="text1"/>
          <w:sz w:val="22"/>
          <w:szCs w:val="22"/>
        </w:rPr>
        <w:t xml:space="preserve">Obrázek </w:t>
      </w:r>
      <w:r w:rsidR="005208F1">
        <w:rPr>
          <w:rFonts w:asciiTheme="majorHAnsi" w:hAnsiTheme="majorHAnsi" w:cstheme="majorHAnsi"/>
          <w:b/>
          <w:i w:val="0"/>
          <w:color w:val="000000" w:themeColor="text1"/>
          <w:sz w:val="22"/>
          <w:szCs w:val="22"/>
        </w:rPr>
        <w:t>7.</w:t>
      </w:r>
      <w:r>
        <w:rPr>
          <w:rFonts w:asciiTheme="majorHAnsi" w:hAnsiTheme="majorHAnsi" w:cstheme="majorHAnsi"/>
          <w:b/>
          <w:i w:val="0"/>
          <w:color w:val="000000" w:themeColor="text1"/>
          <w:sz w:val="22"/>
          <w:szCs w:val="22"/>
        </w:rPr>
        <w:fldChar w:fldCharType="begin"/>
      </w:r>
      <w:r>
        <w:rPr>
          <w:rFonts w:asciiTheme="majorHAnsi" w:hAnsiTheme="majorHAnsi" w:cstheme="majorHAnsi"/>
          <w:b/>
          <w:i w:val="0"/>
          <w:color w:val="000000" w:themeColor="text1"/>
          <w:sz w:val="22"/>
          <w:szCs w:val="22"/>
        </w:rPr>
        <w:instrText xml:space="preserve"> STYLEREF 1 \s </w:instrText>
      </w:r>
      <w:r>
        <w:rPr>
          <w:rFonts w:asciiTheme="majorHAnsi" w:hAnsiTheme="majorHAnsi" w:cstheme="majorHAnsi"/>
          <w:b/>
          <w:i w:val="0"/>
          <w:color w:val="000000" w:themeColor="text1"/>
          <w:sz w:val="22"/>
          <w:szCs w:val="22"/>
        </w:rPr>
        <w:fldChar w:fldCharType="separate"/>
      </w:r>
      <w:r>
        <w:rPr>
          <w:rFonts w:asciiTheme="majorHAnsi" w:hAnsiTheme="majorHAnsi" w:cstheme="majorHAnsi"/>
          <w:b/>
          <w:i w:val="0"/>
          <w:noProof/>
          <w:color w:val="000000" w:themeColor="text1"/>
          <w:sz w:val="22"/>
          <w:szCs w:val="22"/>
        </w:rPr>
        <w:t>4</w:t>
      </w:r>
      <w:r>
        <w:rPr>
          <w:rFonts w:asciiTheme="majorHAnsi" w:hAnsiTheme="majorHAnsi" w:cstheme="majorHAnsi"/>
          <w:b/>
          <w:i w:val="0"/>
          <w:color w:val="000000" w:themeColor="text1"/>
          <w:sz w:val="22"/>
          <w:szCs w:val="22"/>
        </w:rPr>
        <w:fldChar w:fldCharType="end"/>
      </w:r>
      <w:r>
        <w:rPr>
          <w:rFonts w:asciiTheme="majorHAnsi" w:hAnsiTheme="majorHAnsi" w:cstheme="majorHAnsi"/>
          <w:b/>
          <w:i w:val="0"/>
          <w:color w:val="000000" w:themeColor="text1"/>
          <w:sz w:val="22"/>
          <w:szCs w:val="22"/>
        </w:rPr>
        <w:t>.</w:t>
      </w:r>
      <w:r w:rsidR="00EB5B81">
        <w:rPr>
          <w:rFonts w:asciiTheme="majorHAnsi" w:hAnsiTheme="majorHAnsi" w:cstheme="majorHAnsi"/>
          <w:b/>
          <w:i w:val="0"/>
          <w:color w:val="000000" w:themeColor="text1"/>
          <w:sz w:val="22"/>
          <w:szCs w:val="22"/>
        </w:rPr>
        <w:fldChar w:fldCharType="begin"/>
      </w:r>
      <w:r w:rsidR="00EB5B81">
        <w:rPr>
          <w:rFonts w:asciiTheme="majorHAnsi" w:hAnsiTheme="majorHAnsi" w:cstheme="majorHAnsi"/>
          <w:b/>
          <w:i w:val="0"/>
          <w:color w:val="000000" w:themeColor="text1"/>
          <w:sz w:val="22"/>
          <w:szCs w:val="22"/>
        </w:rPr>
        <w:instrText xml:space="preserve"> SEQ Obrázek \* ARABIC \s 1 </w:instrText>
      </w:r>
      <w:r w:rsidR="00EB5B81">
        <w:rPr>
          <w:rFonts w:asciiTheme="majorHAnsi" w:hAnsiTheme="majorHAnsi" w:cstheme="majorHAnsi"/>
          <w:b/>
          <w:i w:val="0"/>
          <w:color w:val="000000" w:themeColor="text1"/>
          <w:sz w:val="22"/>
          <w:szCs w:val="22"/>
        </w:rPr>
        <w:fldChar w:fldCharType="separate"/>
      </w:r>
      <w:r w:rsidR="00EB5B81">
        <w:rPr>
          <w:rFonts w:asciiTheme="majorHAnsi" w:hAnsiTheme="majorHAnsi" w:cstheme="majorHAnsi"/>
          <w:b/>
          <w:i w:val="0"/>
          <w:noProof/>
          <w:color w:val="000000" w:themeColor="text1"/>
          <w:sz w:val="22"/>
          <w:szCs w:val="22"/>
        </w:rPr>
        <w:t>1</w:t>
      </w:r>
      <w:r w:rsidR="00EB5B81">
        <w:rPr>
          <w:rFonts w:asciiTheme="majorHAnsi" w:hAnsiTheme="majorHAnsi" w:cstheme="majorHAnsi"/>
          <w:b/>
          <w:i w:val="0"/>
          <w:color w:val="000000" w:themeColor="text1"/>
          <w:sz w:val="22"/>
          <w:szCs w:val="22"/>
        </w:rPr>
        <w:fldChar w:fldCharType="end"/>
      </w:r>
      <w:r w:rsidR="002507F9">
        <w:rPr>
          <w:rFonts w:asciiTheme="majorHAnsi" w:hAnsiTheme="majorHAnsi" w:cstheme="majorHAnsi"/>
          <w:b/>
          <w:i w:val="0"/>
          <w:color w:val="000000" w:themeColor="text1"/>
          <w:sz w:val="22"/>
          <w:szCs w:val="22"/>
        </w:rPr>
        <w:t>0</w:t>
      </w:r>
      <w:r w:rsidRPr="00240E36">
        <w:rPr>
          <w:rFonts w:asciiTheme="majorHAnsi" w:hAnsiTheme="majorHAnsi" w:cstheme="majorHAnsi"/>
          <w:b/>
          <w:i w:val="0"/>
          <w:color w:val="000000" w:themeColor="text1"/>
          <w:sz w:val="22"/>
          <w:szCs w:val="22"/>
        </w:rPr>
        <w:t xml:space="preserve">: </w:t>
      </w:r>
      <w:r w:rsidRPr="004E296E">
        <w:rPr>
          <w:rFonts w:asciiTheme="majorHAnsi" w:hAnsiTheme="majorHAnsi" w:cstheme="majorHAnsi"/>
          <w:b/>
          <w:i w:val="0"/>
          <w:color w:val="000000" w:themeColor="text1"/>
          <w:sz w:val="22"/>
          <w:szCs w:val="22"/>
        </w:rPr>
        <w:t>Průměrné mzdy v krajích regionu soudržnosti Praha a Střední Čechy v zemědělství, průmyslu a NH (v Kč)</w:t>
      </w:r>
      <w:bookmarkEnd w:id="161"/>
      <w:bookmarkEnd w:id="162"/>
      <w:bookmarkEnd w:id="163"/>
    </w:p>
    <w:p w14:paraId="78B31DF7" w14:textId="77777777" w:rsidR="000C6EEA" w:rsidRDefault="000C6EEA" w:rsidP="000C6EEA">
      <w:pPr>
        <w:pStyle w:val="Titulek"/>
        <w:spacing w:after="0"/>
        <w:ind w:firstLine="0"/>
        <w:rPr>
          <w:rFonts w:asciiTheme="majorHAnsi" w:hAnsiTheme="majorHAnsi" w:cstheme="majorHAnsi"/>
          <w:color w:val="auto"/>
        </w:rPr>
      </w:pPr>
      <w:r>
        <w:rPr>
          <w:noProof/>
        </w:rPr>
        <w:drawing>
          <wp:inline distT="0" distB="0" distL="0" distR="0" wp14:anchorId="0CE1EBE2" wp14:editId="5222E8A2">
            <wp:extent cx="4572000" cy="2743200"/>
            <wp:effectExtent l="0" t="0" r="0" b="0"/>
            <wp:docPr id="18" name="Graf 18">
              <a:extLst xmlns:a="http://schemas.openxmlformats.org/drawingml/2006/main">
                <a:ext uri="{FF2B5EF4-FFF2-40B4-BE49-F238E27FC236}">
                  <a16:creationId xmlns:a16="http://schemas.microsoft.com/office/drawing/2014/main" id="{8C848F97-C1D9-49CB-BED7-131F898E74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A919494" w14:textId="77777777" w:rsidR="000C6EEA" w:rsidRDefault="000C6EEA" w:rsidP="005208F1">
      <w:pPr>
        <w:pStyle w:val="Titulek"/>
        <w:spacing w:after="0"/>
        <w:ind w:firstLine="0"/>
        <w:rPr>
          <w:rFonts w:asciiTheme="majorHAnsi" w:hAnsiTheme="majorHAnsi" w:cstheme="majorHAnsi"/>
          <w:color w:val="auto"/>
        </w:rPr>
      </w:pPr>
      <w:r w:rsidRPr="00DD7469">
        <w:rPr>
          <w:rFonts w:asciiTheme="majorHAnsi" w:hAnsiTheme="majorHAnsi" w:cstheme="majorHAnsi"/>
          <w:color w:val="auto"/>
        </w:rPr>
        <w:t xml:space="preserve">Zdroj: </w:t>
      </w:r>
      <w:r>
        <w:rPr>
          <w:rFonts w:asciiTheme="majorHAnsi" w:hAnsiTheme="majorHAnsi" w:cstheme="majorHAnsi"/>
          <w:color w:val="auto"/>
        </w:rPr>
        <w:t xml:space="preserve">Krajské ročenky, </w:t>
      </w:r>
      <w:r w:rsidRPr="00DD7469">
        <w:rPr>
          <w:rFonts w:asciiTheme="majorHAnsi" w:hAnsiTheme="majorHAnsi" w:cstheme="majorHAnsi"/>
          <w:color w:val="auto"/>
        </w:rPr>
        <w:t>ČSÚ</w:t>
      </w:r>
      <w:r>
        <w:rPr>
          <w:rFonts w:asciiTheme="majorHAnsi" w:hAnsiTheme="majorHAnsi" w:cstheme="majorHAnsi"/>
          <w:color w:val="auto"/>
        </w:rPr>
        <w:t xml:space="preserve"> 2013-2017</w:t>
      </w:r>
    </w:p>
    <w:p w14:paraId="0DFDB162" w14:textId="77777777" w:rsidR="000C6EEA" w:rsidRPr="00B671D3" w:rsidRDefault="000C6EEA" w:rsidP="005208F1">
      <w:pPr>
        <w:spacing w:before="0" w:line="240" w:lineRule="auto"/>
        <w:ind w:firstLine="0"/>
        <w:rPr>
          <w:rFonts w:ascii="Calibri" w:hAnsi="Calibri"/>
          <w:i/>
          <w:iCs/>
          <w:color w:val="000000"/>
          <w:sz w:val="18"/>
          <w:szCs w:val="18"/>
        </w:rPr>
      </w:pPr>
      <w:r w:rsidRPr="00B671D3">
        <w:rPr>
          <w:rFonts w:ascii="Calibri" w:hAnsi="Calibri"/>
          <w:i/>
          <w:iCs/>
          <w:color w:val="000000"/>
          <w:sz w:val="18"/>
          <w:szCs w:val="18"/>
        </w:rPr>
        <w:t>Zpracování: ÚZEI</w:t>
      </w:r>
    </w:p>
    <w:p w14:paraId="588AB83E" w14:textId="77777777" w:rsidR="000C6EEA" w:rsidRDefault="000C6EEA" w:rsidP="005208F1">
      <w:pPr>
        <w:pStyle w:val="Titulek"/>
        <w:spacing w:after="0"/>
        <w:ind w:firstLine="0"/>
        <w:rPr>
          <w:rFonts w:asciiTheme="majorHAnsi" w:hAnsiTheme="majorHAnsi" w:cstheme="majorHAnsi"/>
          <w:color w:val="auto"/>
        </w:rPr>
      </w:pPr>
      <w:r>
        <w:rPr>
          <w:rFonts w:asciiTheme="majorHAnsi" w:hAnsiTheme="majorHAnsi" w:cstheme="majorHAnsi"/>
          <w:color w:val="auto"/>
        </w:rPr>
        <w:t>Zkratky: PHA – Hl. m. Praha; STC – Středočeský</w:t>
      </w:r>
    </w:p>
    <w:p w14:paraId="5CCB12D7" w14:textId="77777777" w:rsidR="000C6EEA" w:rsidRDefault="000C6EEA" w:rsidP="004E296E">
      <w:pPr>
        <w:ind w:firstLine="0"/>
      </w:pPr>
    </w:p>
    <w:p w14:paraId="759EA6A8" w14:textId="77777777" w:rsidR="00240E36" w:rsidRPr="00240E36" w:rsidRDefault="00240E36" w:rsidP="00240E36">
      <w:pPr>
        <w:pStyle w:val="Titulek"/>
        <w:keepNext/>
        <w:ind w:firstLine="0"/>
        <w:rPr>
          <w:rFonts w:asciiTheme="majorHAnsi" w:hAnsiTheme="majorHAnsi" w:cstheme="majorHAnsi"/>
          <w:b/>
          <w:i w:val="0"/>
          <w:color w:val="000000" w:themeColor="text1"/>
          <w:sz w:val="22"/>
          <w:szCs w:val="22"/>
        </w:rPr>
      </w:pPr>
      <w:bookmarkStart w:id="164" w:name="_Toc525727654"/>
      <w:bookmarkStart w:id="165" w:name="_Toc525735941"/>
      <w:bookmarkStart w:id="166" w:name="_Toc525738238"/>
      <w:r w:rsidRPr="00240E36">
        <w:rPr>
          <w:rFonts w:asciiTheme="majorHAnsi" w:hAnsiTheme="majorHAnsi" w:cstheme="majorHAnsi"/>
          <w:b/>
          <w:i w:val="0"/>
          <w:color w:val="000000" w:themeColor="text1"/>
          <w:sz w:val="22"/>
          <w:szCs w:val="22"/>
        </w:rPr>
        <w:lastRenderedPageBreak/>
        <w:t xml:space="preserve">Obrázek </w:t>
      </w:r>
      <w:r w:rsidR="005208F1">
        <w:rPr>
          <w:rFonts w:asciiTheme="majorHAnsi" w:hAnsiTheme="majorHAnsi" w:cstheme="majorHAnsi"/>
          <w:b/>
          <w:i w:val="0"/>
          <w:color w:val="000000" w:themeColor="text1"/>
          <w:sz w:val="22"/>
          <w:szCs w:val="22"/>
        </w:rPr>
        <w:t>7.</w:t>
      </w:r>
      <w:r>
        <w:rPr>
          <w:rFonts w:asciiTheme="majorHAnsi" w:hAnsiTheme="majorHAnsi" w:cstheme="majorHAnsi"/>
          <w:b/>
          <w:i w:val="0"/>
          <w:color w:val="000000" w:themeColor="text1"/>
          <w:sz w:val="22"/>
          <w:szCs w:val="22"/>
        </w:rPr>
        <w:fldChar w:fldCharType="begin"/>
      </w:r>
      <w:r>
        <w:rPr>
          <w:rFonts w:asciiTheme="majorHAnsi" w:hAnsiTheme="majorHAnsi" w:cstheme="majorHAnsi"/>
          <w:b/>
          <w:i w:val="0"/>
          <w:color w:val="000000" w:themeColor="text1"/>
          <w:sz w:val="22"/>
          <w:szCs w:val="22"/>
        </w:rPr>
        <w:instrText xml:space="preserve"> STYLEREF 1 \s </w:instrText>
      </w:r>
      <w:r>
        <w:rPr>
          <w:rFonts w:asciiTheme="majorHAnsi" w:hAnsiTheme="majorHAnsi" w:cstheme="majorHAnsi"/>
          <w:b/>
          <w:i w:val="0"/>
          <w:color w:val="000000" w:themeColor="text1"/>
          <w:sz w:val="22"/>
          <w:szCs w:val="22"/>
        </w:rPr>
        <w:fldChar w:fldCharType="separate"/>
      </w:r>
      <w:r>
        <w:rPr>
          <w:rFonts w:asciiTheme="majorHAnsi" w:hAnsiTheme="majorHAnsi" w:cstheme="majorHAnsi"/>
          <w:b/>
          <w:i w:val="0"/>
          <w:noProof/>
          <w:color w:val="000000" w:themeColor="text1"/>
          <w:sz w:val="22"/>
          <w:szCs w:val="22"/>
        </w:rPr>
        <w:t>4</w:t>
      </w:r>
      <w:r>
        <w:rPr>
          <w:rFonts w:asciiTheme="majorHAnsi" w:hAnsiTheme="majorHAnsi" w:cstheme="majorHAnsi"/>
          <w:b/>
          <w:i w:val="0"/>
          <w:color w:val="000000" w:themeColor="text1"/>
          <w:sz w:val="22"/>
          <w:szCs w:val="22"/>
        </w:rPr>
        <w:fldChar w:fldCharType="end"/>
      </w:r>
      <w:r>
        <w:rPr>
          <w:rFonts w:asciiTheme="majorHAnsi" w:hAnsiTheme="majorHAnsi" w:cstheme="majorHAnsi"/>
          <w:b/>
          <w:i w:val="0"/>
          <w:color w:val="000000" w:themeColor="text1"/>
          <w:sz w:val="22"/>
          <w:szCs w:val="22"/>
        </w:rPr>
        <w:t>.</w:t>
      </w:r>
      <w:r w:rsidR="00EB5B81">
        <w:rPr>
          <w:rFonts w:asciiTheme="majorHAnsi" w:hAnsiTheme="majorHAnsi" w:cstheme="majorHAnsi"/>
          <w:b/>
          <w:i w:val="0"/>
          <w:color w:val="000000" w:themeColor="text1"/>
          <w:sz w:val="22"/>
          <w:szCs w:val="22"/>
        </w:rPr>
        <w:fldChar w:fldCharType="begin"/>
      </w:r>
      <w:r w:rsidR="00EB5B81">
        <w:rPr>
          <w:rFonts w:asciiTheme="majorHAnsi" w:hAnsiTheme="majorHAnsi" w:cstheme="majorHAnsi"/>
          <w:b/>
          <w:i w:val="0"/>
          <w:color w:val="000000" w:themeColor="text1"/>
          <w:sz w:val="22"/>
          <w:szCs w:val="22"/>
        </w:rPr>
        <w:instrText xml:space="preserve"> SEQ Obrázek \* ARABIC \s 1 </w:instrText>
      </w:r>
      <w:r w:rsidR="00EB5B81">
        <w:rPr>
          <w:rFonts w:asciiTheme="majorHAnsi" w:hAnsiTheme="majorHAnsi" w:cstheme="majorHAnsi"/>
          <w:b/>
          <w:i w:val="0"/>
          <w:color w:val="000000" w:themeColor="text1"/>
          <w:sz w:val="22"/>
          <w:szCs w:val="22"/>
        </w:rPr>
        <w:fldChar w:fldCharType="separate"/>
      </w:r>
      <w:r w:rsidR="00EB5B81">
        <w:rPr>
          <w:rFonts w:asciiTheme="majorHAnsi" w:hAnsiTheme="majorHAnsi" w:cstheme="majorHAnsi"/>
          <w:b/>
          <w:i w:val="0"/>
          <w:noProof/>
          <w:color w:val="000000" w:themeColor="text1"/>
          <w:sz w:val="22"/>
          <w:szCs w:val="22"/>
        </w:rPr>
        <w:t>1</w:t>
      </w:r>
      <w:r w:rsidR="00EB5B81">
        <w:rPr>
          <w:rFonts w:asciiTheme="majorHAnsi" w:hAnsiTheme="majorHAnsi" w:cstheme="majorHAnsi"/>
          <w:b/>
          <w:i w:val="0"/>
          <w:color w:val="000000" w:themeColor="text1"/>
          <w:sz w:val="22"/>
          <w:szCs w:val="22"/>
        </w:rPr>
        <w:fldChar w:fldCharType="end"/>
      </w:r>
      <w:r w:rsidR="002507F9">
        <w:rPr>
          <w:rFonts w:asciiTheme="majorHAnsi" w:hAnsiTheme="majorHAnsi" w:cstheme="majorHAnsi"/>
          <w:b/>
          <w:i w:val="0"/>
          <w:color w:val="000000" w:themeColor="text1"/>
          <w:sz w:val="22"/>
          <w:szCs w:val="22"/>
        </w:rPr>
        <w:t>1</w:t>
      </w:r>
      <w:r w:rsidRPr="004E296E">
        <w:rPr>
          <w:rFonts w:asciiTheme="majorHAnsi" w:hAnsiTheme="majorHAnsi" w:cstheme="majorHAnsi"/>
          <w:b/>
          <w:i w:val="0"/>
          <w:color w:val="000000" w:themeColor="text1"/>
          <w:sz w:val="22"/>
          <w:szCs w:val="22"/>
        </w:rPr>
        <w:t>: Průměrné mzdy v krajích regionu soudržnosti Jihozápad v zemědělství, průmyslu a NH (v Kč)</w:t>
      </w:r>
      <w:bookmarkEnd w:id="164"/>
      <w:bookmarkEnd w:id="165"/>
      <w:bookmarkEnd w:id="166"/>
    </w:p>
    <w:p w14:paraId="626C7217" w14:textId="77777777" w:rsidR="000C6EEA" w:rsidRDefault="000C6EEA" w:rsidP="004E296E">
      <w:pPr>
        <w:ind w:firstLine="0"/>
      </w:pPr>
      <w:r>
        <w:rPr>
          <w:noProof/>
        </w:rPr>
        <w:drawing>
          <wp:inline distT="0" distB="0" distL="0" distR="0" wp14:anchorId="20437D26" wp14:editId="5824DCAA">
            <wp:extent cx="4572000" cy="2743200"/>
            <wp:effectExtent l="0" t="0" r="0" b="0"/>
            <wp:docPr id="26" name="Graf 26">
              <a:extLst xmlns:a="http://schemas.openxmlformats.org/drawingml/2006/main">
                <a:ext uri="{FF2B5EF4-FFF2-40B4-BE49-F238E27FC236}">
                  <a16:creationId xmlns:a16="http://schemas.microsoft.com/office/drawing/2014/main" id="{2C5E40EA-F57D-4147-BA72-22C35B805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561CE52" w14:textId="77777777" w:rsidR="000C6EEA" w:rsidRDefault="000C6EEA" w:rsidP="005208F1">
      <w:pPr>
        <w:pStyle w:val="Titulek"/>
        <w:spacing w:after="0"/>
        <w:ind w:firstLine="0"/>
        <w:rPr>
          <w:rFonts w:asciiTheme="majorHAnsi" w:hAnsiTheme="majorHAnsi" w:cstheme="majorHAnsi"/>
          <w:color w:val="auto"/>
        </w:rPr>
      </w:pPr>
      <w:r w:rsidRPr="00DD7469">
        <w:rPr>
          <w:rFonts w:asciiTheme="majorHAnsi" w:hAnsiTheme="majorHAnsi" w:cstheme="majorHAnsi"/>
          <w:color w:val="auto"/>
        </w:rPr>
        <w:t xml:space="preserve">Zdroj: </w:t>
      </w:r>
      <w:r>
        <w:rPr>
          <w:rFonts w:asciiTheme="majorHAnsi" w:hAnsiTheme="majorHAnsi" w:cstheme="majorHAnsi"/>
          <w:color w:val="auto"/>
        </w:rPr>
        <w:t xml:space="preserve">Krajské ročenky, </w:t>
      </w:r>
      <w:r w:rsidRPr="00DD7469">
        <w:rPr>
          <w:rFonts w:asciiTheme="majorHAnsi" w:hAnsiTheme="majorHAnsi" w:cstheme="majorHAnsi"/>
          <w:color w:val="auto"/>
        </w:rPr>
        <w:t>ČSÚ</w:t>
      </w:r>
      <w:r>
        <w:rPr>
          <w:rFonts w:asciiTheme="majorHAnsi" w:hAnsiTheme="majorHAnsi" w:cstheme="majorHAnsi"/>
          <w:color w:val="auto"/>
        </w:rPr>
        <w:t xml:space="preserve"> 2013-2017</w:t>
      </w:r>
    </w:p>
    <w:p w14:paraId="44350431" w14:textId="77777777" w:rsidR="000C6EEA" w:rsidRPr="004E296E" w:rsidRDefault="000C6EEA" w:rsidP="005208F1">
      <w:pPr>
        <w:spacing w:before="0" w:line="240" w:lineRule="auto"/>
        <w:ind w:firstLine="0"/>
        <w:rPr>
          <w:rFonts w:ascii="Calibri" w:hAnsi="Calibri"/>
          <w:i/>
          <w:iCs/>
          <w:color w:val="000000"/>
          <w:sz w:val="18"/>
          <w:szCs w:val="18"/>
        </w:rPr>
      </w:pPr>
      <w:r w:rsidRPr="00B671D3">
        <w:rPr>
          <w:rFonts w:ascii="Calibri" w:hAnsi="Calibri"/>
          <w:i/>
          <w:iCs/>
          <w:color w:val="000000"/>
          <w:sz w:val="18"/>
          <w:szCs w:val="18"/>
        </w:rPr>
        <w:t>Zpracování: ÚZEI</w:t>
      </w:r>
    </w:p>
    <w:p w14:paraId="40EEB4ED" w14:textId="77777777" w:rsidR="000C6EEA" w:rsidRDefault="000C6EEA" w:rsidP="005208F1">
      <w:pPr>
        <w:pStyle w:val="Titulek"/>
        <w:spacing w:after="0"/>
        <w:ind w:firstLine="0"/>
        <w:rPr>
          <w:rFonts w:asciiTheme="majorHAnsi" w:hAnsiTheme="majorHAnsi" w:cstheme="majorHAnsi"/>
          <w:color w:val="auto"/>
        </w:rPr>
      </w:pPr>
      <w:r>
        <w:rPr>
          <w:rFonts w:asciiTheme="majorHAnsi" w:hAnsiTheme="majorHAnsi" w:cstheme="majorHAnsi"/>
          <w:color w:val="auto"/>
        </w:rPr>
        <w:t>Zkratky: JHC – Jihočeský; PLK – Plzeňský</w:t>
      </w:r>
    </w:p>
    <w:p w14:paraId="209FBBDF" w14:textId="77777777" w:rsidR="000C6EEA" w:rsidRDefault="000C6EEA" w:rsidP="004E296E">
      <w:pPr>
        <w:ind w:firstLine="0"/>
      </w:pPr>
    </w:p>
    <w:p w14:paraId="2AF71056" w14:textId="77777777" w:rsidR="00240E36" w:rsidRPr="00240E36" w:rsidRDefault="00240E36" w:rsidP="00240E36">
      <w:pPr>
        <w:pStyle w:val="Titulek"/>
        <w:keepNext/>
        <w:ind w:firstLine="0"/>
        <w:rPr>
          <w:rFonts w:asciiTheme="majorHAnsi" w:hAnsiTheme="majorHAnsi" w:cstheme="majorHAnsi"/>
          <w:b/>
          <w:i w:val="0"/>
          <w:color w:val="000000" w:themeColor="text1"/>
          <w:sz w:val="22"/>
          <w:szCs w:val="22"/>
        </w:rPr>
      </w:pPr>
      <w:bookmarkStart w:id="167" w:name="_Toc525727655"/>
      <w:bookmarkStart w:id="168" w:name="_Toc525735942"/>
      <w:bookmarkStart w:id="169" w:name="_Toc525738239"/>
      <w:r w:rsidRPr="00240E36">
        <w:rPr>
          <w:rFonts w:asciiTheme="majorHAnsi" w:hAnsiTheme="majorHAnsi" w:cstheme="majorHAnsi"/>
          <w:b/>
          <w:i w:val="0"/>
          <w:color w:val="000000" w:themeColor="text1"/>
          <w:sz w:val="22"/>
          <w:szCs w:val="22"/>
        </w:rPr>
        <w:t xml:space="preserve">Obrázek </w:t>
      </w:r>
      <w:r w:rsidR="005208F1">
        <w:rPr>
          <w:rFonts w:asciiTheme="majorHAnsi" w:hAnsiTheme="majorHAnsi" w:cstheme="majorHAnsi"/>
          <w:b/>
          <w:i w:val="0"/>
          <w:color w:val="000000" w:themeColor="text1"/>
          <w:sz w:val="22"/>
          <w:szCs w:val="22"/>
        </w:rPr>
        <w:t>7.</w:t>
      </w:r>
      <w:r>
        <w:rPr>
          <w:rFonts w:asciiTheme="majorHAnsi" w:hAnsiTheme="majorHAnsi" w:cstheme="majorHAnsi"/>
          <w:b/>
          <w:i w:val="0"/>
          <w:color w:val="000000" w:themeColor="text1"/>
          <w:sz w:val="22"/>
          <w:szCs w:val="22"/>
        </w:rPr>
        <w:fldChar w:fldCharType="begin"/>
      </w:r>
      <w:r>
        <w:rPr>
          <w:rFonts w:asciiTheme="majorHAnsi" w:hAnsiTheme="majorHAnsi" w:cstheme="majorHAnsi"/>
          <w:b/>
          <w:i w:val="0"/>
          <w:color w:val="000000" w:themeColor="text1"/>
          <w:sz w:val="22"/>
          <w:szCs w:val="22"/>
        </w:rPr>
        <w:instrText xml:space="preserve"> STYLEREF 1 \s </w:instrText>
      </w:r>
      <w:r>
        <w:rPr>
          <w:rFonts w:asciiTheme="majorHAnsi" w:hAnsiTheme="majorHAnsi" w:cstheme="majorHAnsi"/>
          <w:b/>
          <w:i w:val="0"/>
          <w:color w:val="000000" w:themeColor="text1"/>
          <w:sz w:val="22"/>
          <w:szCs w:val="22"/>
        </w:rPr>
        <w:fldChar w:fldCharType="separate"/>
      </w:r>
      <w:r>
        <w:rPr>
          <w:rFonts w:asciiTheme="majorHAnsi" w:hAnsiTheme="majorHAnsi" w:cstheme="majorHAnsi"/>
          <w:b/>
          <w:i w:val="0"/>
          <w:noProof/>
          <w:color w:val="000000" w:themeColor="text1"/>
          <w:sz w:val="22"/>
          <w:szCs w:val="22"/>
        </w:rPr>
        <w:t>4</w:t>
      </w:r>
      <w:r>
        <w:rPr>
          <w:rFonts w:asciiTheme="majorHAnsi" w:hAnsiTheme="majorHAnsi" w:cstheme="majorHAnsi"/>
          <w:b/>
          <w:i w:val="0"/>
          <w:color w:val="000000" w:themeColor="text1"/>
          <w:sz w:val="22"/>
          <w:szCs w:val="22"/>
        </w:rPr>
        <w:fldChar w:fldCharType="end"/>
      </w:r>
      <w:r>
        <w:rPr>
          <w:rFonts w:asciiTheme="majorHAnsi" w:hAnsiTheme="majorHAnsi" w:cstheme="majorHAnsi"/>
          <w:b/>
          <w:i w:val="0"/>
          <w:color w:val="000000" w:themeColor="text1"/>
          <w:sz w:val="22"/>
          <w:szCs w:val="22"/>
        </w:rPr>
        <w:t>.</w:t>
      </w:r>
      <w:r w:rsidR="002507F9">
        <w:rPr>
          <w:rFonts w:asciiTheme="majorHAnsi" w:hAnsiTheme="majorHAnsi" w:cstheme="majorHAnsi"/>
          <w:b/>
          <w:i w:val="0"/>
          <w:color w:val="000000" w:themeColor="text1"/>
          <w:sz w:val="22"/>
          <w:szCs w:val="22"/>
        </w:rPr>
        <w:t>12</w:t>
      </w:r>
      <w:r w:rsidRPr="00240E36">
        <w:rPr>
          <w:rFonts w:asciiTheme="majorHAnsi" w:hAnsiTheme="majorHAnsi" w:cstheme="majorHAnsi"/>
          <w:b/>
          <w:i w:val="0"/>
          <w:color w:val="000000" w:themeColor="text1"/>
          <w:sz w:val="22"/>
          <w:szCs w:val="22"/>
        </w:rPr>
        <w:t xml:space="preserve">: </w:t>
      </w:r>
      <w:r w:rsidRPr="004E296E">
        <w:rPr>
          <w:rFonts w:asciiTheme="majorHAnsi" w:hAnsiTheme="majorHAnsi" w:cstheme="majorHAnsi"/>
          <w:b/>
          <w:i w:val="0"/>
          <w:color w:val="000000" w:themeColor="text1"/>
          <w:sz w:val="22"/>
          <w:szCs w:val="22"/>
        </w:rPr>
        <w:t>Průměrné mzdy v krajích regionu soudržnosti Severozápad v zemědělství, průmyslu a NH (v Kč)</w:t>
      </w:r>
      <w:bookmarkEnd w:id="167"/>
      <w:bookmarkEnd w:id="168"/>
      <w:bookmarkEnd w:id="169"/>
    </w:p>
    <w:p w14:paraId="633A812A" w14:textId="77777777" w:rsidR="000C6EEA" w:rsidRDefault="000C6EEA" w:rsidP="004E296E">
      <w:pPr>
        <w:ind w:firstLine="0"/>
        <w:rPr>
          <w:rFonts w:asciiTheme="majorHAnsi" w:hAnsiTheme="majorHAnsi" w:cstheme="majorHAnsi"/>
          <w:b/>
        </w:rPr>
      </w:pPr>
      <w:r>
        <w:rPr>
          <w:noProof/>
        </w:rPr>
        <w:drawing>
          <wp:inline distT="0" distB="0" distL="0" distR="0" wp14:anchorId="19325900" wp14:editId="3B8D166A">
            <wp:extent cx="4572000" cy="2743200"/>
            <wp:effectExtent l="0" t="0" r="0" b="0"/>
            <wp:docPr id="3" name="Graf 3">
              <a:extLst xmlns:a="http://schemas.openxmlformats.org/drawingml/2006/main">
                <a:ext uri="{FF2B5EF4-FFF2-40B4-BE49-F238E27FC236}">
                  <a16:creationId xmlns:a16="http://schemas.microsoft.com/office/drawing/2014/main" id="{FB2B8156-7FC1-416D-BB42-318E0DB30B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67A24DD" w14:textId="77777777" w:rsidR="000C6EEA" w:rsidRDefault="000C6EEA" w:rsidP="005208F1">
      <w:pPr>
        <w:pStyle w:val="Titulek"/>
        <w:spacing w:after="0"/>
        <w:ind w:firstLine="0"/>
        <w:rPr>
          <w:rFonts w:asciiTheme="majorHAnsi" w:hAnsiTheme="majorHAnsi" w:cstheme="majorHAnsi"/>
          <w:color w:val="auto"/>
        </w:rPr>
      </w:pPr>
      <w:r w:rsidRPr="00DD7469">
        <w:rPr>
          <w:rFonts w:asciiTheme="majorHAnsi" w:hAnsiTheme="majorHAnsi" w:cstheme="majorHAnsi"/>
          <w:color w:val="auto"/>
        </w:rPr>
        <w:t xml:space="preserve">Zdroj: </w:t>
      </w:r>
      <w:r>
        <w:rPr>
          <w:rFonts w:asciiTheme="majorHAnsi" w:hAnsiTheme="majorHAnsi" w:cstheme="majorHAnsi"/>
          <w:color w:val="auto"/>
        </w:rPr>
        <w:t xml:space="preserve">Krajské ročenky, </w:t>
      </w:r>
      <w:r w:rsidRPr="00DD7469">
        <w:rPr>
          <w:rFonts w:asciiTheme="majorHAnsi" w:hAnsiTheme="majorHAnsi" w:cstheme="majorHAnsi"/>
          <w:color w:val="auto"/>
        </w:rPr>
        <w:t>ČSÚ</w:t>
      </w:r>
      <w:r>
        <w:rPr>
          <w:rFonts w:asciiTheme="majorHAnsi" w:hAnsiTheme="majorHAnsi" w:cstheme="majorHAnsi"/>
          <w:color w:val="auto"/>
        </w:rPr>
        <w:t xml:space="preserve"> 2013-2017</w:t>
      </w:r>
    </w:p>
    <w:p w14:paraId="26E50EC0" w14:textId="77777777" w:rsidR="000C6EEA" w:rsidRPr="004E296E" w:rsidRDefault="000C6EEA" w:rsidP="005208F1">
      <w:pPr>
        <w:spacing w:before="0" w:line="240" w:lineRule="auto"/>
        <w:ind w:firstLine="0"/>
        <w:rPr>
          <w:rFonts w:ascii="Calibri" w:hAnsi="Calibri"/>
          <w:color w:val="000000"/>
        </w:rPr>
      </w:pPr>
      <w:r w:rsidRPr="00B671D3">
        <w:rPr>
          <w:rFonts w:ascii="Calibri" w:hAnsi="Calibri"/>
          <w:i/>
          <w:iCs/>
          <w:color w:val="000000"/>
          <w:sz w:val="18"/>
          <w:szCs w:val="18"/>
        </w:rPr>
        <w:t>Zpracování: ÚZEI</w:t>
      </w:r>
    </w:p>
    <w:p w14:paraId="3C7394C5" w14:textId="77777777" w:rsidR="000C6EEA" w:rsidRDefault="000C6EEA" w:rsidP="005208F1">
      <w:pPr>
        <w:pStyle w:val="Titulek"/>
        <w:spacing w:after="0"/>
        <w:ind w:firstLine="0"/>
        <w:rPr>
          <w:rFonts w:asciiTheme="majorHAnsi" w:hAnsiTheme="majorHAnsi" w:cstheme="majorHAnsi"/>
          <w:color w:val="auto"/>
        </w:rPr>
      </w:pPr>
      <w:r>
        <w:rPr>
          <w:rFonts w:asciiTheme="majorHAnsi" w:hAnsiTheme="majorHAnsi" w:cstheme="majorHAnsi"/>
          <w:color w:val="auto"/>
        </w:rPr>
        <w:t>Zkratky: KVK – Karlovarský, ULK – Ústecký</w:t>
      </w:r>
    </w:p>
    <w:p w14:paraId="391F2C2C" w14:textId="77777777" w:rsidR="000C6EEA" w:rsidRDefault="000C6EEA" w:rsidP="004E296E">
      <w:pPr>
        <w:ind w:firstLine="0"/>
      </w:pPr>
    </w:p>
    <w:p w14:paraId="7BEE6F52" w14:textId="77777777" w:rsidR="00240E36" w:rsidRPr="00240E36" w:rsidRDefault="00240E36" w:rsidP="005208F1">
      <w:pPr>
        <w:pStyle w:val="Titulek"/>
        <w:keepNext/>
        <w:spacing w:after="0"/>
        <w:ind w:firstLine="0"/>
        <w:rPr>
          <w:rFonts w:asciiTheme="majorHAnsi" w:hAnsiTheme="majorHAnsi" w:cstheme="majorHAnsi"/>
          <w:b/>
          <w:i w:val="0"/>
          <w:color w:val="000000" w:themeColor="text1"/>
          <w:sz w:val="22"/>
          <w:szCs w:val="22"/>
        </w:rPr>
      </w:pPr>
      <w:bookmarkStart w:id="170" w:name="_Toc525727656"/>
      <w:bookmarkStart w:id="171" w:name="_Toc525735943"/>
      <w:bookmarkStart w:id="172" w:name="_Toc525738240"/>
      <w:r w:rsidRPr="00240E36">
        <w:rPr>
          <w:rFonts w:asciiTheme="majorHAnsi" w:hAnsiTheme="majorHAnsi" w:cstheme="majorHAnsi"/>
          <w:b/>
          <w:i w:val="0"/>
          <w:color w:val="000000" w:themeColor="text1"/>
          <w:sz w:val="22"/>
          <w:szCs w:val="22"/>
        </w:rPr>
        <w:lastRenderedPageBreak/>
        <w:t xml:space="preserve">Obrázek </w:t>
      </w:r>
      <w:r w:rsidR="005208F1">
        <w:rPr>
          <w:rFonts w:asciiTheme="majorHAnsi" w:hAnsiTheme="majorHAnsi" w:cstheme="majorHAnsi"/>
          <w:b/>
          <w:i w:val="0"/>
          <w:color w:val="000000" w:themeColor="text1"/>
          <w:sz w:val="22"/>
          <w:szCs w:val="22"/>
        </w:rPr>
        <w:t>7.</w:t>
      </w:r>
      <w:r>
        <w:rPr>
          <w:rFonts w:asciiTheme="majorHAnsi" w:hAnsiTheme="majorHAnsi" w:cstheme="majorHAnsi"/>
          <w:b/>
          <w:i w:val="0"/>
          <w:color w:val="000000" w:themeColor="text1"/>
          <w:sz w:val="22"/>
          <w:szCs w:val="22"/>
        </w:rPr>
        <w:fldChar w:fldCharType="begin"/>
      </w:r>
      <w:r>
        <w:rPr>
          <w:rFonts w:asciiTheme="majorHAnsi" w:hAnsiTheme="majorHAnsi" w:cstheme="majorHAnsi"/>
          <w:b/>
          <w:i w:val="0"/>
          <w:color w:val="000000" w:themeColor="text1"/>
          <w:sz w:val="22"/>
          <w:szCs w:val="22"/>
        </w:rPr>
        <w:instrText xml:space="preserve"> STYLEREF 1 \s </w:instrText>
      </w:r>
      <w:r>
        <w:rPr>
          <w:rFonts w:asciiTheme="majorHAnsi" w:hAnsiTheme="majorHAnsi" w:cstheme="majorHAnsi"/>
          <w:b/>
          <w:i w:val="0"/>
          <w:color w:val="000000" w:themeColor="text1"/>
          <w:sz w:val="22"/>
          <w:szCs w:val="22"/>
        </w:rPr>
        <w:fldChar w:fldCharType="separate"/>
      </w:r>
      <w:r>
        <w:rPr>
          <w:rFonts w:asciiTheme="majorHAnsi" w:hAnsiTheme="majorHAnsi" w:cstheme="majorHAnsi"/>
          <w:b/>
          <w:i w:val="0"/>
          <w:noProof/>
          <w:color w:val="000000" w:themeColor="text1"/>
          <w:sz w:val="22"/>
          <w:szCs w:val="22"/>
        </w:rPr>
        <w:t>4</w:t>
      </w:r>
      <w:r>
        <w:rPr>
          <w:rFonts w:asciiTheme="majorHAnsi" w:hAnsiTheme="majorHAnsi" w:cstheme="majorHAnsi"/>
          <w:b/>
          <w:i w:val="0"/>
          <w:color w:val="000000" w:themeColor="text1"/>
          <w:sz w:val="22"/>
          <w:szCs w:val="22"/>
        </w:rPr>
        <w:fldChar w:fldCharType="end"/>
      </w:r>
      <w:r>
        <w:rPr>
          <w:rFonts w:asciiTheme="majorHAnsi" w:hAnsiTheme="majorHAnsi" w:cstheme="majorHAnsi"/>
          <w:b/>
          <w:i w:val="0"/>
          <w:color w:val="000000" w:themeColor="text1"/>
          <w:sz w:val="22"/>
          <w:szCs w:val="22"/>
        </w:rPr>
        <w:t>.</w:t>
      </w:r>
      <w:r w:rsidR="00EB5B81">
        <w:rPr>
          <w:rFonts w:asciiTheme="majorHAnsi" w:hAnsiTheme="majorHAnsi" w:cstheme="majorHAnsi"/>
          <w:b/>
          <w:i w:val="0"/>
          <w:color w:val="000000" w:themeColor="text1"/>
          <w:sz w:val="22"/>
          <w:szCs w:val="22"/>
        </w:rPr>
        <w:fldChar w:fldCharType="begin"/>
      </w:r>
      <w:r w:rsidR="00EB5B81">
        <w:rPr>
          <w:rFonts w:asciiTheme="majorHAnsi" w:hAnsiTheme="majorHAnsi" w:cstheme="majorHAnsi"/>
          <w:b/>
          <w:i w:val="0"/>
          <w:color w:val="000000" w:themeColor="text1"/>
          <w:sz w:val="22"/>
          <w:szCs w:val="22"/>
        </w:rPr>
        <w:instrText xml:space="preserve"> SEQ Obrázek \* ARABIC \s 1 </w:instrText>
      </w:r>
      <w:r w:rsidR="00EB5B81">
        <w:rPr>
          <w:rFonts w:asciiTheme="majorHAnsi" w:hAnsiTheme="majorHAnsi" w:cstheme="majorHAnsi"/>
          <w:b/>
          <w:i w:val="0"/>
          <w:color w:val="000000" w:themeColor="text1"/>
          <w:sz w:val="22"/>
          <w:szCs w:val="22"/>
        </w:rPr>
        <w:fldChar w:fldCharType="separate"/>
      </w:r>
      <w:r w:rsidR="00EB5B81">
        <w:rPr>
          <w:rFonts w:asciiTheme="majorHAnsi" w:hAnsiTheme="majorHAnsi" w:cstheme="majorHAnsi"/>
          <w:b/>
          <w:i w:val="0"/>
          <w:noProof/>
          <w:color w:val="000000" w:themeColor="text1"/>
          <w:sz w:val="22"/>
          <w:szCs w:val="22"/>
        </w:rPr>
        <w:t>1</w:t>
      </w:r>
      <w:r w:rsidR="00EB5B81">
        <w:rPr>
          <w:rFonts w:asciiTheme="majorHAnsi" w:hAnsiTheme="majorHAnsi" w:cstheme="majorHAnsi"/>
          <w:b/>
          <w:i w:val="0"/>
          <w:color w:val="000000" w:themeColor="text1"/>
          <w:sz w:val="22"/>
          <w:szCs w:val="22"/>
        </w:rPr>
        <w:fldChar w:fldCharType="end"/>
      </w:r>
      <w:r w:rsidR="002507F9">
        <w:rPr>
          <w:rFonts w:asciiTheme="majorHAnsi" w:hAnsiTheme="majorHAnsi" w:cstheme="majorHAnsi"/>
          <w:b/>
          <w:i w:val="0"/>
          <w:color w:val="000000" w:themeColor="text1"/>
          <w:sz w:val="22"/>
          <w:szCs w:val="22"/>
        </w:rPr>
        <w:t>3</w:t>
      </w:r>
      <w:r w:rsidRPr="004E296E">
        <w:rPr>
          <w:rFonts w:asciiTheme="majorHAnsi" w:hAnsiTheme="majorHAnsi" w:cstheme="majorHAnsi"/>
          <w:b/>
          <w:i w:val="0"/>
          <w:color w:val="000000" w:themeColor="text1"/>
          <w:sz w:val="22"/>
          <w:szCs w:val="22"/>
        </w:rPr>
        <w:t>: Průměrné mzdy v krajích regionu soudržnosti Severovýchod v zemědělství, průmyslu a NH (v Kč)</w:t>
      </w:r>
      <w:bookmarkEnd w:id="170"/>
      <w:bookmarkEnd w:id="171"/>
      <w:bookmarkEnd w:id="172"/>
    </w:p>
    <w:p w14:paraId="053186BE" w14:textId="77777777" w:rsidR="000C6EEA" w:rsidRDefault="000C6EEA" w:rsidP="005208F1">
      <w:pPr>
        <w:spacing w:before="0" w:line="240" w:lineRule="auto"/>
        <w:ind w:firstLine="0"/>
        <w:rPr>
          <w:rFonts w:asciiTheme="majorHAnsi" w:hAnsiTheme="majorHAnsi" w:cstheme="majorHAnsi"/>
          <w:b/>
        </w:rPr>
      </w:pPr>
      <w:r>
        <w:rPr>
          <w:noProof/>
        </w:rPr>
        <w:drawing>
          <wp:inline distT="0" distB="0" distL="0" distR="0" wp14:anchorId="2EA1A9F0" wp14:editId="0B013654">
            <wp:extent cx="4572000" cy="2743200"/>
            <wp:effectExtent l="0" t="0" r="0" b="0"/>
            <wp:docPr id="1737972128" name="Graf 1737972128">
              <a:extLst xmlns:a="http://schemas.openxmlformats.org/drawingml/2006/main">
                <a:ext uri="{FF2B5EF4-FFF2-40B4-BE49-F238E27FC236}">
                  <a16:creationId xmlns:a16="http://schemas.microsoft.com/office/drawing/2014/main" id="{D172631D-C501-40A6-8667-45F571496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80AD481" w14:textId="77777777" w:rsidR="000C6EEA" w:rsidRDefault="000C6EEA" w:rsidP="005208F1">
      <w:pPr>
        <w:pStyle w:val="Titulek"/>
        <w:spacing w:after="0"/>
        <w:ind w:firstLine="0"/>
        <w:rPr>
          <w:rFonts w:asciiTheme="majorHAnsi" w:hAnsiTheme="majorHAnsi" w:cstheme="majorHAnsi"/>
          <w:color w:val="auto"/>
        </w:rPr>
      </w:pPr>
      <w:r w:rsidRPr="00DD7469">
        <w:rPr>
          <w:rFonts w:asciiTheme="majorHAnsi" w:hAnsiTheme="majorHAnsi" w:cstheme="majorHAnsi"/>
          <w:color w:val="auto"/>
        </w:rPr>
        <w:t xml:space="preserve">Zdroj: </w:t>
      </w:r>
      <w:r>
        <w:rPr>
          <w:rFonts w:asciiTheme="majorHAnsi" w:hAnsiTheme="majorHAnsi" w:cstheme="majorHAnsi"/>
          <w:color w:val="auto"/>
        </w:rPr>
        <w:t xml:space="preserve">Krajské ročenky, </w:t>
      </w:r>
      <w:r w:rsidRPr="00DD7469">
        <w:rPr>
          <w:rFonts w:asciiTheme="majorHAnsi" w:hAnsiTheme="majorHAnsi" w:cstheme="majorHAnsi"/>
          <w:color w:val="auto"/>
        </w:rPr>
        <w:t>ČSÚ</w:t>
      </w:r>
      <w:r>
        <w:rPr>
          <w:rFonts w:asciiTheme="majorHAnsi" w:hAnsiTheme="majorHAnsi" w:cstheme="majorHAnsi"/>
          <w:color w:val="auto"/>
        </w:rPr>
        <w:t xml:space="preserve"> 2013-2017</w:t>
      </w:r>
    </w:p>
    <w:p w14:paraId="32873C85" w14:textId="77777777" w:rsidR="000C6EEA" w:rsidRPr="004E296E" w:rsidRDefault="000C6EEA" w:rsidP="005208F1">
      <w:pPr>
        <w:spacing w:before="0" w:line="240" w:lineRule="auto"/>
        <w:ind w:firstLine="0"/>
        <w:rPr>
          <w:rFonts w:ascii="Calibri" w:hAnsi="Calibri"/>
          <w:color w:val="000000"/>
        </w:rPr>
      </w:pPr>
      <w:r w:rsidRPr="00B671D3">
        <w:rPr>
          <w:rFonts w:ascii="Calibri" w:hAnsi="Calibri"/>
          <w:i/>
          <w:iCs/>
          <w:color w:val="000000"/>
          <w:sz w:val="18"/>
          <w:szCs w:val="18"/>
        </w:rPr>
        <w:t>Zpracování: ÚZEI</w:t>
      </w:r>
    </w:p>
    <w:p w14:paraId="09298420" w14:textId="77777777" w:rsidR="000C6EEA" w:rsidRDefault="000C6EEA" w:rsidP="005208F1">
      <w:pPr>
        <w:pStyle w:val="Titulek"/>
        <w:spacing w:after="0"/>
        <w:ind w:firstLine="0"/>
        <w:rPr>
          <w:rFonts w:asciiTheme="majorHAnsi" w:hAnsiTheme="majorHAnsi" w:cstheme="majorHAnsi"/>
          <w:color w:val="auto"/>
        </w:rPr>
      </w:pPr>
      <w:r>
        <w:rPr>
          <w:rFonts w:asciiTheme="majorHAnsi" w:hAnsiTheme="majorHAnsi" w:cstheme="majorHAnsi"/>
          <w:color w:val="auto"/>
        </w:rPr>
        <w:t>Zkratky: LBK – Liberecký; HKK – Královéhradecký; PAK – Pardubický</w:t>
      </w:r>
    </w:p>
    <w:p w14:paraId="18BE6FE2" w14:textId="77777777" w:rsidR="000C6EEA" w:rsidRDefault="000C6EEA" w:rsidP="004E296E">
      <w:pPr>
        <w:ind w:firstLine="0"/>
        <w:jc w:val="left"/>
        <w:rPr>
          <w:rFonts w:asciiTheme="majorHAnsi" w:hAnsiTheme="majorHAnsi" w:cstheme="majorHAnsi"/>
          <w:b/>
        </w:rPr>
      </w:pPr>
    </w:p>
    <w:p w14:paraId="5CD6E3AD" w14:textId="77777777" w:rsidR="00240E36" w:rsidRPr="00240E36" w:rsidRDefault="00240E36" w:rsidP="005208F1">
      <w:pPr>
        <w:pStyle w:val="Titulek"/>
        <w:keepNext/>
        <w:spacing w:after="0"/>
        <w:ind w:firstLine="0"/>
        <w:rPr>
          <w:rFonts w:asciiTheme="majorHAnsi" w:hAnsiTheme="majorHAnsi" w:cstheme="majorHAnsi"/>
          <w:b/>
          <w:i w:val="0"/>
          <w:color w:val="000000" w:themeColor="text1"/>
          <w:sz w:val="22"/>
          <w:szCs w:val="22"/>
        </w:rPr>
      </w:pPr>
      <w:bookmarkStart w:id="173" w:name="_Toc525727657"/>
      <w:bookmarkStart w:id="174" w:name="_Toc525735944"/>
      <w:bookmarkStart w:id="175" w:name="_Toc525738241"/>
      <w:r w:rsidRPr="00240E36">
        <w:rPr>
          <w:rFonts w:asciiTheme="majorHAnsi" w:hAnsiTheme="majorHAnsi" w:cstheme="majorHAnsi"/>
          <w:b/>
          <w:i w:val="0"/>
          <w:color w:val="000000" w:themeColor="text1"/>
          <w:sz w:val="22"/>
          <w:szCs w:val="22"/>
        </w:rPr>
        <w:t xml:space="preserve">Obrázek </w:t>
      </w:r>
      <w:r w:rsidR="005208F1">
        <w:rPr>
          <w:rFonts w:asciiTheme="majorHAnsi" w:hAnsiTheme="majorHAnsi" w:cstheme="majorHAnsi"/>
          <w:b/>
          <w:i w:val="0"/>
          <w:color w:val="000000" w:themeColor="text1"/>
          <w:sz w:val="22"/>
          <w:szCs w:val="22"/>
        </w:rPr>
        <w:t>7.</w:t>
      </w:r>
      <w:r>
        <w:rPr>
          <w:rFonts w:asciiTheme="majorHAnsi" w:hAnsiTheme="majorHAnsi" w:cstheme="majorHAnsi"/>
          <w:b/>
          <w:i w:val="0"/>
          <w:color w:val="000000" w:themeColor="text1"/>
          <w:sz w:val="22"/>
          <w:szCs w:val="22"/>
        </w:rPr>
        <w:fldChar w:fldCharType="begin"/>
      </w:r>
      <w:r>
        <w:rPr>
          <w:rFonts w:asciiTheme="majorHAnsi" w:hAnsiTheme="majorHAnsi" w:cstheme="majorHAnsi"/>
          <w:b/>
          <w:i w:val="0"/>
          <w:color w:val="000000" w:themeColor="text1"/>
          <w:sz w:val="22"/>
          <w:szCs w:val="22"/>
        </w:rPr>
        <w:instrText xml:space="preserve"> STYLEREF 1 \s </w:instrText>
      </w:r>
      <w:r>
        <w:rPr>
          <w:rFonts w:asciiTheme="majorHAnsi" w:hAnsiTheme="majorHAnsi" w:cstheme="majorHAnsi"/>
          <w:b/>
          <w:i w:val="0"/>
          <w:color w:val="000000" w:themeColor="text1"/>
          <w:sz w:val="22"/>
          <w:szCs w:val="22"/>
        </w:rPr>
        <w:fldChar w:fldCharType="separate"/>
      </w:r>
      <w:r>
        <w:rPr>
          <w:rFonts w:asciiTheme="majorHAnsi" w:hAnsiTheme="majorHAnsi" w:cstheme="majorHAnsi"/>
          <w:b/>
          <w:i w:val="0"/>
          <w:noProof/>
          <w:color w:val="000000" w:themeColor="text1"/>
          <w:sz w:val="22"/>
          <w:szCs w:val="22"/>
        </w:rPr>
        <w:t>4</w:t>
      </w:r>
      <w:r>
        <w:rPr>
          <w:rFonts w:asciiTheme="majorHAnsi" w:hAnsiTheme="majorHAnsi" w:cstheme="majorHAnsi"/>
          <w:b/>
          <w:i w:val="0"/>
          <w:color w:val="000000" w:themeColor="text1"/>
          <w:sz w:val="22"/>
          <w:szCs w:val="22"/>
        </w:rPr>
        <w:fldChar w:fldCharType="end"/>
      </w:r>
      <w:r>
        <w:rPr>
          <w:rFonts w:asciiTheme="majorHAnsi" w:hAnsiTheme="majorHAnsi" w:cstheme="majorHAnsi"/>
          <w:b/>
          <w:i w:val="0"/>
          <w:color w:val="000000" w:themeColor="text1"/>
          <w:sz w:val="22"/>
          <w:szCs w:val="22"/>
        </w:rPr>
        <w:t>.</w:t>
      </w:r>
      <w:r w:rsidR="00EB5B81">
        <w:rPr>
          <w:rFonts w:asciiTheme="majorHAnsi" w:hAnsiTheme="majorHAnsi" w:cstheme="majorHAnsi"/>
          <w:b/>
          <w:i w:val="0"/>
          <w:color w:val="000000" w:themeColor="text1"/>
          <w:sz w:val="22"/>
          <w:szCs w:val="22"/>
        </w:rPr>
        <w:fldChar w:fldCharType="begin"/>
      </w:r>
      <w:r w:rsidR="00EB5B81">
        <w:rPr>
          <w:rFonts w:asciiTheme="majorHAnsi" w:hAnsiTheme="majorHAnsi" w:cstheme="majorHAnsi"/>
          <w:b/>
          <w:i w:val="0"/>
          <w:color w:val="000000" w:themeColor="text1"/>
          <w:sz w:val="22"/>
          <w:szCs w:val="22"/>
        </w:rPr>
        <w:instrText xml:space="preserve"> SEQ Obrázek \* ARABIC \s 1 </w:instrText>
      </w:r>
      <w:r w:rsidR="00EB5B81">
        <w:rPr>
          <w:rFonts w:asciiTheme="majorHAnsi" w:hAnsiTheme="majorHAnsi" w:cstheme="majorHAnsi"/>
          <w:b/>
          <w:i w:val="0"/>
          <w:color w:val="000000" w:themeColor="text1"/>
          <w:sz w:val="22"/>
          <w:szCs w:val="22"/>
        </w:rPr>
        <w:fldChar w:fldCharType="separate"/>
      </w:r>
      <w:r w:rsidR="00EB5B81">
        <w:rPr>
          <w:rFonts w:asciiTheme="majorHAnsi" w:hAnsiTheme="majorHAnsi" w:cstheme="majorHAnsi"/>
          <w:b/>
          <w:i w:val="0"/>
          <w:noProof/>
          <w:color w:val="000000" w:themeColor="text1"/>
          <w:sz w:val="22"/>
          <w:szCs w:val="22"/>
        </w:rPr>
        <w:t>1</w:t>
      </w:r>
      <w:r w:rsidR="00EB5B81">
        <w:rPr>
          <w:rFonts w:asciiTheme="majorHAnsi" w:hAnsiTheme="majorHAnsi" w:cstheme="majorHAnsi"/>
          <w:b/>
          <w:i w:val="0"/>
          <w:color w:val="000000" w:themeColor="text1"/>
          <w:sz w:val="22"/>
          <w:szCs w:val="22"/>
        </w:rPr>
        <w:fldChar w:fldCharType="end"/>
      </w:r>
      <w:r w:rsidR="002507F9">
        <w:rPr>
          <w:rFonts w:asciiTheme="majorHAnsi" w:hAnsiTheme="majorHAnsi" w:cstheme="majorHAnsi"/>
          <w:b/>
          <w:i w:val="0"/>
          <w:color w:val="000000" w:themeColor="text1"/>
          <w:sz w:val="22"/>
          <w:szCs w:val="22"/>
        </w:rPr>
        <w:t>4</w:t>
      </w:r>
      <w:r w:rsidRPr="004E296E">
        <w:rPr>
          <w:rFonts w:asciiTheme="majorHAnsi" w:hAnsiTheme="majorHAnsi" w:cstheme="majorHAnsi"/>
          <w:b/>
          <w:i w:val="0"/>
          <w:color w:val="000000" w:themeColor="text1"/>
          <w:sz w:val="22"/>
          <w:szCs w:val="22"/>
        </w:rPr>
        <w:t>: Průměrné mzdy v krajích regionu soudržnosti Jihovýchod v zemědělství, průmyslu a NH (v Kč)</w:t>
      </w:r>
      <w:bookmarkEnd w:id="173"/>
      <w:bookmarkEnd w:id="174"/>
      <w:bookmarkEnd w:id="175"/>
    </w:p>
    <w:p w14:paraId="3AE954FD" w14:textId="77777777" w:rsidR="000C6EEA" w:rsidRDefault="000C6EEA" w:rsidP="005208F1">
      <w:pPr>
        <w:spacing w:before="0" w:line="240" w:lineRule="auto"/>
        <w:ind w:firstLine="0"/>
        <w:rPr>
          <w:rFonts w:asciiTheme="majorHAnsi" w:hAnsiTheme="majorHAnsi" w:cstheme="majorHAnsi"/>
          <w:b/>
        </w:rPr>
      </w:pPr>
      <w:r>
        <w:rPr>
          <w:noProof/>
        </w:rPr>
        <w:drawing>
          <wp:inline distT="0" distB="0" distL="0" distR="0" wp14:anchorId="488DFBB3" wp14:editId="09FDCAF0">
            <wp:extent cx="4572000" cy="2743200"/>
            <wp:effectExtent l="0" t="0" r="0" b="0"/>
            <wp:docPr id="1737972129" name="Graf 1737972129">
              <a:extLst xmlns:a="http://schemas.openxmlformats.org/drawingml/2006/main">
                <a:ext uri="{FF2B5EF4-FFF2-40B4-BE49-F238E27FC236}">
                  <a16:creationId xmlns:a16="http://schemas.microsoft.com/office/drawing/2014/main" id="{BB371D83-170B-4ECE-B1E6-BEDD65F29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46E5264" w14:textId="77777777" w:rsidR="000C6EEA" w:rsidRDefault="000C6EEA" w:rsidP="005208F1">
      <w:pPr>
        <w:pStyle w:val="Titulek"/>
        <w:spacing w:after="0"/>
        <w:ind w:firstLine="0"/>
        <w:rPr>
          <w:rFonts w:asciiTheme="majorHAnsi" w:hAnsiTheme="majorHAnsi" w:cstheme="majorHAnsi"/>
          <w:color w:val="auto"/>
        </w:rPr>
      </w:pPr>
      <w:r w:rsidRPr="00DD7469">
        <w:rPr>
          <w:rFonts w:asciiTheme="majorHAnsi" w:hAnsiTheme="majorHAnsi" w:cstheme="majorHAnsi"/>
          <w:color w:val="auto"/>
        </w:rPr>
        <w:t xml:space="preserve">Zdroj: </w:t>
      </w:r>
      <w:r>
        <w:rPr>
          <w:rFonts w:asciiTheme="majorHAnsi" w:hAnsiTheme="majorHAnsi" w:cstheme="majorHAnsi"/>
          <w:color w:val="auto"/>
        </w:rPr>
        <w:t xml:space="preserve">Krajské ročenky, </w:t>
      </w:r>
      <w:r w:rsidRPr="00DD7469">
        <w:rPr>
          <w:rFonts w:asciiTheme="majorHAnsi" w:hAnsiTheme="majorHAnsi" w:cstheme="majorHAnsi"/>
          <w:color w:val="auto"/>
        </w:rPr>
        <w:t>ČSÚ</w:t>
      </w:r>
      <w:r>
        <w:rPr>
          <w:rFonts w:asciiTheme="majorHAnsi" w:hAnsiTheme="majorHAnsi" w:cstheme="majorHAnsi"/>
          <w:color w:val="auto"/>
        </w:rPr>
        <w:t xml:space="preserve"> 2013-2017</w:t>
      </w:r>
    </w:p>
    <w:p w14:paraId="375B900F" w14:textId="77777777" w:rsidR="000C6EEA" w:rsidRPr="004E296E" w:rsidRDefault="000C6EEA" w:rsidP="005208F1">
      <w:pPr>
        <w:spacing w:before="0" w:line="240" w:lineRule="auto"/>
        <w:ind w:firstLine="0"/>
        <w:rPr>
          <w:rFonts w:ascii="Calibri" w:hAnsi="Calibri"/>
          <w:color w:val="000000"/>
        </w:rPr>
      </w:pPr>
      <w:r w:rsidRPr="00B671D3">
        <w:rPr>
          <w:rFonts w:ascii="Calibri" w:hAnsi="Calibri"/>
          <w:i/>
          <w:iCs/>
          <w:color w:val="000000"/>
          <w:sz w:val="18"/>
          <w:szCs w:val="18"/>
        </w:rPr>
        <w:t>Zpracování: ÚZEI</w:t>
      </w:r>
    </w:p>
    <w:p w14:paraId="4EB25F19" w14:textId="77777777" w:rsidR="000C6EEA" w:rsidRDefault="000C6EEA" w:rsidP="005208F1">
      <w:pPr>
        <w:pStyle w:val="Titulek"/>
        <w:spacing w:after="0"/>
        <w:ind w:firstLine="0"/>
        <w:rPr>
          <w:rFonts w:asciiTheme="majorHAnsi" w:hAnsiTheme="majorHAnsi" w:cstheme="majorHAnsi"/>
          <w:color w:val="auto"/>
        </w:rPr>
      </w:pPr>
      <w:r>
        <w:rPr>
          <w:rFonts w:asciiTheme="majorHAnsi" w:hAnsiTheme="majorHAnsi" w:cstheme="majorHAnsi"/>
          <w:color w:val="auto"/>
        </w:rPr>
        <w:t>Zkratky: VYS –Vysočina, JHM – Jihomoravský</w:t>
      </w:r>
    </w:p>
    <w:p w14:paraId="2BF71F25" w14:textId="77777777" w:rsidR="000C6EEA" w:rsidRDefault="000C6EEA" w:rsidP="000C6EEA"/>
    <w:p w14:paraId="427298D8" w14:textId="77777777" w:rsidR="00240E36" w:rsidRPr="00240E36" w:rsidRDefault="00240E36" w:rsidP="005208F1">
      <w:pPr>
        <w:pStyle w:val="Titulek"/>
        <w:keepNext/>
        <w:spacing w:after="0"/>
        <w:ind w:firstLine="0"/>
        <w:rPr>
          <w:rFonts w:asciiTheme="majorHAnsi" w:hAnsiTheme="majorHAnsi" w:cstheme="majorHAnsi"/>
          <w:b/>
          <w:i w:val="0"/>
          <w:color w:val="000000" w:themeColor="text1"/>
          <w:sz w:val="22"/>
          <w:szCs w:val="22"/>
        </w:rPr>
      </w:pPr>
      <w:bookmarkStart w:id="176" w:name="_Toc525727658"/>
      <w:bookmarkStart w:id="177" w:name="_Toc525735945"/>
      <w:bookmarkStart w:id="178" w:name="_Toc525738242"/>
      <w:r w:rsidRPr="00240E36">
        <w:rPr>
          <w:rFonts w:asciiTheme="majorHAnsi" w:hAnsiTheme="majorHAnsi" w:cstheme="majorHAnsi"/>
          <w:b/>
          <w:i w:val="0"/>
          <w:color w:val="000000" w:themeColor="text1"/>
          <w:sz w:val="22"/>
          <w:szCs w:val="22"/>
        </w:rPr>
        <w:lastRenderedPageBreak/>
        <w:t xml:space="preserve">Obrázek </w:t>
      </w:r>
      <w:r w:rsidR="005208F1">
        <w:rPr>
          <w:rFonts w:asciiTheme="majorHAnsi" w:hAnsiTheme="majorHAnsi" w:cstheme="majorHAnsi"/>
          <w:b/>
          <w:i w:val="0"/>
          <w:color w:val="000000" w:themeColor="text1"/>
          <w:sz w:val="22"/>
          <w:szCs w:val="22"/>
        </w:rPr>
        <w:t>7.</w:t>
      </w:r>
      <w:r>
        <w:rPr>
          <w:rFonts w:asciiTheme="majorHAnsi" w:hAnsiTheme="majorHAnsi" w:cstheme="majorHAnsi"/>
          <w:b/>
          <w:i w:val="0"/>
          <w:color w:val="000000" w:themeColor="text1"/>
          <w:sz w:val="22"/>
          <w:szCs w:val="22"/>
        </w:rPr>
        <w:fldChar w:fldCharType="begin"/>
      </w:r>
      <w:r>
        <w:rPr>
          <w:rFonts w:asciiTheme="majorHAnsi" w:hAnsiTheme="majorHAnsi" w:cstheme="majorHAnsi"/>
          <w:b/>
          <w:i w:val="0"/>
          <w:color w:val="000000" w:themeColor="text1"/>
          <w:sz w:val="22"/>
          <w:szCs w:val="22"/>
        </w:rPr>
        <w:instrText xml:space="preserve"> STYLEREF 1 \s </w:instrText>
      </w:r>
      <w:r>
        <w:rPr>
          <w:rFonts w:asciiTheme="majorHAnsi" w:hAnsiTheme="majorHAnsi" w:cstheme="majorHAnsi"/>
          <w:b/>
          <w:i w:val="0"/>
          <w:color w:val="000000" w:themeColor="text1"/>
          <w:sz w:val="22"/>
          <w:szCs w:val="22"/>
        </w:rPr>
        <w:fldChar w:fldCharType="separate"/>
      </w:r>
      <w:r>
        <w:rPr>
          <w:rFonts w:asciiTheme="majorHAnsi" w:hAnsiTheme="majorHAnsi" w:cstheme="majorHAnsi"/>
          <w:b/>
          <w:i w:val="0"/>
          <w:noProof/>
          <w:color w:val="000000" w:themeColor="text1"/>
          <w:sz w:val="22"/>
          <w:szCs w:val="22"/>
        </w:rPr>
        <w:t>4</w:t>
      </w:r>
      <w:r>
        <w:rPr>
          <w:rFonts w:asciiTheme="majorHAnsi" w:hAnsiTheme="majorHAnsi" w:cstheme="majorHAnsi"/>
          <w:b/>
          <w:i w:val="0"/>
          <w:color w:val="000000" w:themeColor="text1"/>
          <w:sz w:val="22"/>
          <w:szCs w:val="22"/>
        </w:rPr>
        <w:fldChar w:fldCharType="end"/>
      </w:r>
      <w:r>
        <w:rPr>
          <w:rFonts w:asciiTheme="majorHAnsi" w:hAnsiTheme="majorHAnsi" w:cstheme="majorHAnsi"/>
          <w:b/>
          <w:i w:val="0"/>
          <w:color w:val="000000" w:themeColor="text1"/>
          <w:sz w:val="22"/>
          <w:szCs w:val="22"/>
        </w:rPr>
        <w:t>.</w:t>
      </w:r>
      <w:r w:rsidR="00EB5B81">
        <w:rPr>
          <w:rFonts w:asciiTheme="majorHAnsi" w:hAnsiTheme="majorHAnsi" w:cstheme="majorHAnsi"/>
          <w:b/>
          <w:i w:val="0"/>
          <w:color w:val="000000" w:themeColor="text1"/>
          <w:sz w:val="22"/>
          <w:szCs w:val="22"/>
        </w:rPr>
        <w:fldChar w:fldCharType="begin"/>
      </w:r>
      <w:r w:rsidR="00EB5B81">
        <w:rPr>
          <w:rFonts w:asciiTheme="majorHAnsi" w:hAnsiTheme="majorHAnsi" w:cstheme="majorHAnsi"/>
          <w:b/>
          <w:i w:val="0"/>
          <w:color w:val="000000" w:themeColor="text1"/>
          <w:sz w:val="22"/>
          <w:szCs w:val="22"/>
        </w:rPr>
        <w:instrText xml:space="preserve"> SEQ Obrázek \* ARABIC \s 1 </w:instrText>
      </w:r>
      <w:r w:rsidR="00EB5B81">
        <w:rPr>
          <w:rFonts w:asciiTheme="majorHAnsi" w:hAnsiTheme="majorHAnsi" w:cstheme="majorHAnsi"/>
          <w:b/>
          <w:i w:val="0"/>
          <w:color w:val="000000" w:themeColor="text1"/>
          <w:sz w:val="22"/>
          <w:szCs w:val="22"/>
        </w:rPr>
        <w:fldChar w:fldCharType="separate"/>
      </w:r>
      <w:r w:rsidR="00EB5B81">
        <w:rPr>
          <w:rFonts w:asciiTheme="majorHAnsi" w:hAnsiTheme="majorHAnsi" w:cstheme="majorHAnsi"/>
          <w:b/>
          <w:i w:val="0"/>
          <w:noProof/>
          <w:color w:val="000000" w:themeColor="text1"/>
          <w:sz w:val="22"/>
          <w:szCs w:val="22"/>
        </w:rPr>
        <w:t>1</w:t>
      </w:r>
      <w:r w:rsidR="00EB5B81">
        <w:rPr>
          <w:rFonts w:asciiTheme="majorHAnsi" w:hAnsiTheme="majorHAnsi" w:cstheme="majorHAnsi"/>
          <w:b/>
          <w:i w:val="0"/>
          <w:color w:val="000000" w:themeColor="text1"/>
          <w:sz w:val="22"/>
          <w:szCs w:val="22"/>
        </w:rPr>
        <w:fldChar w:fldCharType="end"/>
      </w:r>
      <w:r w:rsidR="002507F9">
        <w:rPr>
          <w:rFonts w:asciiTheme="majorHAnsi" w:hAnsiTheme="majorHAnsi" w:cstheme="majorHAnsi"/>
          <w:b/>
          <w:i w:val="0"/>
          <w:color w:val="000000" w:themeColor="text1"/>
          <w:sz w:val="22"/>
          <w:szCs w:val="22"/>
        </w:rPr>
        <w:t>5</w:t>
      </w:r>
      <w:r w:rsidRPr="004E296E">
        <w:rPr>
          <w:rFonts w:asciiTheme="majorHAnsi" w:hAnsiTheme="majorHAnsi" w:cstheme="majorHAnsi"/>
          <w:b/>
          <w:i w:val="0"/>
          <w:color w:val="000000" w:themeColor="text1"/>
          <w:sz w:val="22"/>
          <w:szCs w:val="22"/>
        </w:rPr>
        <w:t xml:space="preserve">: Průměrné mzdy v krajích regionu soudržnosti Střední Morava a </w:t>
      </w:r>
      <w:proofErr w:type="spellStart"/>
      <w:r w:rsidRPr="004E296E">
        <w:rPr>
          <w:rFonts w:asciiTheme="majorHAnsi" w:hAnsiTheme="majorHAnsi" w:cstheme="majorHAnsi"/>
          <w:b/>
          <w:i w:val="0"/>
          <w:color w:val="000000" w:themeColor="text1"/>
          <w:sz w:val="22"/>
          <w:szCs w:val="22"/>
        </w:rPr>
        <w:t>Moravskoslezsko</w:t>
      </w:r>
      <w:proofErr w:type="spellEnd"/>
      <w:r w:rsidRPr="004E296E">
        <w:rPr>
          <w:rFonts w:asciiTheme="majorHAnsi" w:hAnsiTheme="majorHAnsi" w:cstheme="majorHAnsi"/>
          <w:b/>
          <w:i w:val="0"/>
          <w:color w:val="000000" w:themeColor="text1"/>
          <w:sz w:val="22"/>
          <w:szCs w:val="22"/>
        </w:rPr>
        <w:t xml:space="preserve"> v zemědělství, průmyslu a NH (v Kč)</w:t>
      </w:r>
      <w:bookmarkEnd w:id="176"/>
      <w:bookmarkEnd w:id="177"/>
      <w:bookmarkEnd w:id="178"/>
    </w:p>
    <w:p w14:paraId="415E7E78" w14:textId="77777777" w:rsidR="000C6EEA" w:rsidRDefault="000C6EEA" w:rsidP="005208F1">
      <w:pPr>
        <w:spacing w:before="0" w:line="240" w:lineRule="auto"/>
        <w:ind w:firstLine="0"/>
        <w:rPr>
          <w:rFonts w:asciiTheme="majorHAnsi" w:hAnsiTheme="majorHAnsi" w:cstheme="majorHAnsi"/>
          <w:b/>
        </w:rPr>
      </w:pPr>
      <w:r>
        <w:rPr>
          <w:noProof/>
        </w:rPr>
        <w:drawing>
          <wp:inline distT="0" distB="0" distL="0" distR="0" wp14:anchorId="685F028C" wp14:editId="1FF198E4">
            <wp:extent cx="4572000" cy="2743200"/>
            <wp:effectExtent l="0" t="0" r="0" b="0"/>
            <wp:docPr id="1737972130" name="Graf 1737972130">
              <a:extLst xmlns:a="http://schemas.openxmlformats.org/drawingml/2006/main">
                <a:ext uri="{FF2B5EF4-FFF2-40B4-BE49-F238E27FC236}">
                  <a16:creationId xmlns:a16="http://schemas.microsoft.com/office/drawing/2014/main" id="{B4B7E047-8C59-40D3-9EC9-4C0E35A43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1269FED" w14:textId="77777777" w:rsidR="000C6EEA" w:rsidRDefault="000C6EEA" w:rsidP="005208F1">
      <w:pPr>
        <w:pStyle w:val="Titulek"/>
        <w:spacing w:after="0"/>
        <w:ind w:firstLine="0"/>
        <w:rPr>
          <w:rFonts w:asciiTheme="majorHAnsi" w:hAnsiTheme="majorHAnsi" w:cstheme="majorHAnsi"/>
          <w:color w:val="auto"/>
        </w:rPr>
      </w:pPr>
      <w:r w:rsidRPr="00DD7469">
        <w:rPr>
          <w:rFonts w:asciiTheme="majorHAnsi" w:hAnsiTheme="majorHAnsi" w:cstheme="majorHAnsi"/>
          <w:color w:val="auto"/>
        </w:rPr>
        <w:t xml:space="preserve">Zdroj: </w:t>
      </w:r>
      <w:r>
        <w:rPr>
          <w:rFonts w:asciiTheme="majorHAnsi" w:hAnsiTheme="majorHAnsi" w:cstheme="majorHAnsi"/>
          <w:color w:val="auto"/>
        </w:rPr>
        <w:t xml:space="preserve">Krajské ročenky, </w:t>
      </w:r>
      <w:r w:rsidRPr="00DD7469">
        <w:rPr>
          <w:rFonts w:asciiTheme="majorHAnsi" w:hAnsiTheme="majorHAnsi" w:cstheme="majorHAnsi"/>
          <w:color w:val="auto"/>
        </w:rPr>
        <w:t>ČSÚ</w:t>
      </w:r>
      <w:r>
        <w:rPr>
          <w:rFonts w:asciiTheme="majorHAnsi" w:hAnsiTheme="majorHAnsi" w:cstheme="majorHAnsi"/>
          <w:color w:val="auto"/>
        </w:rPr>
        <w:t xml:space="preserve"> 2013-2017</w:t>
      </w:r>
    </w:p>
    <w:p w14:paraId="21D23B3D" w14:textId="77777777" w:rsidR="000C6EEA" w:rsidRPr="004E296E" w:rsidRDefault="000C6EEA" w:rsidP="005208F1">
      <w:pPr>
        <w:spacing w:before="0" w:line="240" w:lineRule="auto"/>
        <w:ind w:firstLine="0"/>
        <w:rPr>
          <w:rFonts w:ascii="Calibri" w:hAnsi="Calibri"/>
          <w:color w:val="000000"/>
        </w:rPr>
      </w:pPr>
      <w:r w:rsidRPr="00B671D3">
        <w:rPr>
          <w:rFonts w:ascii="Calibri" w:hAnsi="Calibri"/>
          <w:i/>
          <w:iCs/>
          <w:color w:val="000000"/>
          <w:sz w:val="18"/>
          <w:szCs w:val="18"/>
        </w:rPr>
        <w:t>Zpracování: ÚZEI</w:t>
      </w:r>
    </w:p>
    <w:p w14:paraId="19375B78" w14:textId="77777777" w:rsidR="000C6EEA" w:rsidRDefault="000C6EEA" w:rsidP="005208F1">
      <w:pPr>
        <w:pStyle w:val="Titulek"/>
        <w:spacing w:after="0"/>
        <w:ind w:firstLine="0"/>
        <w:rPr>
          <w:rFonts w:asciiTheme="majorHAnsi" w:hAnsiTheme="majorHAnsi" w:cstheme="majorHAnsi"/>
          <w:color w:val="auto"/>
        </w:rPr>
      </w:pPr>
      <w:r>
        <w:rPr>
          <w:rFonts w:asciiTheme="majorHAnsi" w:hAnsiTheme="majorHAnsi" w:cstheme="majorHAnsi"/>
          <w:color w:val="auto"/>
        </w:rPr>
        <w:t>Zkratky: OLK – Olomoucký; ZLK – Zlínský; MSK – Moravskoslezský</w:t>
      </w:r>
    </w:p>
    <w:p w14:paraId="7BBCC8EE" w14:textId="77777777" w:rsidR="000C6EEA" w:rsidRDefault="000C6EEA" w:rsidP="00143820"/>
    <w:p w14:paraId="14755776" w14:textId="77777777" w:rsidR="00143820" w:rsidRPr="004B694B" w:rsidRDefault="00143820">
      <w:pPr>
        <w:ind w:firstLine="0"/>
        <w:rPr>
          <w:rFonts w:asciiTheme="majorHAnsi" w:eastAsiaTheme="majorEastAsia" w:hAnsiTheme="majorHAnsi" w:cstheme="majorBidi"/>
          <w:b/>
          <w:bCs/>
        </w:rPr>
      </w:pPr>
      <w:r w:rsidRPr="004B694B">
        <w:rPr>
          <w:rFonts w:asciiTheme="majorHAnsi" w:eastAsiaTheme="majorEastAsia" w:hAnsiTheme="majorHAnsi" w:cstheme="majorBidi"/>
          <w:b/>
          <w:bCs/>
        </w:rPr>
        <w:t xml:space="preserve">Příjmová úroveň venkovských domácností </w:t>
      </w:r>
    </w:p>
    <w:p w14:paraId="74A90D3A" w14:textId="77777777" w:rsidR="00143820" w:rsidRDefault="00143820" w:rsidP="00143820">
      <w:pPr>
        <w:spacing w:line="240" w:lineRule="auto"/>
        <w:rPr>
          <w:b/>
        </w:rPr>
      </w:pPr>
    </w:p>
    <w:p w14:paraId="146D4F3A" w14:textId="77777777" w:rsidR="00143820" w:rsidRPr="004B694B" w:rsidRDefault="00143820" w:rsidP="004B694B">
      <w:pPr>
        <w:pStyle w:val="Titulek"/>
        <w:keepNext/>
        <w:spacing w:after="0"/>
        <w:ind w:firstLine="0"/>
        <w:jc w:val="left"/>
        <w:rPr>
          <w:rFonts w:asciiTheme="minorHAnsi" w:eastAsiaTheme="minorEastAsia" w:hAnsiTheme="minorHAnsi" w:cstheme="minorBidi"/>
          <w:b/>
          <w:bCs/>
          <w:i w:val="0"/>
          <w:iCs w:val="0"/>
          <w:color w:val="auto"/>
          <w:sz w:val="22"/>
          <w:szCs w:val="22"/>
        </w:rPr>
      </w:pPr>
      <w:bookmarkStart w:id="179" w:name="_Toc522869017"/>
      <w:r w:rsidRPr="004B694B">
        <w:rPr>
          <w:rFonts w:asciiTheme="minorHAnsi" w:eastAsiaTheme="minorEastAsia" w:hAnsiTheme="minorHAnsi" w:cstheme="minorBidi"/>
          <w:b/>
          <w:bCs/>
          <w:i w:val="0"/>
          <w:iCs w:val="0"/>
          <w:color w:val="auto"/>
          <w:sz w:val="22"/>
          <w:szCs w:val="22"/>
        </w:rPr>
        <w:t xml:space="preserve">Tabulka </w:t>
      </w:r>
      <w:r w:rsidR="005208F1">
        <w:rPr>
          <w:rFonts w:asciiTheme="minorHAnsi" w:eastAsiaTheme="minorEastAsia" w:hAnsiTheme="minorHAnsi" w:cstheme="minorBidi"/>
          <w:b/>
          <w:bCs/>
          <w:i w:val="0"/>
          <w:iCs w:val="0"/>
          <w:color w:val="auto"/>
          <w:sz w:val="22"/>
          <w:szCs w:val="22"/>
        </w:rPr>
        <w:t>7.</w:t>
      </w:r>
      <w:r w:rsidR="00E34D45">
        <w:rPr>
          <w:rFonts w:asciiTheme="minorHAnsi" w:eastAsiaTheme="minorEastAsia" w:hAnsiTheme="minorHAnsi" w:cstheme="minorBidi"/>
          <w:b/>
          <w:bCs/>
          <w:i w:val="0"/>
          <w:iCs w:val="0"/>
          <w:color w:val="auto"/>
          <w:sz w:val="22"/>
          <w:szCs w:val="22"/>
        </w:rPr>
        <w:fldChar w:fldCharType="begin"/>
      </w:r>
      <w:r w:rsidR="00E34D45">
        <w:rPr>
          <w:rFonts w:asciiTheme="minorHAnsi" w:eastAsiaTheme="minorEastAsia" w:hAnsiTheme="minorHAnsi" w:cstheme="minorBidi"/>
          <w:b/>
          <w:bCs/>
          <w:i w:val="0"/>
          <w:iCs w:val="0"/>
          <w:color w:val="auto"/>
          <w:sz w:val="22"/>
          <w:szCs w:val="22"/>
        </w:rPr>
        <w:instrText xml:space="preserve"> STYLEREF 1 \s </w:instrText>
      </w:r>
      <w:r w:rsidR="00E34D45">
        <w:rPr>
          <w:rFonts w:asciiTheme="minorHAnsi" w:eastAsiaTheme="minorEastAsia" w:hAnsiTheme="minorHAnsi" w:cstheme="minorBidi"/>
          <w:b/>
          <w:bCs/>
          <w:i w:val="0"/>
          <w:iCs w:val="0"/>
          <w:color w:val="auto"/>
          <w:sz w:val="22"/>
          <w:szCs w:val="22"/>
        </w:rPr>
        <w:fldChar w:fldCharType="separate"/>
      </w:r>
      <w:r w:rsidR="00240E36">
        <w:rPr>
          <w:rFonts w:asciiTheme="minorHAnsi" w:eastAsiaTheme="minorEastAsia" w:hAnsiTheme="minorHAnsi" w:cstheme="minorBidi"/>
          <w:b/>
          <w:bCs/>
          <w:i w:val="0"/>
          <w:iCs w:val="0"/>
          <w:noProof/>
          <w:color w:val="auto"/>
          <w:sz w:val="22"/>
          <w:szCs w:val="22"/>
        </w:rPr>
        <w:t>4</w:t>
      </w:r>
      <w:r w:rsidR="00E34D45">
        <w:rPr>
          <w:rFonts w:asciiTheme="minorHAnsi" w:eastAsiaTheme="minorEastAsia" w:hAnsiTheme="minorHAnsi" w:cstheme="minorBidi"/>
          <w:b/>
          <w:bCs/>
          <w:i w:val="0"/>
          <w:iCs w:val="0"/>
          <w:color w:val="auto"/>
          <w:sz w:val="22"/>
          <w:szCs w:val="22"/>
        </w:rPr>
        <w:fldChar w:fldCharType="end"/>
      </w:r>
      <w:r w:rsidR="00E34D45">
        <w:rPr>
          <w:rFonts w:asciiTheme="minorHAnsi" w:eastAsiaTheme="minorEastAsia" w:hAnsiTheme="minorHAnsi" w:cstheme="minorBidi"/>
          <w:b/>
          <w:bCs/>
          <w:i w:val="0"/>
          <w:iCs w:val="0"/>
          <w:color w:val="auto"/>
          <w:sz w:val="22"/>
          <w:szCs w:val="22"/>
        </w:rPr>
        <w:t>.</w:t>
      </w:r>
      <w:r w:rsidR="00E34D45">
        <w:rPr>
          <w:rFonts w:asciiTheme="minorHAnsi" w:eastAsiaTheme="minorEastAsia" w:hAnsiTheme="minorHAnsi" w:cstheme="minorBidi"/>
          <w:b/>
          <w:bCs/>
          <w:i w:val="0"/>
          <w:iCs w:val="0"/>
          <w:color w:val="auto"/>
          <w:sz w:val="22"/>
          <w:szCs w:val="22"/>
        </w:rPr>
        <w:fldChar w:fldCharType="begin"/>
      </w:r>
      <w:r w:rsidR="00E34D45">
        <w:rPr>
          <w:rFonts w:asciiTheme="minorHAnsi" w:eastAsiaTheme="minorEastAsia" w:hAnsiTheme="minorHAnsi" w:cstheme="minorBidi"/>
          <w:b/>
          <w:bCs/>
          <w:i w:val="0"/>
          <w:iCs w:val="0"/>
          <w:color w:val="auto"/>
          <w:sz w:val="22"/>
          <w:szCs w:val="22"/>
        </w:rPr>
        <w:instrText xml:space="preserve"> SEQ Tabulka \* ARABIC \s 1 </w:instrText>
      </w:r>
      <w:r w:rsidR="00E34D45">
        <w:rPr>
          <w:rFonts w:asciiTheme="minorHAnsi" w:eastAsiaTheme="minorEastAsia" w:hAnsiTheme="minorHAnsi" w:cstheme="minorBidi"/>
          <w:b/>
          <w:bCs/>
          <w:i w:val="0"/>
          <w:iCs w:val="0"/>
          <w:color w:val="auto"/>
          <w:sz w:val="22"/>
          <w:szCs w:val="22"/>
        </w:rPr>
        <w:fldChar w:fldCharType="separate"/>
      </w:r>
      <w:r w:rsidR="00240E36">
        <w:rPr>
          <w:rFonts w:asciiTheme="minorHAnsi" w:eastAsiaTheme="minorEastAsia" w:hAnsiTheme="minorHAnsi" w:cstheme="minorBidi"/>
          <w:b/>
          <w:bCs/>
          <w:i w:val="0"/>
          <w:iCs w:val="0"/>
          <w:noProof/>
          <w:color w:val="auto"/>
          <w:sz w:val="22"/>
          <w:szCs w:val="22"/>
        </w:rPr>
        <w:t>5</w:t>
      </w:r>
      <w:r w:rsidR="00E34D45">
        <w:rPr>
          <w:rFonts w:asciiTheme="minorHAnsi" w:eastAsiaTheme="minorEastAsia" w:hAnsiTheme="minorHAnsi" w:cstheme="minorBidi"/>
          <w:b/>
          <w:bCs/>
          <w:i w:val="0"/>
          <w:iCs w:val="0"/>
          <w:color w:val="auto"/>
          <w:sz w:val="22"/>
          <w:szCs w:val="22"/>
        </w:rPr>
        <w:fldChar w:fldCharType="end"/>
      </w:r>
      <w:r w:rsidRPr="004B694B">
        <w:rPr>
          <w:rFonts w:asciiTheme="minorHAnsi" w:eastAsiaTheme="minorEastAsia" w:hAnsiTheme="minorHAnsi" w:cstheme="minorBidi"/>
          <w:b/>
          <w:bCs/>
          <w:i w:val="0"/>
          <w:iCs w:val="0"/>
          <w:color w:val="auto"/>
          <w:sz w:val="22"/>
          <w:szCs w:val="22"/>
        </w:rPr>
        <w:t>: Přehled příjmů domácností v roce 2016 podle velikosti obce (počtu obyvatel obce) (průměry na osobu v Kč za rok)</w:t>
      </w:r>
      <w:bookmarkEnd w:id="179"/>
    </w:p>
    <w:tbl>
      <w:tblPr>
        <w:tblW w:w="9992" w:type="dxa"/>
        <w:tblCellMar>
          <w:left w:w="70" w:type="dxa"/>
          <w:right w:w="70" w:type="dxa"/>
        </w:tblCellMar>
        <w:tblLook w:val="04A0" w:firstRow="1" w:lastRow="0" w:firstColumn="1" w:lastColumn="0" w:noHBand="0" w:noVBand="1"/>
      </w:tblPr>
      <w:tblGrid>
        <w:gridCol w:w="2954"/>
        <w:gridCol w:w="992"/>
        <w:gridCol w:w="993"/>
        <w:gridCol w:w="992"/>
        <w:gridCol w:w="1134"/>
        <w:gridCol w:w="1044"/>
        <w:gridCol w:w="960"/>
        <w:gridCol w:w="923"/>
      </w:tblGrid>
      <w:tr w:rsidR="00143820" w:rsidRPr="00EF462E" w14:paraId="1D398D08" w14:textId="77777777" w:rsidTr="00BD6B13">
        <w:trPr>
          <w:trHeight w:val="315"/>
        </w:trPr>
        <w:tc>
          <w:tcPr>
            <w:tcW w:w="2954"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40851FF0" w14:textId="77777777" w:rsidR="00143820" w:rsidRPr="002507F9" w:rsidRDefault="00143820" w:rsidP="00BD6B13">
            <w:pPr>
              <w:spacing w:line="240" w:lineRule="auto"/>
              <w:ind w:firstLine="0"/>
              <w:jc w:val="center"/>
              <w:rPr>
                <w:rFonts w:asciiTheme="majorHAnsi" w:eastAsiaTheme="majorEastAsia" w:hAnsiTheme="majorHAnsi" w:cstheme="majorBidi"/>
                <w:b/>
                <w:sz w:val="18"/>
                <w:szCs w:val="18"/>
              </w:rPr>
            </w:pPr>
          </w:p>
        </w:tc>
        <w:tc>
          <w:tcPr>
            <w:tcW w:w="992"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4E27190C" w14:textId="77777777" w:rsidR="00143820" w:rsidRPr="004B694B" w:rsidRDefault="00143820" w:rsidP="004B694B">
            <w:pPr>
              <w:spacing w:line="240" w:lineRule="auto"/>
              <w:ind w:firstLine="0"/>
              <w:jc w:val="center"/>
              <w:rPr>
                <w:rFonts w:asciiTheme="majorHAnsi" w:eastAsiaTheme="majorEastAsia" w:hAnsiTheme="majorHAnsi" w:cstheme="majorBidi"/>
                <w:b/>
                <w:bCs/>
                <w:sz w:val="18"/>
                <w:szCs w:val="18"/>
              </w:rPr>
            </w:pPr>
            <w:r w:rsidRPr="004B694B">
              <w:rPr>
                <w:rFonts w:asciiTheme="majorHAnsi" w:eastAsiaTheme="majorEastAsia" w:hAnsiTheme="majorHAnsi" w:cstheme="majorBidi"/>
                <w:b/>
                <w:bCs/>
                <w:sz w:val="18"/>
                <w:szCs w:val="18"/>
              </w:rPr>
              <w:t>Celkem</w:t>
            </w:r>
          </w:p>
        </w:tc>
        <w:tc>
          <w:tcPr>
            <w:tcW w:w="993" w:type="dxa"/>
            <w:tcBorders>
              <w:top w:val="double" w:sz="6" w:space="0" w:color="auto"/>
              <w:left w:val="nil"/>
              <w:bottom w:val="single" w:sz="4" w:space="0" w:color="auto"/>
              <w:right w:val="single" w:sz="4" w:space="0" w:color="auto"/>
            </w:tcBorders>
            <w:shd w:val="clear" w:color="auto" w:fill="auto"/>
            <w:noWrap/>
            <w:vAlign w:val="center"/>
            <w:hideMark/>
          </w:tcPr>
          <w:p w14:paraId="4CF8B98D" w14:textId="77777777" w:rsidR="00143820" w:rsidRPr="004B694B" w:rsidRDefault="00143820" w:rsidP="004B694B">
            <w:pPr>
              <w:spacing w:line="240" w:lineRule="auto"/>
              <w:ind w:firstLine="0"/>
              <w:jc w:val="center"/>
              <w:rPr>
                <w:rFonts w:asciiTheme="majorHAnsi" w:eastAsiaTheme="majorEastAsia" w:hAnsiTheme="majorHAnsi" w:cstheme="majorBidi"/>
                <w:b/>
                <w:bCs/>
                <w:sz w:val="18"/>
                <w:szCs w:val="18"/>
              </w:rPr>
            </w:pPr>
            <w:r w:rsidRPr="004B694B">
              <w:rPr>
                <w:rFonts w:asciiTheme="majorHAnsi" w:eastAsiaTheme="majorEastAsia" w:hAnsiTheme="majorHAnsi" w:cstheme="majorBidi"/>
                <w:b/>
                <w:bCs/>
                <w:sz w:val="18"/>
                <w:szCs w:val="18"/>
              </w:rPr>
              <w:t>do 1999</w:t>
            </w:r>
          </w:p>
        </w:tc>
        <w:tc>
          <w:tcPr>
            <w:tcW w:w="992" w:type="dxa"/>
            <w:tcBorders>
              <w:top w:val="double" w:sz="6" w:space="0" w:color="auto"/>
              <w:left w:val="nil"/>
              <w:bottom w:val="single" w:sz="4" w:space="0" w:color="auto"/>
              <w:right w:val="single" w:sz="4" w:space="0" w:color="auto"/>
            </w:tcBorders>
            <w:shd w:val="clear" w:color="auto" w:fill="auto"/>
            <w:noWrap/>
            <w:vAlign w:val="center"/>
            <w:hideMark/>
          </w:tcPr>
          <w:p w14:paraId="7CF3280A" w14:textId="77777777" w:rsidR="00143820" w:rsidRPr="004B694B" w:rsidRDefault="00143820" w:rsidP="004B694B">
            <w:pPr>
              <w:spacing w:line="240" w:lineRule="auto"/>
              <w:ind w:firstLine="0"/>
              <w:jc w:val="center"/>
              <w:rPr>
                <w:rFonts w:asciiTheme="majorHAnsi" w:eastAsiaTheme="majorEastAsia" w:hAnsiTheme="majorHAnsi" w:cstheme="majorBidi"/>
                <w:b/>
                <w:bCs/>
                <w:sz w:val="18"/>
                <w:szCs w:val="18"/>
              </w:rPr>
            </w:pPr>
            <w:r w:rsidRPr="004B694B">
              <w:rPr>
                <w:rFonts w:asciiTheme="majorHAnsi" w:eastAsiaTheme="majorEastAsia" w:hAnsiTheme="majorHAnsi" w:cstheme="majorBidi"/>
                <w:b/>
                <w:bCs/>
                <w:sz w:val="18"/>
                <w:szCs w:val="18"/>
              </w:rPr>
              <w:t>2000-9999</w:t>
            </w:r>
          </w:p>
        </w:tc>
        <w:tc>
          <w:tcPr>
            <w:tcW w:w="1134" w:type="dxa"/>
            <w:tcBorders>
              <w:top w:val="double" w:sz="6" w:space="0" w:color="auto"/>
              <w:left w:val="nil"/>
              <w:bottom w:val="single" w:sz="4" w:space="0" w:color="auto"/>
              <w:right w:val="single" w:sz="4" w:space="0" w:color="auto"/>
            </w:tcBorders>
            <w:shd w:val="clear" w:color="auto" w:fill="auto"/>
            <w:noWrap/>
            <w:vAlign w:val="center"/>
            <w:hideMark/>
          </w:tcPr>
          <w:p w14:paraId="17541553" w14:textId="77777777" w:rsidR="00143820" w:rsidRPr="004B694B" w:rsidRDefault="00143820" w:rsidP="004B694B">
            <w:pPr>
              <w:spacing w:line="240" w:lineRule="auto"/>
              <w:ind w:firstLine="0"/>
              <w:jc w:val="center"/>
              <w:rPr>
                <w:rFonts w:asciiTheme="majorHAnsi" w:eastAsiaTheme="majorEastAsia" w:hAnsiTheme="majorHAnsi" w:cstheme="majorBidi"/>
                <w:b/>
                <w:bCs/>
                <w:sz w:val="18"/>
                <w:szCs w:val="18"/>
              </w:rPr>
            </w:pPr>
            <w:r w:rsidRPr="004B694B">
              <w:rPr>
                <w:rFonts w:asciiTheme="majorHAnsi" w:eastAsiaTheme="majorEastAsia" w:hAnsiTheme="majorHAnsi" w:cstheme="majorBidi"/>
                <w:b/>
                <w:bCs/>
                <w:sz w:val="18"/>
                <w:szCs w:val="18"/>
              </w:rPr>
              <w:t>do 49 999</w:t>
            </w:r>
          </w:p>
        </w:tc>
        <w:tc>
          <w:tcPr>
            <w:tcW w:w="1044" w:type="dxa"/>
            <w:tcBorders>
              <w:top w:val="double" w:sz="6" w:space="0" w:color="auto"/>
              <w:left w:val="nil"/>
              <w:bottom w:val="single" w:sz="4" w:space="0" w:color="auto"/>
              <w:right w:val="single" w:sz="4" w:space="0" w:color="auto"/>
            </w:tcBorders>
            <w:shd w:val="clear" w:color="auto" w:fill="auto"/>
            <w:noWrap/>
            <w:vAlign w:val="center"/>
            <w:hideMark/>
          </w:tcPr>
          <w:p w14:paraId="0FC2D737" w14:textId="77777777" w:rsidR="00143820" w:rsidRPr="004B694B" w:rsidRDefault="00143820" w:rsidP="004B694B">
            <w:pPr>
              <w:spacing w:line="240" w:lineRule="auto"/>
              <w:ind w:firstLine="0"/>
              <w:jc w:val="center"/>
              <w:rPr>
                <w:rFonts w:asciiTheme="majorHAnsi" w:eastAsiaTheme="majorEastAsia" w:hAnsiTheme="majorHAnsi" w:cstheme="majorBidi"/>
                <w:b/>
                <w:bCs/>
                <w:sz w:val="18"/>
                <w:szCs w:val="18"/>
              </w:rPr>
            </w:pPr>
            <w:r w:rsidRPr="004B694B">
              <w:rPr>
                <w:rFonts w:asciiTheme="majorHAnsi" w:eastAsiaTheme="majorEastAsia" w:hAnsiTheme="majorHAnsi" w:cstheme="majorBidi"/>
                <w:b/>
                <w:bCs/>
                <w:sz w:val="18"/>
                <w:szCs w:val="18"/>
              </w:rPr>
              <w:t>50 000 a více</w:t>
            </w:r>
          </w:p>
        </w:tc>
        <w:tc>
          <w:tcPr>
            <w:tcW w:w="960" w:type="dxa"/>
            <w:tcBorders>
              <w:top w:val="double" w:sz="6" w:space="0" w:color="auto"/>
              <w:left w:val="nil"/>
              <w:bottom w:val="single" w:sz="4" w:space="0" w:color="auto"/>
              <w:right w:val="single" w:sz="4" w:space="0" w:color="auto"/>
            </w:tcBorders>
            <w:shd w:val="clear" w:color="auto" w:fill="auto"/>
            <w:noWrap/>
            <w:vAlign w:val="center"/>
            <w:hideMark/>
          </w:tcPr>
          <w:p w14:paraId="40C70616" w14:textId="77777777" w:rsidR="00143820" w:rsidRPr="004B694B" w:rsidRDefault="00143820" w:rsidP="004B694B">
            <w:pPr>
              <w:spacing w:line="240" w:lineRule="auto"/>
              <w:ind w:firstLine="0"/>
              <w:jc w:val="center"/>
              <w:rPr>
                <w:rFonts w:asciiTheme="majorHAnsi" w:eastAsiaTheme="majorEastAsia" w:hAnsiTheme="majorHAnsi" w:cstheme="majorBidi"/>
                <w:b/>
                <w:bCs/>
                <w:sz w:val="18"/>
                <w:szCs w:val="18"/>
              </w:rPr>
            </w:pPr>
            <w:r w:rsidRPr="004B694B">
              <w:rPr>
                <w:rFonts w:asciiTheme="majorHAnsi" w:eastAsiaTheme="majorEastAsia" w:hAnsiTheme="majorHAnsi" w:cstheme="majorBidi"/>
                <w:b/>
                <w:bCs/>
                <w:sz w:val="18"/>
                <w:szCs w:val="18"/>
              </w:rPr>
              <w:t>rozdíl</w:t>
            </w:r>
            <w:r w:rsidRPr="004B694B">
              <w:rPr>
                <w:rFonts w:asciiTheme="majorHAnsi" w:eastAsiaTheme="majorEastAsia" w:hAnsiTheme="majorHAnsi" w:cstheme="majorBidi"/>
                <w:b/>
                <w:bCs/>
                <w:sz w:val="18"/>
                <w:szCs w:val="18"/>
                <w:vertAlign w:val="superscript"/>
              </w:rPr>
              <w:t>1)</w:t>
            </w:r>
          </w:p>
        </w:tc>
        <w:tc>
          <w:tcPr>
            <w:tcW w:w="923" w:type="dxa"/>
            <w:tcBorders>
              <w:top w:val="double" w:sz="6" w:space="0" w:color="auto"/>
              <w:left w:val="nil"/>
              <w:bottom w:val="single" w:sz="4" w:space="0" w:color="auto"/>
              <w:right w:val="double" w:sz="6" w:space="0" w:color="auto"/>
            </w:tcBorders>
            <w:shd w:val="clear" w:color="auto" w:fill="auto"/>
            <w:noWrap/>
            <w:vAlign w:val="center"/>
            <w:hideMark/>
          </w:tcPr>
          <w:p w14:paraId="2E41612B" w14:textId="77777777" w:rsidR="00143820" w:rsidRPr="004B694B" w:rsidRDefault="00143820" w:rsidP="004B694B">
            <w:pPr>
              <w:spacing w:line="240" w:lineRule="auto"/>
              <w:ind w:firstLine="0"/>
              <w:jc w:val="center"/>
              <w:rPr>
                <w:rFonts w:asciiTheme="majorHAnsi" w:eastAsiaTheme="majorEastAsia" w:hAnsiTheme="majorHAnsi" w:cstheme="majorBidi"/>
                <w:b/>
                <w:bCs/>
                <w:sz w:val="18"/>
                <w:szCs w:val="18"/>
              </w:rPr>
            </w:pPr>
            <w:proofErr w:type="gramStart"/>
            <w:r w:rsidRPr="004B694B">
              <w:rPr>
                <w:rFonts w:asciiTheme="majorHAnsi" w:eastAsiaTheme="majorEastAsia" w:hAnsiTheme="majorHAnsi" w:cstheme="majorBidi"/>
                <w:b/>
                <w:bCs/>
                <w:sz w:val="18"/>
                <w:szCs w:val="18"/>
              </w:rPr>
              <w:t>Ind.(</w:t>
            </w:r>
            <w:proofErr w:type="gramEnd"/>
            <w:r w:rsidRPr="004B694B">
              <w:rPr>
                <w:rFonts w:asciiTheme="majorHAnsi" w:eastAsiaTheme="majorEastAsia" w:hAnsiTheme="majorHAnsi" w:cstheme="majorBidi"/>
                <w:b/>
                <w:bCs/>
                <w:sz w:val="18"/>
                <w:szCs w:val="18"/>
              </w:rPr>
              <w:t>%)</w:t>
            </w:r>
            <w:r w:rsidRPr="004B694B">
              <w:rPr>
                <w:rFonts w:asciiTheme="majorHAnsi" w:eastAsiaTheme="majorEastAsia" w:hAnsiTheme="majorHAnsi" w:cstheme="majorBidi"/>
                <w:b/>
                <w:bCs/>
                <w:sz w:val="18"/>
                <w:szCs w:val="18"/>
                <w:vertAlign w:val="superscript"/>
              </w:rPr>
              <w:t>1)</w:t>
            </w:r>
          </w:p>
        </w:tc>
      </w:tr>
      <w:tr w:rsidR="00143820" w:rsidRPr="00EF462E" w14:paraId="232DBF4C" w14:textId="77777777" w:rsidTr="004B694B">
        <w:trPr>
          <w:trHeight w:val="300"/>
        </w:trPr>
        <w:tc>
          <w:tcPr>
            <w:tcW w:w="2954" w:type="dxa"/>
            <w:tcBorders>
              <w:top w:val="nil"/>
              <w:left w:val="double" w:sz="6" w:space="0" w:color="auto"/>
              <w:bottom w:val="single" w:sz="4" w:space="0" w:color="auto"/>
              <w:right w:val="single" w:sz="4" w:space="0" w:color="auto"/>
            </w:tcBorders>
            <w:shd w:val="clear" w:color="auto" w:fill="auto"/>
            <w:noWrap/>
            <w:vAlign w:val="bottom"/>
            <w:hideMark/>
          </w:tcPr>
          <w:p w14:paraId="43E440A6" w14:textId="77777777" w:rsidR="00143820" w:rsidRPr="004B694B" w:rsidRDefault="00143820" w:rsidP="004B694B">
            <w:pPr>
              <w:spacing w:line="240" w:lineRule="auto"/>
              <w:ind w:firstLine="0"/>
              <w:rPr>
                <w:rFonts w:asciiTheme="majorHAnsi" w:eastAsiaTheme="majorEastAsia" w:hAnsiTheme="majorHAnsi" w:cstheme="majorBidi"/>
                <w:b/>
                <w:bCs/>
                <w:sz w:val="18"/>
                <w:szCs w:val="18"/>
              </w:rPr>
            </w:pPr>
            <w:r w:rsidRPr="004B694B">
              <w:rPr>
                <w:rFonts w:asciiTheme="majorHAnsi" w:eastAsiaTheme="majorEastAsia" w:hAnsiTheme="majorHAnsi" w:cstheme="majorBidi"/>
                <w:b/>
                <w:bCs/>
                <w:sz w:val="18"/>
                <w:szCs w:val="18"/>
              </w:rPr>
              <w:t>Průměrný počet členů domácnosti</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6910ADB"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 xml:space="preserve">2,20  </w:t>
            </w:r>
          </w:p>
        </w:tc>
        <w:tc>
          <w:tcPr>
            <w:tcW w:w="993" w:type="dxa"/>
            <w:tcBorders>
              <w:top w:val="nil"/>
              <w:left w:val="nil"/>
              <w:bottom w:val="single" w:sz="4" w:space="0" w:color="auto"/>
              <w:right w:val="single" w:sz="4" w:space="0" w:color="auto"/>
            </w:tcBorders>
            <w:shd w:val="clear" w:color="auto" w:fill="auto"/>
            <w:noWrap/>
            <w:vAlign w:val="bottom"/>
            <w:hideMark/>
          </w:tcPr>
          <w:p w14:paraId="255A3247"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 xml:space="preserve">2,47  </w:t>
            </w:r>
          </w:p>
        </w:tc>
        <w:tc>
          <w:tcPr>
            <w:tcW w:w="992" w:type="dxa"/>
            <w:tcBorders>
              <w:top w:val="nil"/>
              <w:left w:val="nil"/>
              <w:bottom w:val="single" w:sz="4" w:space="0" w:color="auto"/>
              <w:right w:val="single" w:sz="4" w:space="0" w:color="auto"/>
            </w:tcBorders>
            <w:shd w:val="clear" w:color="auto" w:fill="auto"/>
            <w:noWrap/>
            <w:vAlign w:val="bottom"/>
            <w:hideMark/>
          </w:tcPr>
          <w:p w14:paraId="1047828C"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 xml:space="preserve">2,27  </w:t>
            </w:r>
          </w:p>
        </w:tc>
        <w:tc>
          <w:tcPr>
            <w:tcW w:w="1134" w:type="dxa"/>
            <w:tcBorders>
              <w:top w:val="nil"/>
              <w:left w:val="nil"/>
              <w:bottom w:val="single" w:sz="4" w:space="0" w:color="auto"/>
              <w:right w:val="single" w:sz="4" w:space="0" w:color="auto"/>
            </w:tcBorders>
            <w:shd w:val="clear" w:color="auto" w:fill="auto"/>
            <w:noWrap/>
            <w:vAlign w:val="bottom"/>
            <w:hideMark/>
          </w:tcPr>
          <w:p w14:paraId="2267E38B"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 xml:space="preserve">2,04  </w:t>
            </w:r>
          </w:p>
        </w:tc>
        <w:tc>
          <w:tcPr>
            <w:tcW w:w="1044" w:type="dxa"/>
            <w:tcBorders>
              <w:top w:val="nil"/>
              <w:left w:val="nil"/>
              <w:bottom w:val="single" w:sz="4" w:space="0" w:color="auto"/>
              <w:right w:val="single" w:sz="4" w:space="0" w:color="auto"/>
            </w:tcBorders>
            <w:shd w:val="clear" w:color="auto" w:fill="auto"/>
            <w:noWrap/>
            <w:vAlign w:val="bottom"/>
            <w:hideMark/>
          </w:tcPr>
          <w:p w14:paraId="06910532"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 xml:space="preserve">2,08  </w:t>
            </w:r>
          </w:p>
        </w:tc>
        <w:tc>
          <w:tcPr>
            <w:tcW w:w="960" w:type="dxa"/>
            <w:tcBorders>
              <w:top w:val="nil"/>
              <w:left w:val="nil"/>
              <w:bottom w:val="single" w:sz="4" w:space="0" w:color="auto"/>
              <w:right w:val="single" w:sz="4" w:space="0" w:color="auto"/>
            </w:tcBorders>
            <w:shd w:val="clear" w:color="auto" w:fill="auto"/>
            <w:noWrap/>
            <w:vAlign w:val="bottom"/>
            <w:hideMark/>
          </w:tcPr>
          <w:p w14:paraId="0480FD66"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0,39</w:t>
            </w:r>
          </w:p>
        </w:tc>
        <w:tc>
          <w:tcPr>
            <w:tcW w:w="923" w:type="dxa"/>
            <w:tcBorders>
              <w:top w:val="nil"/>
              <w:left w:val="nil"/>
              <w:bottom w:val="single" w:sz="4" w:space="0" w:color="auto"/>
              <w:right w:val="double" w:sz="6" w:space="0" w:color="auto"/>
            </w:tcBorders>
            <w:shd w:val="clear" w:color="auto" w:fill="auto"/>
            <w:noWrap/>
            <w:vAlign w:val="bottom"/>
            <w:hideMark/>
          </w:tcPr>
          <w:p w14:paraId="6385E84D"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118,8</w:t>
            </w:r>
          </w:p>
        </w:tc>
      </w:tr>
      <w:tr w:rsidR="00143820" w:rsidRPr="00EF462E" w14:paraId="729A64D8" w14:textId="77777777" w:rsidTr="004B694B">
        <w:trPr>
          <w:trHeight w:val="300"/>
        </w:trPr>
        <w:tc>
          <w:tcPr>
            <w:tcW w:w="2954" w:type="dxa"/>
            <w:tcBorders>
              <w:top w:val="nil"/>
              <w:left w:val="double" w:sz="6" w:space="0" w:color="auto"/>
              <w:bottom w:val="single" w:sz="4" w:space="0" w:color="auto"/>
              <w:right w:val="single" w:sz="4" w:space="0" w:color="auto"/>
            </w:tcBorders>
            <w:shd w:val="clear" w:color="auto" w:fill="auto"/>
            <w:noWrap/>
            <w:vAlign w:val="bottom"/>
            <w:hideMark/>
          </w:tcPr>
          <w:p w14:paraId="2D107A9C" w14:textId="77777777" w:rsidR="00143820" w:rsidRPr="004B694B" w:rsidRDefault="00143820" w:rsidP="004B694B">
            <w:pPr>
              <w:spacing w:line="240" w:lineRule="auto"/>
              <w:ind w:firstLine="0"/>
              <w:rPr>
                <w:rFonts w:asciiTheme="majorHAnsi" w:eastAsiaTheme="majorEastAsia" w:hAnsiTheme="majorHAnsi" w:cstheme="majorBidi"/>
                <w:b/>
                <w:bCs/>
                <w:sz w:val="18"/>
                <w:szCs w:val="18"/>
              </w:rPr>
            </w:pPr>
            <w:r w:rsidRPr="004B694B">
              <w:rPr>
                <w:rFonts w:asciiTheme="majorHAnsi" w:eastAsiaTheme="majorEastAsia" w:hAnsiTheme="majorHAnsi" w:cstheme="majorBidi"/>
                <w:b/>
                <w:bCs/>
                <w:sz w:val="18"/>
                <w:szCs w:val="18"/>
              </w:rPr>
              <w:t xml:space="preserve">  z toho pracujících</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C3C8EC2"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 xml:space="preserve">0,99  </w:t>
            </w:r>
          </w:p>
        </w:tc>
        <w:tc>
          <w:tcPr>
            <w:tcW w:w="993" w:type="dxa"/>
            <w:tcBorders>
              <w:top w:val="nil"/>
              <w:left w:val="nil"/>
              <w:bottom w:val="single" w:sz="4" w:space="0" w:color="auto"/>
              <w:right w:val="single" w:sz="4" w:space="0" w:color="auto"/>
            </w:tcBorders>
            <w:shd w:val="clear" w:color="auto" w:fill="auto"/>
            <w:noWrap/>
            <w:vAlign w:val="bottom"/>
            <w:hideMark/>
          </w:tcPr>
          <w:p w14:paraId="6A3D8B61"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 xml:space="preserve">1,08  </w:t>
            </w:r>
          </w:p>
        </w:tc>
        <w:tc>
          <w:tcPr>
            <w:tcW w:w="992" w:type="dxa"/>
            <w:tcBorders>
              <w:top w:val="nil"/>
              <w:left w:val="nil"/>
              <w:bottom w:val="single" w:sz="4" w:space="0" w:color="auto"/>
              <w:right w:val="single" w:sz="4" w:space="0" w:color="auto"/>
            </w:tcBorders>
            <w:shd w:val="clear" w:color="auto" w:fill="auto"/>
            <w:noWrap/>
            <w:vAlign w:val="bottom"/>
            <w:hideMark/>
          </w:tcPr>
          <w:p w14:paraId="5618FF73"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 xml:space="preserve">1,03  </w:t>
            </w:r>
          </w:p>
        </w:tc>
        <w:tc>
          <w:tcPr>
            <w:tcW w:w="1134" w:type="dxa"/>
            <w:tcBorders>
              <w:top w:val="nil"/>
              <w:left w:val="nil"/>
              <w:bottom w:val="single" w:sz="4" w:space="0" w:color="auto"/>
              <w:right w:val="single" w:sz="4" w:space="0" w:color="auto"/>
            </w:tcBorders>
            <w:shd w:val="clear" w:color="auto" w:fill="auto"/>
            <w:noWrap/>
            <w:vAlign w:val="bottom"/>
            <w:hideMark/>
          </w:tcPr>
          <w:p w14:paraId="180CB83F"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 xml:space="preserve">0,95  </w:t>
            </w:r>
          </w:p>
        </w:tc>
        <w:tc>
          <w:tcPr>
            <w:tcW w:w="1044" w:type="dxa"/>
            <w:tcBorders>
              <w:top w:val="nil"/>
              <w:left w:val="nil"/>
              <w:bottom w:val="single" w:sz="4" w:space="0" w:color="auto"/>
              <w:right w:val="single" w:sz="4" w:space="0" w:color="auto"/>
            </w:tcBorders>
            <w:shd w:val="clear" w:color="auto" w:fill="auto"/>
            <w:noWrap/>
            <w:vAlign w:val="bottom"/>
            <w:hideMark/>
          </w:tcPr>
          <w:p w14:paraId="3B04F7B8"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 xml:space="preserve">0,94  </w:t>
            </w:r>
          </w:p>
        </w:tc>
        <w:tc>
          <w:tcPr>
            <w:tcW w:w="960" w:type="dxa"/>
            <w:tcBorders>
              <w:top w:val="nil"/>
              <w:left w:val="nil"/>
              <w:bottom w:val="single" w:sz="4" w:space="0" w:color="auto"/>
              <w:right w:val="single" w:sz="4" w:space="0" w:color="auto"/>
            </w:tcBorders>
            <w:shd w:val="clear" w:color="auto" w:fill="auto"/>
            <w:noWrap/>
            <w:vAlign w:val="bottom"/>
            <w:hideMark/>
          </w:tcPr>
          <w:p w14:paraId="48A0157A"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0,14</w:t>
            </w:r>
          </w:p>
        </w:tc>
        <w:tc>
          <w:tcPr>
            <w:tcW w:w="923" w:type="dxa"/>
            <w:tcBorders>
              <w:top w:val="nil"/>
              <w:left w:val="nil"/>
              <w:bottom w:val="single" w:sz="4" w:space="0" w:color="auto"/>
              <w:right w:val="double" w:sz="6" w:space="0" w:color="auto"/>
            </w:tcBorders>
            <w:shd w:val="clear" w:color="auto" w:fill="auto"/>
            <w:noWrap/>
            <w:vAlign w:val="bottom"/>
            <w:hideMark/>
          </w:tcPr>
          <w:p w14:paraId="4064B5AC"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114,9</w:t>
            </w:r>
          </w:p>
        </w:tc>
      </w:tr>
      <w:tr w:rsidR="00143820" w:rsidRPr="00EF462E" w14:paraId="55845978" w14:textId="77777777" w:rsidTr="004B694B">
        <w:trPr>
          <w:trHeight w:val="300"/>
        </w:trPr>
        <w:tc>
          <w:tcPr>
            <w:tcW w:w="2954" w:type="dxa"/>
            <w:tcBorders>
              <w:top w:val="nil"/>
              <w:left w:val="double" w:sz="6" w:space="0" w:color="auto"/>
              <w:bottom w:val="single" w:sz="4" w:space="0" w:color="auto"/>
              <w:right w:val="single" w:sz="4" w:space="0" w:color="auto"/>
            </w:tcBorders>
            <w:shd w:val="clear" w:color="auto" w:fill="auto"/>
            <w:noWrap/>
            <w:vAlign w:val="bottom"/>
            <w:hideMark/>
          </w:tcPr>
          <w:p w14:paraId="281B98BF" w14:textId="77777777" w:rsidR="00143820" w:rsidRPr="004B694B" w:rsidRDefault="00143820" w:rsidP="004B694B">
            <w:pPr>
              <w:spacing w:line="240" w:lineRule="auto"/>
              <w:ind w:firstLine="0"/>
              <w:rPr>
                <w:rFonts w:asciiTheme="majorHAnsi" w:eastAsiaTheme="majorEastAsia" w:hAnsiTheme="majorHAnsi" w:cstheme="majorBidi"/>
                <w:b/>
                <w:bCs/>
                <w:sz w:val="18"/>
                <w:szCs w:val="18"/>
              </w:rPr>
            </w:pPr>
            <w:r w:rsidRPr="004B694B">
              <w:rPr>
                <w:rFonts w:asciiTheme="majorHAnsi" w:eastAsiaTheme="majorEastAsia" w:hAnsiTheme="majorHAnsi" w:cstheme="majorBidi"/>
                <w:b/>
                <w:bCs/>
                <w:sz w:val="18"/>
                <w:szCs w:val="18"/>
              </w:rPr>
              <w:t xml:space="preserve">               vyživovaných dětí</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5BFAEFA"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 xml:space="preserve">0,52  </w:t>
            </w:r>
          </w:p>
        </w:tc>
        <w:tc>
          <w:tcPr>
            <w:tcW w:w="993" w:type="dxa"/>
            <w:tcBorders>
              <w:top w:val="nil"/>
              <w:left w:val="nil"/>
              <w:bottom w:val="single" w:sz="4" w:space="0" w:color="auto"/>
              <w:right w:val="single" w:sz="4" w:space="0" w:color="auto"/>
            </w:tcBorders>
            <w:shd w:val="clear" w:color="auto" w:fill="auto"/>
            <w:noWrap/>
            <w:vAlign w:val="bottom"/>
            <w:hideMark/>
          </w:tcPr>
          <w:p w14:paraId="65A8939F"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 xml:space="preserve">0,66  </w:t>
            </w:r>
          </w:p>
        </w:tc>
        <w:tc>
          <w:tcPr>
            <w:tcW w:w="992" w:type="dxa"/>
            <w:tcBorders>
              <w:top w:val="nil"/>
              <w:left w:val="nil"/>
              <w:bottom w:val="single" w:sz="4" w:space="0" w:color="auto"/>
              <w:right w:val="single" w:sz="4" w:space="0" w:color="auto"/>
            </w:tcBorders>
            <w:shd w:val="clear" w:color="auto" w:fill="auto"/>
            <w:noWrap/>
            <w:vAlign w:val="bottom"/>
            <w:hideMark/>
          </w:tcPr>
          <w:p w14:paraId="0F341CB2"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 xml:space="preserve">0,57  </w:t>
            </w:r>
          </w:p>
        </w:tc>
        <w:tc>
          <w:tcPr>
            <w:tcW w:w="1134" w:type="dxa"/>
            <w:tcBorders>
              <w:top w:val="nil"/>
              <w:left w:val="nil"/>
              <w:bottom w:val="single" w:sz="4" w:space="0" w:color="auto"/>
              <w:right w:val="single" w:sz="4" w:space="0" w:color="auto"/>
            </w:tcBorders>
            <w:shd w:val="clear" w:color="auto" w:fill="auto"/>
            <w:noWrap/>
            <w:vAlign w:val="bottom"/>
            <w:hideMark/>
          </w:tcPr>
          <w:p w14:paraId="5D3D9BA6"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 xml:space="preserve">0,45  </w:t>
            </w:r>
          </w:p>
        </w:tc>
        <w:tc>
          <w:tcPr>
            <w:tcW w:w="1044" w:type="dxa"/>
            <w:tcBorders>
              <w:top w:val="nil"/>
              <w:left w:val="nil"/>
              <w:bottom w:val="single" w:sz="4" w:space="0" w:color="auto"/>
              <w:right w:val="single" w:sz="4" w:space="0" w:color="auto"/>
            </w:tcBorders>
            <w:shd w:val="clear" w:color="auto" w:fill="auto"/>
            <w:noWrap/>
            <w:vAlign w:val="bottom"/>
            <w:hideMark/>
          </w:tcPr>
          <w:p w14:paraId="1F8917FB"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 xml:space="preserve">0,45  </w:t>
            </w:r>
          </w:p>
        </w:tc>
        <w:tc>
          <w:tcPr>
            <w:tcW w:w="960" w:type="dxa"/>
            <w:tcBorders>
              <w:top w:val="nil"/>
              <w:left w:val="nil"/>
              <w:bottom w:val="single" w:sz="4" w:space="0" w:color="auto"/>
              <w:right w:val="single" w:sz="4" w:space="0" w:color="auto"/>
            </w:tcBorders>
            <w:shd w:val="clear" w:color="auto" w:fill="auto"/>
            <w:noWrap/>
            <w:vAlign w:val="bottom"/>
            <w:hideMark/>
          </w:tcPr>
          <w:p w14:paraId="6969C881"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0,21</w:t>
            </w:r>
          </w:p>
        </w:tc>
        <w:tc>
          <w:tcPr>
            <w:tcW w:w="923" w:type="dxa"/>
            <w:tcBorders>
              <w:top w:val="nil"/>
              <w:left w:val="nil"/>
              <w:bottom w:val="single" w:sz="4" w:space="0" w:color="auto"/>
              <w:right w:val="double" w:sz="6" w:space="0" w:color="auto"/>
            </w:tcBorders>
            <w:shd w:val="clear" w:color="auto" w:fill="auto"/>
            <w:noWrap/>
            <w:vAlign w:val="bottom"/>
            <w:hideMark/>
          </w:tcPr>
          <w:p w14:paraId="1A3DF247"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146,7</w:t>
            </w:r>
          </w:p>
        </w:tc>
      </w:tr>
      <w:tr w:rsidR="00143820" w:rsidRPr="00EF462E" w14:paraId="537D28ED" w14:textId="77777777" w:rsidTr="004B694B">
        <w:trPr>
          <w:trHeight w:val="300"/>
        </w:trPr>
        <w:tc>
          <w:tcPr>
            <w:tcW w:w="2954" w:type="dxa"/>
            <w:tcBorders>
              <w:top w:val="nil"/>
              <w:left w:val="double" w:sz="6" w:space="0" w:color="auto"/>
              <w:bottom w:val="single" w:sz="4" w:space="0" w:color="auto"/>
              <w:right w:val="single" w:sz="4" w:space="0" w:color="auto"/>
            </w:tcBorders>
            <w:shd w:val="clear" w:color="auto" w:fill="auto"/>
            <w:noWrap/>
            <w:vAlign w:val="bottom"/>
            <w:hideMark/>
          </w:tcPr>
          <w:p w14:paraId="51693BF7" w14:textId="77777777" w:rsidR="00143820" w:rsidRPr="004B694B" w:rsidRDefault="00143820" w:rsidP="004B694B">
            <w:pPr>
              <w:spacing w:line="240" w:lineRule="auto"/>
              <w:ind w:firstLine="0"/>
              <w:rPr>
                <w:rFonts w:asciiTheme="majorHAnsi" w:eastAsiaTheme="majorEastAsia" w:hAnsiTheme="majorHAnsi" w:cstheme="majorBidi"/>
                <w:b/>
                <w:bCs/>
                <w:sz w:val="18"/>
                <w:szCs w:val="18"/>
              </w:rPr>
            </w:pPr>
            <w:r w:rsidRPr="004B694B">
              <w:rPr>
                <w:rFonts w:asciiTheme="majorHAnsi" w:eastAsiaTheme="majorEastAsia" w:hAnsiTheme="majorHAnsi" w:cstheme="majorBidi"/>
                <w:b/>
                <w:bCs/>
                <w:sz w:val="18"/>
                <w:szCs w:val="18"/>
              </w:rPr>
              <w:t xml:space="preserve">  podíl pracujících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D2E57BC"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45,0</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05E89B72"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43,7</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47A01737"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45,4</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63A778A9"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46,6</w:t>
            </w:r>
          </w:p>
        </w:tc>
        <w:tc>
          <w:tcPr>
            <w:tcW w:w="1044" w:type="dxa"/>
            <w:tcBorders>
              <w:top w:val="nil"/>
              <w:left w:val="nil"/>
              <w:bottom w:val="single" w:sz="4" w:space="0" w:color="auto"/>
              <w:right w:val="single" w:sz="4" w:space="0" w:color="auto"/>
            </w:tcBorders>
            <w:shd w:val="clear" w:color="auto" w:fill="FFFFFF" w:themeFill="background1"/>
            <w:noWrap/>
            <w:vAlign w:val="bottom"/>
            <w:hideMark/>
          </w:tcPr>
          <w:p w14:paraId="2ACCE9E0"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45,2</w:t>
            </w:r>
          </w:p>
        </w:tc>
        <w:tc>
          <w:tcPr>
            <w:tcW w:w="960" w:type="dxa"/>
            <w:tcBorders>
              <w:top w:val="nil"/>
              <w:left w:val="nil"/>
              <w:bottom w:val="single" w:sz="4" w:space="0" w:color="auto"/>
              <w:right w:val="single" w:sz="4" w:space="0" w:color="auto"/>
            </w:tcBorders>
            <w:shd w:val="clear" w:color="auto" w:fill="auto"/>
            <w:noWrap/>
            <w:vAlign w:val="bottom"/>
            <w:hideMark/>
          </w:tcPr>
          <w:p w14:paraId="1235013B"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-1,47</w:t>
            </w:r>
          </w:p>
        </w:tc>
        <w:tc>
          <w:tcPr>
            <w:tcW w:w="923" w:type="dxa"/>
            <w:tcBorders>
              <w:top w:val="nil"/>
              <w:left w:val="nil"/>
              <w:bottom w:val="single" w:sz="4" w:space="0" w:color="auto"/>
              <w:right w:val="double" w:sz="6" w:space="0" w:color="auto"/>
            </w:tcBorders>
            <w:shd w:val="clear" w:color="auto" w:fill="auto"/>
            <w:noWrap/>
            <w:vAlign w:val="bottom"/>
            <w:hideMark/>
          </w:tcPr>
          <w:p w14:paraId="167CF985"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96,8</w:t>
            </w:r>
          </w:p>
        </w:tc>
      </w:tr>
      <w:tr w:rsidR="00143820" w:rsidRPr="00EF462E" w14:paraId="628E388C" w14:textId="77777777" w:rsidTr="004B694B">
        <w:trPr>
          <w:trHeight w:val="315"/>
        </w:trPr>
        <w:tc>
          <w:tcPr>
            <w:tcW w:w="2954" w:type="dxa"/>
            <w:tcBorders>
              <w:top w:val="nil"/>
              <w:left w:val="double" w:sz="6" w:space="0" w:color="auto"/>
              <w:bottom w:val="double" w:sz="6" w:space="0" w:color="auto"/>
              <w:right w:val="single" w:sz="4" w:space="0" w:color="auto"/>
            </w:tcBorders>
            <w:shd w:val="clear" w:color="auto" w:fill="auto"/>
            <w:noWrap/>
            <w:vAlign w:val="bottom"/>
            <w:hideMark/>
          </w:tcPr>
          <w:p w14:paraId="0397DC20" w14:textId="77777777" w:rsidR="00143820" w:rsidRPr="004B694B" w:rsidRDefault="00143820" w:rsidP="004B694B">
            <w:pPr>
              <w:spacing w:line="240" w:lineRule="auto"/>
              <w:ind w:firstLine="0"/>
              <w:rPr>
                <w:rFonts w:asciiTheme="majorHAnsi" w:eastAsiaTheme="majorEastAsia" w:hAnsiTheme="majorHAnsi" w:cstheme="majorBidi"/>
                <w:b/>
                <w:bCs/>
                <w:sz w:val="18"/>
                <w:szCs w:val="18"/>
              </w:rPr>
            </w:pPr>
            <w:r w:rsidRPr="004B694B">
              <w:rPr>
                <w:rFonts w:asciiTheme="majorHAnsi" w:eastAsiaTheme="majorEastAsia" w:hAnsiTheme="majorHAnsi" w:cstheme="majorBidi"/>
                <w:b/>
                <w:bCs/>
                <w:sz w:val="18"/>
                <w:szCs w:val="18"/>
              </w:rPr>
              <w:t>Čisté peněžní příjmy celkem</w:t>
            </w:r>
          </w:p>
        </w:tc>
        <w:tc>
          <w:tcPr>
            <w:tcW w:w="992" w:type="dxa"/>
            <w:tcBorders>
              <w:top w:val="single" w:sz="4" w:space="0" w:color="auto"/>
              <w:left w:val="nil"/>
              <w:bottom w:val="double" w:sz="6" w:space="0" w:color="auto"/>
              <w:right w:val="single" w:sz="4" w:space="0" w:color="auto"/>
            </w:tcBorders>
            <w:shd w:val="clear" w:color="auto" w:fill="auto"/>
            <w:noWrap/>
            <w:vAlign w:val="bottom"/>
            <w:hideMark/>
          </w:tcPr>
          <w:p w14:paraId="73E46ACC"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 xml:space="preserve">163 344  </w:t>
            </w:r>
          </w:p>
        </w:tc>
        <w:tc>
          <w:tcPr>
            <w:tcW w:w="993" w:type="dxa"/>
            <w:tcBorders>
              <w:top w:val="single" w:sz="4" w:space="0" w:color="auto"/>
              <w:left w:val="nil"/>
              <w:bottom w:val="double" w:sz="6" w:space="0" w:color="auto"/>
              <w:right w:val="single" w:sz="4" w:space="0" w:color="auto"/>
            </w:tcBorders>
            <w:shd w:val="clear" w:color="auto" w:fill="auto"/>
            <w:noWrap/>
            <w:vAlign w:val="bottom"/>
            <w:hideMark/>
          </w:tcPr>
          <w:p w14:paraId="1CE216A3"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 xml:space="preserve">154 342  </w:t>
            </w:r>
          </w:p>
        </w:tc>
        <w:tc>
          <w:tcPr>
            <w:tcW w:w="992" w:type="dxa"/>
            <w:tcBorders>
              <w:top w:val="single" w:sz="4" w:space="0" w:color="auto"/>
              <w:left w:val="nil"/>
              <w:bottom w:val="double" w:sz="6" w:space="0" w:color="auto"/>
              <w:right w:val="single" w:sz="4" w:space="0" w:color="auto"/>
            </w:tcBorders>
            <w:shd w:val="clear" w:color="auto" w:fill="auto"/>
            <w:noWrap/>
            <w:vAlign w:val="bottom"/>
            <w:hideMark/>
          </w:tcPr>
          <w:p w14:paraId="288B2EE0"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 xml:space="preserve">156 312  </w:t>
            </w:r>
          </w:p>
        </w:tc>
        <w:tc>
          <w:tcPr>
            <w:tcW w:w="1134" w:type="dxa"/>
            <w:tcBorders>
              <w:top w:val="single" w:sz="4" w:space="0" w:color="auto"/>
              <w:left w:val="nil"/>
              <w:bottom w:val="double" w:sz="6" w:space="0" w:color="auto"/>
              <w:right w:val="single" w:sz="4" w:space="0" w:color="auto"/>
            </w:tcBorders>
            <w:shd w:val="clear" w:color="auto" w:fill="auto"/>
            <w:noWrap/>
            <w:vAlign w:val="bottom"/>
            <w:hideMark/>
          </w:tcPr>
          <w:p w14:paraId="7E922209"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 xml:space="preserve">161 991  </w:t>
            </w:r>
          </w:p>
        </w:tc>
        <w:tc>
          <w:tcPr>
            <w:tcW w:w="1044" w:type="dxa"/>
            <w:tcBorders>
              <w:top w:val="single" w:sz="4" w:space="0" w:color="auto"/>
              <w:left w:val="nil"/>
              <w:bottom w:val="double" w:sz="6" w:space="0" w:color="auto"/>
              <w:right w:val="single" w:sz="4" w:space="0" w:color="auto"/>
            </w:tcBorders>
            <w:shd w:val="clear" w:color="auto" w:fill="auto"/>
            <w:noWrap/>
            <w:vAlign w:val="bottom"/>
            <w:hideMark/>
          </w:tcPr>
          <w:p w14:paraId="4730AB3B"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 xml:space="preserve">175 951  </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14:paraId="3125C8EE"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-21 609</w:t>
            </w:r>
          </w:p>
        </w:tc>
        <w:tc>
          <w:tcPr>
            <w:tcW w:w="923" w:type="dxa"/>
            <w:tcBorders>
              <w:top w:val="single" w:sz="4" w:space="0" w:color="auto"/>
              <w:left w:val="nil"/>
              <w:bottom w:val="double" w:sz="6" w:space="0" w:color="auto"/>
              <w:right w:val="double" w:sz="6" w:space="0" w:color="auto"/>
            </w:tcBorders>
            <w:shd w:val="clear" w:color="auto" w:fill="auto"/>
            <w:noWrap/>
            <w:vAlign w:val="bottom"/>
            <w:hideMark/>
          </w:tcPr>
          <w:p w14:paraId="119A2BC7" w14:textId="77777777" w:rsidR="00143820" w:rsidRPr="004B694B" w:rsidRDefault="00143820" w:rsidP="004B694B">
            <w:pPr>
              <w:spacing w:line="240" w:lineRule="auto"/>
              <w:ind w:firstLine="0"/>
              <w:jc w:val="right"/>
              <w:rPr>
                <w:rFonts w:asciiTheme="majorHAnsi" w:eastAsiaTheme="majorEastAsia" w:hAnsiTheme="majorHAnsi" w:cstheme="majorBidi"/>
                <w:sz w:val="18"/>
                <w:szCs w:val="18"/>
              </w:rPr>
            </w:pPr>
            <w:r w:rsidRPr="004B694B">
              <w:rPr>
                <w:rFonts w:asciiTheme="majorHAnsi" w:eastAsiaTheme="majorEastAsia" w:hAnsiTheme="majorHAnsi" w:cstheme="majorBidi"/>
                <w:sz w:val="18"/>
                <w:szCs w:val="18"/>
              </w:rPr>
              <w:t>87,7</w:t>
            </w:r>
          </w:p>
        </w:tc>
      </w:tr>
      <w:tr w:rsidR="00143820" w:rsidRPr="00EF462E" w14:paraId="1BC016F3" w14:textId="77777777" w:rsidTr="004B694B">
        <w:trPr>
          <w:trHeight w:val="300"/>
        </w:trPr>
        <w:tc>
          <w:tcPr>
            <w:tcW w:w="3946" w:type="dxa"/>
            <w:gridSpan w:val="2"/>
            <w:tcBorders>
              <w:top w:val="nil"/>
              <w:left w:val="nil"/>
              <w:bottom w:val="nil"/>
              <w:right w:val="nil"/>
            </w:tcBorders>
            <w:shd w:val="clear" w:color="auto" w:fill="auto"/>
            <w:noWrap/>
            <w:vAlign w:val="bottom"/>
            <w:hideMark/>
          </w:tcPr>
          <w:p w14:paraId="051C491A" w14:textId="77777777" w:rsidR="00143820" w:rsidRPr="004B694B" w:rsidRDefault="00143820" w:rsidP="004B694B">
            <w:pPr>
              <w:spacing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1) obce do 1999 - města 50 000 a více</w:t>
            </w:r>
          </w:p>
        </w:tc>
        <w:tc>
          <w:tcPr>
            <w:tcW w:w="993" w:type="dxa"/>
            <w:tcBorders>
              <w:top w:val="nil"/>
              <w:left w:val="nil"/>
              <w:bottom w:val="nil"/>
              <w:right w:val="nil"/>
            </w:tcBorders>
            <w:shd w:val="clear" w:color="auto" w:fill="auto"/>
            <w:noWrap/>
            <w:vAlign w:val="bottom"/>
            <w:hideMark/>
          </w:tcPr>
          <w:p w14:paraId="292D0FB0" w14:textId="77777777" w:rsidR="00143820" w:rsidRPr="00EF462E" w:rsidRDefault="00143820" w:rsidP="006C650C">
            <w:pPr>
              <w:spacing w:line="240" w:lineRule="auto"/>
              <w:rPr>
                <w:rFonts w:asciiTheme="majorHAnsi" w:hAnsiTheme="majorHAnsi" w:cstheme="majorHAnsi"/>
                <w:i/>
                <w:iCs/>
                <w:sz w:val="18"/>
                <w:szCs w:val="18"/>
              </w:rPr>
            </w:pPr>
          </w:p>
        </w:tc>
        <w:tc>
          <w:tcPr>
            <w:tcW w:w="992" w:type="dxa"/>
            <w:tcBorders>
              <w:top w:val="nil"/>
              <w:left w:val="nil"/>
              <w:bottom w:val="nil"/>
              <w:right w:val="nil"/>
            </w:tcBorders>
            <w:shd w:val="clear" w:color="auto" w:fill="auto"/>
            <w:noWrap/>
            <w:vAlign w:val="bottom"/>
            <w:hideMark/>
          </w:tcPr>
          <w:p w14:paraId="40BF90FA" w14:textId="77777777" w:rsidR="00143820" w:rsidRPr="00EF462E" w:rsidRDefault="00143820" w:rsidP="006C650C">
            <w:pPr>
              <w:spacing w:line="240" w:lineRule="auto"/>
              <w:rPr>
                <w:rFonts w:asciiTheme="majorHAnsi" w:hAnsiTheme="majorHAnsi" w:cstheme="majorHAnsi"/>
                <w:sz w:val="18"/>
                <w:szCs w:val="18"/>
              </w:rPr>
            </w:pPr>
          </w:p>
        </w:tc>
        <w:tc>
          <w:tcPr>
            <w:tcW w:w="1134" w:type="dxa"/>
            <w:tcBorders>
              <w:top w:val="nil"/>
              <w:left w:val="nil"/>
              <w:bottom w:val="nil"/>
              <w:right w:val="nil"/>
            </w:tcBorders>
            <w:shd w:val="clear" w:color="auto" w:fill="auto"/>
            <w:noWrap/>
            <w:vAlign w:val="bottom"/>
            <w:hideMark/>
          </w:tcPr>
          <w:p w14:paraId="1029AFF3" w14:textId="77777777" w:rsidR="00143820" w:rsidRPr="00EF462E" w:rsidRDefault="00143820" w:rsidP="006C650C">
            <w:pPr>
              <w:spacing w:line="240" w:lineRule="auto"/>
              <w:rPr>
                <w:rFonts w:asciiTheme="majorHAnsi" w:hAnsiTheme="majorHAnsi" w:cstheme="majorHAnsi"/>
                <w:sz w:val="18"/>
                <w:szCs w:val="18"/>
              </w:rPr>
            </w:pPr>
          </w:p>
        </w:tc>
        <w:tc>
          <w:tcPr>
            <w:tcW w:w="1044" w:type="dxa"/>
            <w:tcBorders>
              <w:top w:val="nil"/>
              <w:left w:val="nil"/>
              <w:bottom w:val="nil"/>
              <w:right w:val="nil"/>
            </w:tcBorders>
            <w:shd w:val="clear" w:color="auto" w:fill="auto"/>
            <w:noWrap/>
            <w:vAlign w:val="bottom"/>
            <w:hideMark/>
          </w:tcPr>
          <w:p w14:paraId="2A4FAAAF" w14:textId="77777777" w:rsidR="00143820" w:rsidRPr="00EF462E" w:rsidRDefault="00143820" w:rsidP="006C650C">
            <w:pPr>
              <w:spacing w:line="240" w:lineRule="auto"/>
              <w:rPr>
                <w:rFonts w:asciiTheme="majorHAnsi" w:hAnsiTheme="majorHAnsi" w:cstheme="majorHAnsi"/>
                <w:sz w:val="18"/>
                <w:szCs w:val="18"/>
              </w:rPr>
            </w:pPr>
          </w:p>
        </w:tc>
        <w:tc>
          <w:tcPr>
            <w:tcW w:w="960" w:type="dxa"/>
            <w:tcBorders>
              <w:top w:val="nil"/>
              <w:left w:val="nil"/>
              <w:bottom w:val="nil"/>
              <w:right w:val="nil"/>
            </w:tcBorders>
            <w:shd w:val="clear" w:color="auto" w:fill="auto"/>
            <w:noWrap/>
            <w:vAlign w:val="bottom"/>
            <w:hideMark/>
          </w:tcPr>
          <w:p w14:paraId="4D53D843" w14:textId="77777777" w:rsidR="00143820" w:rsidRPr="00EF462E" w:rsidRDefault="00143820" w:rsidP="006C650C">
            <w:pPr>
              <w:spacing w:line="240" w:lineRule="auto"/>
              <w:rPr>
                <w:rFonts w:asciiTheme="majorHAnsi" w:hAnsiTheme="majorHAnsi" w:cstheme="majorHAnsi"/>
                <w:sz w:val="18"/>
                <w:szCs w:val="18"/>
              </w:rPr>
            </w:pPr>
          </w:p>
        </w:tc>
        <w:tc>
          <w:tcPr>
            <w:tcW w:w="923" w:type="dxa"/>
            <w:tcBorders>
              <w:top w:val="nil"/>
              <w:left w:val="nil"/>
              <w:bottom w:val="nil"/>
              <w:right w:val="nil"/>
            </w:tcBorders>
            <w:shd w:val="clear" w:color="auto" w:fill="auto"/>
            <w:noWrap/>
            <w:vAlign w:val="bottom"/>
            <w:hideMark/>
          </w:tcPr>
          <w:p w14:paraId="249C5044" w14:textId="77777777" w:rsidR="00143820" w:rsidRPr="00EF462E" w:rsidRDefault="00143820" w:rsidP="006C650C">
            <w:pPr>
              <w:spacing w:line="240" w:lineRule="auto"/>
              <w:rPr>
                <w:rFonts w:asciiTheme="majorHAnsi" w:hAnsiTheme="majorHAnsi" w:cstheme="majorHAnsi"/>
                <w:sz w:val="18"/>
                <w:szCs w:val="18"/>
              </w:rPr>
            </w:pPr>
          </w:p>
        </w:tc>
      </w:tr>
      <w:tr w:rsidR="00143820" w:rsidRPr="00EF462E" w14:paraId="4755F113" w14:textId="77777777" w:rsidTr="002507F9">
        <w:trPr>
          <w:trHeight w:val="246"/>
        </w:trPr>
        <w:tc>
          <w:tcPr>
            <w:tcW w:w="2954" w:type="dxa"/>
            <w:tcBorders>
              <w:top w:val="nil"/>
              <w:left w:val="nil"/>
              <w:bottom w:val="nil"/>
              <w:right w:val="nil"/>
            </w:tcBorders>
            <w:shd w:val="clear" w:color="auto" w:fill="auto"/>
            <w:noWrap/>
            <w:vAlign w:val="bottom"/>
            <w:hideMark/>
          </w:tcPr>
          <w:p w14:paraId="333D1E60" w14:textId="77777777" w:rsidR="001E245D" w:rsidRPr="004B694B" w:rsidRDefault="00EE3C77"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w:t>
            </w:r>
            <w:r w:rsidR="00143820" w:rsidRPr="004B694B">
              <w:rPr>
                <w:rFonts w:asciiTheme="majorHAnsi" w:eastAsiaTheme="majorEastAsia" w:hAnsiTheme="majorHAnsi" w:cstheme="majorBidi"/>
                <w:i/>
                <w:iCs/>
                <w:sz w:val="18"/>
                <w:szCs w:val="18"/>
              </w:rPr>
              <w:t>: ČSÚ 2015</w:t>
            </w:r>
            <w:r w:rsidR="001E245D" w:rsidRPr="004B694B">
              <w:rPr>
                <w:rFonts w:asciiTheme="majorHAnsi" w:eastAsiaTheme="majorEastAsia" w:hAnsiTheme="majorHAnsi" w:cstheme="majorBidi"/>
                <w:i/>
                <w:iCs/>
                <w:sz w:val="18"/>
                <w:szCs w:val="18"/>
              </w:rPr>
              <w:t xml:space="preserve"> </w:t>
            </w:r>
          </w:p>
          <w:p w14:paraId="4AC32842" w14:textId="77777777" w:rsidR="00143820" w:rsidRPr="004B694B" w:rsidRDefault="001E245D"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Zpracování: ÚZEI</w:t>
            </w:r>
            <w:r w:rsidR="00143820" w:rsidRPr="004B694B">
              <w:rPr>
                <w:rFonts w:asciiTheme="majorHAnsi" w:eastAsiaTheme="majorEastAsia" w:hAnsiTheme="majorHAnsi" w:cstheme="majorBidi"/>
                <w:i/>
                <w:iCs/>
                <w:sz w:val="18"/>
                <w:szCs w:val="18"/>
              </w:rPr>
              <w:t xml:space="preserve"> </w:t>
            </w:r>
          </w:p>
        </w:tc>
        <w:tc>
          <w:tcPr>
            <w:tcW w:w="992" w:type="dxa"/>
            <w:tcBorders>
              <w:top w:val="nil"/>
              <w:left w:val="nil"/>
              <w:bottom w:val="nil"/>
              <w:right w:val="nil"/>
            </w:tcBorders>
            <w:shd w:val="clear" w:color="auto" w:fill="auto"/>
            <w:noWrap/>
            <w:vAlign w:val="bottom"/>
            <w:hideMark/>
          </w:tcPr>
          <w:p w14:paraId="3BEC4E95" w14:textId="77777777" w:rsidR="00143820" w:rsidRPr="00EF462E" w:rsidRDefault="00143820" w:rsidP="006C650C">
            <w:pPr>
              <w:spacing w:line="240" w:lineRule="auto"/>
              <w:rPr>
                <w:rFonts w:asciiTheme="majorHAnsi" w:hAnsiTheme="majorHAnsi" w:cstheme="majorHAnsi"/>
                <w:i/>
                <w:iCs/>
                <w:sz w:val="18"/>
                <w:szCs w:val="18"/>
              </w:rPr>
            </w:pPr>
          </w:p>
        </w:tc>
        <w:tc>
          <w:tcPr>
            <w:tcW w:w="993" w:type="dxa"/>
            <w:tcBorders>
              <w:top w:val="nil"/>
              <w:left w:val="nil"/>
              <w:bottom w:val="nil"/>
              <w:right w:val="nil"/>
            </w:tcBorders>
            <w:shd w:val="clear" w:color="auto" w:fill="auto"/>
            <w:noWrap/>
            <w:vAlign w:val="bottom"/>
            <w:hideMark/>
          </w:tcPr>
          <w:p w14:paraId="738F8577" w14:textId="77777777" w:rsidR="00143820" w:rsidRPr="00EF462E" w:rsidRDefault="00143820" w:rsidP="006C650C">
            <w:pPr>
              <w:spacing w:line="240" w:lineRule="auto"/>
              <w:rPr>
                <w:rFonts w:asciiTheme="majorHAnsi" w:hAnsiTheme="majorHAnsi" w:cstheme="majorHAnsi"/>
                <w:sz w:val="18"/>
                <w:szCs w:val="18"/>
              </w:rPr>
            </w:pPr>
          </w:p>
        </w:tc>
        <w:tc>
          <w:tcPr>
            <w:tcW w:w="992" w:type="dxa"/>
            <w:tcBorders>
              <w:top w:val="nil"/>
              <w:left w:val="nil"/>
              <w:bottom w:val="nil"/>
              <w:right w:val="nil"/>
            </w:tcBorders>
            <w:shd w:val="clear" w:color="auto" w:fill="auto"/>
            <w:noWrap/>
            <w:vAlign w:val="bottom"/>
            <w:hideMark/>
          </w:tcPr>
          <w:p w14:paraId="6400102D" w14:textId="77777777" w:rsidR="00143820" w:rsidRPr="00EF462E" w:rsidRDefault="00143820" w:rsidP="006C650C">
            <w:pPr>
              <w:spacing w:line="240" w:lineRule="auto"/>
              <w:rPr>
                <w:rFonts w:asciiTheme="majorHAnsi" w:hAnsiTheme="majorHAnsi" w:cstheme="majorHAnsi"/>
                <w:sz w:val="18"/>
                <w:szCs w:val="18"/>
              </w:rPr>
            </w:pPr>
          </w:p>
        </w:tc>
        <w:tc>
          <w:tcPr>
            <w:tcW w:w="1134" w:type="dxa"/>
            <w:tcBorders>
              <w:top w:val="nil"/>
              <w:left w:val="nil"/>
              <w:bottom w:val="nil"/>
              <w:right w:val="nil"/>
            </w:tcBorders>
            <w:shd w:val="clear" w:color="auto" w:fill="auto"/>
            <w:noWrap/>
            <w:vAlign w:val="bottom"/>
            <w:hideMark/>
          </w:tcPr>
          <w:p w14:paraId="7179888E" w14:textId="77777777" w:rsidR="00143820" w:rsidRPr="00EF462E" w:rsidRDefault="00143820" w:rsidP="006C650C">
            <w:pPr>
              <w:spacing w:line="240" w:lineRule="auto"/>
              <w:rPr>
                <w:rFonts w:asciiTheme="majorHAnsi" w:hAnsiTheme="majorHAnsi" w:cstheme="majorHAnsi"/>
                <w:sz w:val="18"/>
                <w:szCs w:val="18"/>
              </w:rPr>
            </w:pPr>
          </w:p>
        </w:tc>
        <w:tc>
          <w:tcPr>
            <w:tcW w:w="1044" w:type="dxa"/>
            <w:tcBorders>
              <w:top w:val="nil"/>
              <w:left w:val="nil"/>
              <w:bottom w:val="nil"/>
              <w:right w:val="nil"/>
            </w:tcBorders>
            <w:shd w:val="clear" w:color="auto" w:fill="auto"/>
            <w:noWrap/>
            <w:vAlign w:val="bottom"/>
            <w:hideMark/>
          </w:tcPr>
          <w:p w14:paraId="5E78933D" w14:textId="77777777" w:rsidR="00143820" w:rsidRPr="00EF462E" w:rsidRDefault="00143820" w:rsidP="006C650C">
            <w:pPr>
              <w:spacing w:line="240" w:lineRule="auto"/>
              <w:rPr>
                <w:rFonts w:asciiTheme="majorHAnsi" w:hAnsiTheme="majorHAnsi" w:cstheme="majorHAnsi"/>
                <w:sz w:val="18"/>
                <w:szCs w:val="18"/>
              </w:rPr>
            </w:pPr>
          </w:p>
        </w:tc>
        <w:tc>
          <w:tcPr>
            <w:tcW w:w="960" w:type="dxa"/>
            <w:tcBorders>
              <w:top w:val="nil"/>
              <w:left w:val="nil"/>
              <w:bottom w:val="nil"/>
              <w:right w:val="nil"/>
            </w:tcBorders>
            <w:shd w:val="clear" w:color="auto" w:fill="auto"/>
            <w:noWrap/>
            <w:vAlign w:val="bottom"/>
            <w:hideMark/>
          </w:tcPr>
          <w:p w14:paraId="52B57B7A" w14:textId="77777777" w:rsidR="00143820" w:rsidRPr="00EF462E" w:rsidRDefault="00143820" w:rsidP="006C650C">
            <w:pPr>
              <w:spacing w:line="240" w:lineRule="auto"/>
              <w:rPr>
                <w:rFonts w:asciiTheme="majorHAnsi" w:hAnsiTheme="majorHAnsi" w:cstheme="majorHAnsi"/>
                <w:sz w:val="18"/>
                <w:szCs w:val="18"/>
              </w:rPr>
            </w:pPr>
          </w:p>
        </w:tc>
        <w:tc>
          <w:tcPr>
            <w:tcW w:w="923" w:type="dxa"/>
            <w:tcBorders>
              <w:top w:val="nil"/>
              <w:left w:val="nil"/>
              <w:bottom w:val="nil"/>
              <w:right w:val="nil"/>
            </w:tcBorders>
            <w:shd w:val="clear" w:color="auto" w:fill="auto"/>
            <w:noWrap/>
            <w:vAlign w:val="bottom"/>
            <w:hideMark/>
          </w:tcPr>
          <w:p w14:paraId="174EDBE0" w14:textId="77777777" w:rsidR="00143820" w:rsidRPr="00EF462E" w:rsidRDefault="00143820" w:rsidP="006C650C">
            <w:pPr>
              <w:spacing w:line="240" w:lineRule="auto"/>
              <w:rPr>
                <w:rFonts w:asciiTheme="majorHAnsi" w:hAnsiTheme="majorHAnsi" w:cstheme="majorHAnsi"/>
                <w:sz w:val="18"/>
                <w:szCs w:val="18"/>
              </w:rPr>
            </w:pPr>
          </w:p>
        </w:tc>
      </w:tr>
    </w:tbl>
    <w:p w14:paraId="470E316E" w14:textId="77777777" w:rsidR="002507F9" w:rsidRDefault="002507F9" w:rsidP="00143820"/>
    <w:p w14:paraId="068B2666" w14:textId="77777777" w:rsidR="00143820" w:rsidRDefault="00143820" w:rsidP="00143820">
      <w:r>
        <w:t xml:space="preserve">Příjmovou disparitu venkovských oblastí, resp. venkovských obcí vůči velkým městům dokumentují i další oficiální statistické zdroje (ČSÚ), zaměřené na hospodaření domácností. Ze statistiky rodinných účtů za rok 2016 vyplývá, že čisté roční příjmy na jednoho člena domácnosti v obcích do 2 tis. obyvatel činily 87,7 % těchto příjmů v obcích nad 50 tis. obyvatel. Ještě hlubší disparita vychází ze statistiky příjmů a životních podmínek, kde jsou obce jinak (detailněji) kategorizované. Zde čisté příjmy na jednoho člena domácnosti s pracujícími členy v obcích do 1 tis. obyvatel v roce 2017 činily 79,9 % těchto příjmů ve městech nad 100 tis. obyvatel. Z obou uvedených statistických zdrojů dále shodně vyplývá, že venkovské domácnosti mají větší počet členů než domácnosti městské. </w:t>
      </w:r>
    </w:p>
    <w:p w14:paraId="234CDDF0" w14:textId="77777777" w:rsidR="00143820" w:rsidRPr="004B694B" w:rsidRDefault="00143820">
      <w:pPr>
        <w:ind w:firstLine="0"/>
        <w:rPr>
          <w:rFonts w:asciiTheme="majorHAnsi" w:eastAsiaTheme="majorEastAsia" w:hAnsiTheme="majorHAnsi" w:cstheme="majorBidi"/>
          <w:b/>
          <w:bCs/>
        </w:rPr>
      </w:pPr>
      <w:r w:rsidRPr="004B694B">
        <w:rPr>
          <w:rFonts w:asciiTheme="majorHAnsi" w:eastAsiaTheme="majorEastAsia" w:hAnsiTheme="majorHAnsi" w:cstheme="majorBidi"/>
          <w:b/>
          <w:bCs/>
        </w:rPr>
        <w:lastRenderedPageBreak/>
        <w:t>Chudoba</w:t>
      </w:r>
    </w:p>
    <w:p w14:paraId="56EB1395" w14:textId="77777777" w:rsidR="00143820" w:rsidRDefault="00143820" w:rsidP="00143820">
      <w:r>
        <w:t xml:space="preserve">Přestože se míra chudoby neustále snižuje a Česká republika patří v Evropské unii mezi státy s nejnižším podílem chudých obyvatel, roste zde koncentrace chudších obyvatel v některých lokalitách. Z uvedených ukazatelů vyplývá, že největší problémy se týkají regionů soudržnosti </w:t>
      </w:r>
      <w:proofErr w:type="spellStart"/>
      <w:r>
        <w:t>Moravskoslezko</w:t>
      </w:r>
      <w:proofErr w:type="spellEnd"/>
      <w:r>
        <w:t xml:space="preserve"> a Severozápad. </w:t>
      </w:r>
    </w:p>
    <w:p w14:paraId="135B1B57" w14:textId="77777777" w:rsidR="00143820" w:rsidRDefault="00143820" w:rsidP="00143820">
      <w:r>
        <w:t>Míra ohrožení příjmovou chudobou nebo sociálním vyloučením dlouhodobě mírně klesá</w:t>
      </w:r>
      <w:r>
        <w:rPr>
          <w:rStyle w:val="Znakapoznpodarou"/>
        </w:rPr>
        <w:footnoteReference w:id="9"/>
      </w:r>
      <w:r>
        <w:t xml:space="preserve">.Od roku 2014 je zaznamenán postupný pokles až na současných 12,2 %, což je meziroční snížení o </w:t>
      </w:r>
      <w:r w:rsidR="00EF462E">
        <w:t>1,1procentního</w:t>
      </w:r>
      <w:r>
        <w:t xml:space="preserve"> bodu</w:t>
      </w:r>
      <w:r w:rsidR="009B183C" w:rsidRPr="00FB44D0">
        <w:t>.</w:t>
      </w:r>
      <w:r>
        <w:t xml:space="preserve"> </w:t>
      </w:r>
    </w:p>
    <w:p w14:paraId="293494C6" w14:textId="77777777" w:rsidR="002507F9" w:rsidRDefault="002507F9" w:rsidP="00143820"/>
    <w:p w14:paraId="613C444C" w14:textId="77777777" w:rsidR="00240E36" w:rsidRPr="00240E36" w:rsidRDefault="00240E36" w:rsidP="002507F9">
      <w:pPr>
        <w:pStyle w:val="Titulek"/>
        <w:keepNext/>
        <w:spacing w:after="0"/>
        <w:ind w:firstLine="0"/>
        <w:rPr>
          <w:rFonts w:asciiTheme="majorHAnsi" w:hAnsiTheme="majorHAnsi" w:cstheme="majorHAnsi"/>
          <w:b/>
          <w:i w:val="0"/>
          <w:color w:val="000000" w:themeColor="text1"/>
          <w:sz w:val="22"/>
          <w:szCs w:val="22"/>
        </w:rPr>
      </w:pPr>
      <w:bookmarkStart w:id="180" w:name="_Toc525727659"/>
      <w:bookmarkStart w:id="181" w:name="_Toc525735946"/>
      <w:bookmarkStart w:id="182" w:name="_Toc525738243"/>
      <w:r w:rsidRPr="00240E36">
        <w:rPr>
          <w:rFonts w:asciiTheme="majorHAnsi" w:hAnsiTheme="majorHAnsi" w:cstheme="majorHAnsi"/>
          <w:b/>
          <w:i w:val="0"/>
          <w:color w:val="000000" w:themeColor="text1"/>
          <w:sz w:val="22"/>
          <w:szCs w:val="22"/>
        </w:rPr>
        <w:t xml:space="preserve">Obrázek </w:t>
      </w:r>
      <w:r w:rsidR="002507F9">
        <w:rPr>
          <w:rFonts w:asciiTheme="majorHAnsi" w:hAnsiTheme="majorHAnsi" w:cstheme="majorHAnsi"/>
          <w:b/>
          <w:i w:val="0"/>
          <w:color w:val="000000" w:themeColor="text1"/>
          <w:sz w:val="22"/>
          <w:szCs w:val="22"/>
        </w:rPr>
        <w:t>7.</w:t>
      </w:r>
      <w:r>
        <w:rPr>
          <w:rFonts w:asciiTheme="majorHAnsi" w:hAnsiTheme="majorHAnsi" w:cstheme="majorHAnsi"/>
          <w:b/>
          <w:i w:val="0"/>
          <w:color w:val="000000" w:themeColor="text1"/>
          <w:sz w:val="22"/>
          <w:szCs w:val="22"/>
        </w:rPr>
        <w:fldChar w:fldCharType="begin"/>
      </w:r>
      <w:r>
        <w:rPr>
          <w:rFonts w:asciiTheme="majorHAnsi" w:hAnsiTheme="majorHAnsi" w:cstheme="majorHAnsi"/>
          <w:b/>
          <w:i w:val="0"/>
          <w:color w:val="000000" w:themeColor="text1"/>
          <w:sz w:val="22"/>
          <w:szCs w:val="22"/>
        </w:rPr>
        <w:instrText xml:space="preserve"> STYLEREF 1 \s </w:instrText>
      </w:r>
      <w:r>
        <w:rPr>
          <w:rFonts w:asciiTheme="majorHAnsi" w:hAnsiTheme="majorHAnsi" w:cstheme="majorHAnsi"/>
          <w:b/>
          <w:i w:val="0"/>
          <w:color w:val="000000" w:themeColor="text1"/>
          <w:sz w:val="22"/>
          <w:szCs w:val="22"/>
        </w:rPr>
        <w:fldChar w:fldCharType="separate"/>
      </w:r>
      <w:r>
        <w:rPr>
          <w:rFonts w:asciiTheme="majorHAnsi" w:hAnsiTheme="majorHAnsi" w:cstheme="majorHAnsi"/>
          <w:b/>
          <w:i w:val="0"/>
          <w:noProof/>
          <w:color w:val="000000" w:themeColor="text1"/>
          <w:sz w:val="22"/>
          <w:szCs w:val="22"/>
        </w:rPr>
        <w:t>4</w:t>
      </w:r>
      <w:r>
        <w:rPr>
          <w:rFonts w:asciiTheme="majorHAnsi" w:hAnsiTheme="majorHAnsi" w:cstheme="majorHAnsi"/>
          <w:b/>
          <w:i w:val="0"/>
          <w:color w:val="000000" w:themeColor="text1"/>
          <w:sz w:val="22"/>
          <w:szCs w:val="22"/>
        </w:rPr>
        <w:fldChar w:fldCharType="end"/>
      </w:r>
      <w:r>
        <w:rPr>
          <w:rFonts w:asciiTheme="majorHAnsi" w:hAnsiTheme="majorHAnsi" w:cstheme="majorHAnsi"/>
          <w:b/>
          <w:i w:val="0"/>
          <w:color w:val="000000" w:themeColor="text1"/>
          <w:sz w:val="22"/>
          <w:szCs w:val="22"/>
        </w:rPr>
        <w:t>.</w:t>
      </w:r>
      <w:r w:rsidR="00EB5B81">
        <w:rPr>
          <w:rFonts w:asciiTheme="majorHAnsi" w:hAnsiTheme="majorHAnsi" w:cstheme="majorHAnsi"/>
          <w:b/>
          <w:i w:val="0"/>
          <w:color w:val="000000" w:themeColor="text1"/>
          <w:sz w:val="22"/>
          <w:szCs w:val="22"/>
        </w:rPr>
        <w:fldChar w:fldCharType="begin"/>
      </w:r>
      <w:r w:rsidR="00EB5B81">
        <w:rPr>
          <w:rFonts w:asciiTheme="majorHAnsi" w:hAnsiTheme="majorHAnsi" w:cstheme="majorHAnsi"/>
          <w:b/>
          <w:i w:val="0"/>
          <w:color w:val="000000" w:themeColor="text1"/>
          <w:sz w:val="22"/>
          <w:szCs w:val="22"/>
        </w:rPr>
        <w:instrText xml:space="preserve"> SEQ Obrázek \* ARABIC \s 1 </w:instrText>
      </w:r>
      <w:r w:rsidR="00EB5B81">
        <w:rPr>
          <w:rFonts w:asciiTheme="majorHAnsi" w:hAnsiTheme="majorHAnsi" w:cstheme="majorHAnsi"/>
          <w:b/>
          <w:i w:val="0"/>
          <w:color w:val="000000" w:themeColor="text1"/>
          <w:sz w:val="22"/>
          <w:szCs w:val="22"/>
        </w:rPr>
        <w:fldChar w:fldCharType="separate"/>
      </w:r>
      <w:r w:rsidR="00EB5B81">
        <w:rPr>
          <w:rFonts w:asciiTheme="majorHAnsi" w:hAnsiTheme="majorHAnsi" w:cstheme="majorHAnsi"/>
          <w:b/>
          <w:i w:val="0"/>
          <w:noProof/>
          <w:color w:val="000000" w:themeColor="text1"/>
          <w:sz w:val="22"/>
          <w:szCs w:val="22"/>
        </w:rPr>
        <w:t>1</w:t>
      </w:r>
      <w:r w:rsidR="00EB5B81">
        <w:rPr>
          <w:rFonts w:asciiTheme="majorHAnsi" w:hAnsiTheme="majorHAnsi" w:cstheme="majorHAnsi"/>
          <w:b/>
          <w:i w:val="0"/>
          <w:color w:val="000000" w:themeColor="text1"/>
          <w:sz w:val="22"/>
          <w:szCs w:val="22"/>
        </w:rPr>
        <w:fldChar w:fldCharType="end"/>
      </w:r>
      <w:r w:rsidR="002507F9">
        <w:rPr>
          <w:rFonts w:asciiTheme="majorHAnsi" w:hAnsiTheme="majorHAnsi" w:cstheme="majorHAnsi"/>
          <w:b/>
          <w:i w:val="0"/>
          <w:color w:val="000000" w:themeColor="text1"/>
          <w:sz w:val="22"/>
          <w:szCs w:val="22"/>
        </w:rPr>
        <w:t>6</w:t>
      </w:r>
      <w:r w:rsidRPr="00240E36">
        <w:rPr>
          <w:rFonts w:asciiTheme="majorHAnsi" w:eastAsiaTheme="minorEastAsia" w:hAnsiTheme="majorHAnsi" w:cstheme="majorHAnsi"/>
          <w:b/>
          <w:bCs/>
          <w:i w:val="0"/>
          <w:iCs w:val="0"/>
          <w:color w:val="000000" w:themeColor="text1"/>
          <w:sz w:val="22"/>
          <w:szCs w:val="22"/>
        </w:rPr>
        <w:t>: Souhrnný ukazatel rizika chudoby nebo sociálního vyloučení v ČR v letech 2005–2017</w:t>
      </w:r>
      <w:bookmarkEnd w:id="180"/>
      <w:bookmarkEnd w:id="181"/>
      <w:bookmarkEnd w:id="182"/>
    </w:p>
    <w:p w14:paraId="601505AD" w14:textId="77777777" w:rsidR="00143820" w:rsidRDefault="00143820" w:rsidP="00EF462E">
      <w:pPr>
        <w:ind w:firstLine="0"/>
      </w:pPr>
      <w:r>
        <w:rPr>
          <w:noProof/>
        </w:rPr>
        <w:drawing>
          <wp:inline distT="0" distB="0" distL="0" distR="0" wp14:anchorId="1283291D" wp14:editId="4CCCFF8C">
            <wp:extent cx="5760720" cy="1838325"/>
            <wp:effectExtent l="0" t="0" r="11430" b="9525"/>
            <wp:docPr id="52" name="Graf 52">
              <a:extLst xmlns:a="http://schemas.openxmlformats.org/drawingml/2006/main">
                <a:ext uri="{FF2B5EF4-FFF2-40B4-BE49-F238E27FC236}">
                  <a16:creationId xmlns:a16="http://schemas.microsoft.com/office/drawing/2014/main" id="{96707530-1572-4C18-870C-684ECF149B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187B789" w14:textId="77777777" w:rsidR="002507F9" w:rsidRDefault="00143820" w:rsidP="004B694B">
      <w:pPr>
        <w:spacing w:before="0" w:line="240" w:lineRule="auto"/>
        <w:ind w:firstLine="0"/>
      </w:pPr>
      <w:r w:rsidRPr="004B694B">
        <w:rPr>
          <w:rFonts w:asciiTheme="majorHAnsi" w:eastAsiaTheme="majorEastAsia" w:hAnsiTheme="majorHAnsi" w:cstheme="majorBidi"/>
          <w:i/>
          <w:iCs/>
          <w:sz w:val="18"/>
          <w:szCs w:val="18"/>
        </w:rPr>
        <w:t>Zdroj: ČSÚ, Eurostat</w:t>
      </w:r>
      <w:r w:rsidR="002507F9" w:rsidRPr="002507F9">
        <w:t xml:space="preserve"> </w:t>
      </w:r>
    </w:p>
    <w:p w14:paraId="6E98B5A5" w14:textId="77777777" w:rsidR="00143820" w:rsidRDefault="00143820" w:rsidP="002507F9">
      <w:pPr>
        <w:ind w:firstLine="0"/>
      </w:pPr>
    </w:p>
    <w:p w14:paraId="737D6197" w14:textId="77777777" w:rsidR="002507F9" w:rsidRPr="004B694B" w:rsidRDefault="002507F9" w:rsidP="004B694B">
      <w:pPr>
        <w:spacing w:before="0" w:line="240" w:lineRule="auto"/>
        <w:ind w:firstLine="0"/>
        <w:rPr>
          <w:rFonts w:asciiTheme="majorHAnsi" w:eastAsiaTheme="majorEastAsia" w:hAnsiTheme="majorHAnsi" w:cstheme="majorBidi"/>
          <w:i/>
          <w:iCs/>
          <w:sz w:val="18"/>
          <w:szCs w:val="18"/>
        </w:rPr>
      </w:pPr>
    </w:p>
    <w:p w14:paraId="2C15D85D" w14:textId="77777777" w:rsidR="00240E36" w:rsidRPr="00240E36" w:rsidRDefault="00240E36" w:rsidP="002507F9">
      <w:pPr>
        <w:pStyle w:val="Titulek"/>
        <w:keepNext/>
        <w:spacing w:after="0"/>
        <w:ind w:firstLine="0"/>
        <w:rPr>
          <w:rFonts w:asciiTheme="majorHAnsi" w:hAnsiTheme="majorHAnsi" w:cstheme="majorHAnsi"/>
          <w:b/>
          <w:i w:val="0"/>
          <w:color w:val="000000" w:themeColor="text1"/>
          <w:sz w:val="22"/>
          <w:szCs w:val="22"/>
        </w:rPr>
      </w:pPr>
      <w:bookmarkStart w:id="183" w:name="_Toc525727660"/>
      <w:bookmarkStart w:id="184" w:name="_Toc525735947"/>
      <w:bookmarkStart w:id="185" w:name="_Toc525738244"/>
      <w:r w:rsidRPr="00240E36">
        <w:rPr>
          <w:rFonts w:asciiTheme="majorHAnsi" w:hAnsiTheme="majorHAnsi" w:cstheme="majorHAnsi"/>
          <w:b/>
          <w:i w:val="0"/>
          <w:color w:val="000000" w:themeColor="text1"/>
          <w:sz w:val="22"/>
          <w:szCs w:val="22"/>
        </w:rPr>
        <w:t xml:space="preserve">Obrázek </w:t>
      </w:r>
      <w:r w:rsidR="002507F9">
        <w:rPr>
          <w:rFonts w:asciiTheme="majorHAnsi" w:hAnsiTheme="majorHAnsi" w:cstheme="majorHAnsi"/>
          <w:b/>
          <w:i w:val="0"/>
          <w:color w:val="000000" w:themeColor="text1"/>
          <w:sz w:val="22"/>
          <w:szCs w:val="22"/>
        </w:rPr>
        <w:t>7.</w:t>
      </w:r>
      <w:r>
        <w:rPr>
          <w:rFonts w:asciiTheme="majorHAnsi" w:hAnsiTheme="majorHAnsi" w:cstheme="majorHAnsi"/>
          <w:b/>
          <w:i w:val="0"/>
          <w:color w:val="000000" w:themeColor="text1"/>
          <w:sz w:val="22"/>
          <w:szCs w:val="22"/>
        </w:rPr>
        <w:fldChar w:fldCharType="begin"/>
      </w:r>
      <w:r>
        <w:rPr>
          <w:rFonts w:asciiTheme="majorHAnsi" w:hAnsiTheme="majorHAnsi" w:cstheme="majorHAnsi"/>
          <w:b/>
          <w:i w:val="0"/>
          <w:color w:val="000000" w:themeColor="text1"/>
          <w:sz w:val="22"/>
          <w:szCs w:val="22"/>
        </w:rPr>
        <w:instrText xml:space="preserve"> STYLEREF 1 \s </w:instrText>
      </w:r>
      <w:r>
        <w:rPr>
          <w:rFonts w:asciiTheme="majorHAnsi" w:hAnsiTheme="majorHAnsi" w:cstheme="majorHAnsi"/>
          <w:b/>
          <w:i w:val="0"/>
          <w:color w:val="000000" w:themeColor="text1"/>
          <w:sz w:val="22"/>
          <w:szCs w:val="22"/>
        </w:rPr>
        <w:fldChar w:fldCharType="separate"/>
      </w:r>
      <w:r>
        <w:rPr>
          <w:rFonts w:asciiTheme="majorHAnsi" w:hAnsiTheme="majorHAnsi" w:cstheme="majorHAnsi"/>
          <w:b/>
          <w:i w:val="0"/>
          <w:noProof/>
          <w:color w:val="000000" w:themeColor="text1"/>
          <w:sz w:val="22"/>
          <w:szCs w:val="22"/>
        </w:rPr>
        <w:t>4</w:t>
      </w:r>
      <w:r>
        <w:rPr>
          <w:rFonts w:asciiTheme="majorHAnsi" w:hAnsiTheme="majorHAnsi" w:cstheme="majorHAnsi"/>
          <w:b/>
          <w:i w:val="0"/>
          <w:color w:val="000000" w:themeColor="text1"/>
          <w:sz w:val="22"/>
          <w:szCs w:val="22"/>
        </w:rPr>
        <w:fldChar w:fldCharType="end"/>
      </w:r>
      <w:r>
        <w:rPr>
          <w:rFonts w:asciiTheme="majorHAnsi" w:hAnsiTheme="majorHAnsi" w:cstheme="majorHAnsi"/>
          <w:b/>
          <w:i w:val="0"/>
          <w:color w:val="000000" w:themeColor="text1"/>
          <w:sz w:val="22"/>
          <w:szCs w:val="22"/>
        </w:rPr>
        <w:t>.</w:t>
      </w:r>
      <w:r w:rsidR="002507F9">
        <w:rPr>
          <w:rFonts w:asciiTheme="majorHAnsi" w:hAnsiTheme="majorHAnsi" w:cstheme="majorHAnsi"/>
          <w:b/>
          <w:i w:val="0"/>
          <w:color w:val="000000" w:themeColor="text1"/>
          <w:sz w:val="22"/>
          <w:szCs w:val="22"/>
        </w:rPr>
        <w:t>17</w:t>
      </w:r>
      <w:r w:rsidRPr="00240E36">
        <w:rPr>
          <w:rFonts w:asciiTheme="majorHAnsi" w:eastAsiaTheme="minorEastAsia" w:hAnsiTheme="majorHAnsi" w:cstheme="majorHAnsi"/>
          <w:b/>
          <w:bCs/>
          <w:i w:val="0"/>
          <w:iCs w:val="0"/>
          <w:color w:val="000000" w:themeColor="text1"/>
          <w:sz w:val="22"/>
          <w:szCs w:val="22"/>
        </w:rPr>
        <w:t>: Souhrnný ukazatel rizika chudoby nebo sociálního vyloučení v jednotlivých NUTS2 v letech 2005–2016</w:t>
      </w:r>
      <w:bookmarkEnd w:id="183"/>
      <w:bookmarkEnd w:id="184"/>
      <w:bookmarkEnd w:id="185"/>
    </w:p>
    <w:p w14:paraId="5D1A4106" w14:textId="77777777" w:rsidR="00143820" w:rsidRDefault="00143820" w:rsidP="002507F9">
      <w:pPr>
        <w:spacing w:before="0" w:line="240" w:lineRule="auto"/>
        <w:ind w:firstLine="0"/>
      </w:pPr>
      <w:r>
        <w:rPr>
          <w:noProof/>
        </w:rPr>
        <w:drawing>
          <wp:inline distT="0" distB="0" distL="0" distR="0" wp14:anchorId="6F7478AB" wp14:editId="62463E04">
            <wp:extent cx="5760720" cy="1971675"/>
            <wp:effectExtent l="0" t="0" r="11430" b="9525"/>
            <wp:docPr id="57" name="Graf 57">
              <a:extLst xmlns:a="http://schemas.openxmlformats.org/drawingml/2006/main">
                <a:ext uri="{FF2B5EF4-FFF2-40B4-BE49-F238E27FC236}">
                  <a16:creationId xmlns:a16="http://schemas.microsoft.com/office/drawing/2014/main" id="{3CFA5D91-2A92-499D-9980-B5825DDA7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33D69D5" w14:textId="77777777" w:rsidR="00143820" w:rsidRPr="004B694B" w:rsidRDefault="00143820" w:rsidP="002507F9">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 Eurostat</w:t>
      </w:r>
    </w:p>
    <w:p w14:paraId="7611E45F" w14:textId="77777777" w:rsidR="00143820" w:rsidRDefault="00143820" w:rsidP="004030E7">
      <w:pPr>
        <w:spacing w:before="240"/>
        <w:ind w:firstLine="0"/>
      </w:pPr>
      <w:r>
        <w:lastRenderedPageBreak/>
        <w:t>Podíl osob ohrožených příjmovou chudobou</w:t>
      </w:r>
      <w:r>
        <w:rPr>
          <w:rStyle w:val="Znakapoznpodarou"/>
        </w:rPr>
        <w:footnoteReference w:id="10"/>
      </w:r>
      <w:r>
        <w:t xml:space="preserve"> se pohybuje dlouhodobě mezi 9 % až 10 %. </w:t>
      </w:r>
    </w:p>
    <w:p w14:paraId="2773021B" w14:textId="77777777" w:rsidR="002507F9" w:rsidRPr="001A295D" w:rsidRDefault="002507F9" w:rsidP="004030E7">
      <w:pPr>
        <w:spacing w:before="240"/>
        <w:ind w:firstLine="0"/>
      </w:pPr>
    </w:p>
    <w:p w14:paraId="02248760" w14:textId="77777777" w:rsidR="00240E36" w:rsidRPr="002507F9" w:rsidRDefault="00240E36" w:rsidP="002507F9">
      <w:pPr>
        <w:spacing w:before="0" w:line="240" w:lineRule="auto"/>
        <w:ind w:firstLine="0"/>
        <w:rPr>
          <w:rFonts w:asciiTheme="majorHAnsi" w:hAnsiTheme="majorHAnsi" w:cstheme="majorHAnsi"/>
          <w:b/>
          <w:color w:val="000000" w:themeColor="text1"/>
          <w:sz w:val="22"/>
          <w:szCs w:val="22"/>
        </w:rPr>
      </w:pPr>
      <w:bookmarkStart w:id="186" w:name="_Toc525727661"/>
      <w:bookmarkStart w:id="187" w:name="_Toc525735948"/>
      <w:bookmarkStart w:id="188" w:name="_Toc525738245"/>
      <w:r w:rsidRPr="002507F9">
        <w:rPr>
          <w:rFonts w:asciiTheme="majorHAnsi" w:hAnsiTheme="majorHAnsi" w:cstheme="majorHAnsi"/>
          <w:b/>
          <w:color w:val="000000" w:themeColor="text1"/>
          <w:sz w:val="22"/>
          <w:szCs w:val="22"/>
        </w:rPr>
        <w:t xml:space="preserve">Obrázek </w:t>
      </w:r>
      <w:r w:rsidR="002507F9">
        <w:rPr>
          <w:rFonts w:asciiTheme="majorHAnsi" w:hAnsiTheme="majorHAnsi" w:cstheme="majorHAnsi"/>
          <w:b/>
          <w:color w:val="000000" w:themeColor="text1"/>
          <w:sz w:val="22"/>
          <w:szCs w:val="22"/>
        </w:rPr>
        <w:t>7.</w:t>
      </w:r>
      <w:r w:rsidRPr="002507F9">
        <w:rPr>
          <w:rFonts w:asciiTheme="majorHAnsi" w:hAnsiTheme="majorHAnsi" w:cstheme="majorHAnsi"/>
          <w:b/>
          <w:color w:val="000000" w:themeColor="text1"/>
          <w:sz w:val="22"/>
          <w:szCs w:val="22"/>
        </w:rPr>
        <w:fldChar w:fldCharType="begin"/>
      </w:r>
      <w:r w:rsidRPr="002507F9">
        <w:rPr>
          <w:rFonts w:asciiTheme="majorHAnsi" w:hAnsiTheme="majorHAnsi" w:cstheme="majorHAnsi"/>
          <w:b/>
          <w:color w:val="000000" w:themeColor="text1"/>
          <w:sz w:val="22"/>
          <w:szCs w:val="22"/>
        </w:rPr>
        <w:instrText xml:space="preserve"> STYLEREF 1 \s </w:instrText>
      </w:r>
      <w:r w:rsidRPr="002507F9">
        <w:rPr>
          <w:rFonts w:asciiTheme="majorHAnsi" w:hAnsiTheme="majorHAnsi" w:cstheme="majorHAnsi"/>
          <w:b/>
          <w:color w:val="000000" w:themeColor="text1"/>
          <w:sz w:val="22"/>
          <w:szCs w:val="22"/>
        </w:rPr>
        <w:fldChar w:fldCharType="separate"/>
      </w:r>
      <w:r w:rsidRPr="002507F9">
        <w:rPr>
          <w:rFonts w:asciiTheme="majorHAnsi" w:hAnsiTheme="majorHAnsi" w:cstheme="majorHAnsi"/>
          <w:b/>
          <w:noProof/>
          <w:color w:val="000000" w:themeColor="text1"/>
          <w:sz w:val="22"/>
          <w:szCs w:val="22"/>
        </w:rPr>
        <w:t>4</w:t>
      </w:r>
      <w:r w:rsidRPr="002507F9">
        <w:rPr>
          <w:rFonts w:asciiTheme="majorHAnsi" w:hAnsiTheme="majorHAnsi" w:cstheme="majorHAnsi"/>
          <w:b/>
          <w:color w:val="000000" w:themeColor="text1"/>
          <w:sz w:val="22"/>
          <w:szCs w:val="22"/>
        </w:rPr>
        <w:fldChar w:fldCharType="end"/>
      </w:r>
      <w:r w:rsidRPr="002507F9">
        <w:rPr>
          <w:rFonts w:asciiTheme="majorHAnsi" w:hAnsiTheme="majorHAnsi" w:cstheme="majorHAnsi"/>
          <w:b/>
          <w:color w:val="000000" w:themeColor="text1"/>
          <w:sz w:val="22"/>
          <w:szCs w:val="22"/>
        </w:rPr>
        <w:t>.</w:t>
      </w:r>
      <w:r w:rsidR="00EB5B81" w:rsidRPr="002507F9">
        <w:rPr>
          <w:rFonts w:asciiTheme="majorHAnsi" w:hAnsiTheme="majorHAnsi" w:cstheme="majorHAnsi"/>
          <w:b/>
          <w:color w:val="000000" w:themeColor="text1"/>
          <w:sz w:val="22"/>
          <w:szCs w:val="22"/>
        </w:rPr>
        <w:fldChar w:fldCharType="begin"/>
      </w:r>
      <w:r w:rsidR="00EB5B81" w:rsidRPr="002507F9">
        <w:rPr>
          <w:rFonts w:asciiTheme="majorHAnsi" w:hAnsiTheme="majorHAnsi" w:cstheme="majorHAnsi"/>
          <w:b/>
          <w:color w:val="000000" w:themeColor="text1"/>
          <w:sz w:val="22"/>
          <w:szCs w:val="22"/>
        </w:rPr>
        <w:instrText xml:space="preserve"> SEQ Obrázek \* ARABIC \s 1 </w:instrText>
      </w:r>
      <w:r w:rsidR="00EB5B81" w:rsidRPr="002507F9">
        <w:rPr>
          <w:rFonts w:asciiTheme="majorHAnsi" w:hAnsiTheme="majorHAnsi" w:cstheme="majorHAnsi"/>
          <w:b/>
          <w:color w:val="000000" w:themeColor="text1"/>
          <w:sz w:val="22"/>
          <w:szCs w:val="22"/>
        </w:rPr>
        <w:fldChar w:fldCharType="separate"/>
      </w:r>
      <w:r w:rsidR="00EB5B81" w:rsidRPr="002507F9">
        <w:rPr>
          <w:rFonts w:asciiTheme="majorHAnsi" w:hAnsiTheme="majorHAnsi" w:cstheme="majorHAnsi"/>
          <w:b/>
          <w:noProof/>
          <w:color w:val="000000" w:themeColor="text1"/>
          <w:sz w:val="22"/>
          <w:szCs w:val="22"/>
        </w:rPr>
        <w:t>1</w:t>
      </w:r>
      <w:r w:rsidR="00EB5B81" w:rsidRPr="002507F9">
        <w:rPr>
          <w:rFonts w:asciiTheme="majorHAnsi" w:hAnsiTheme="majorHAnsi" w:cstheme="majorHAnsi"/>
          <w:b/>
          <w:color w:val="000000" w:themeColor="text1"/>
          <w:sz w:val="22"/>
          <w:szCs w:val="22"/>
        </w:rPr>
        <w:fldChar w:fldCharType="end"/>
      </w:r>
      <w:r w:rsidR="002507F9">
        <w:rPr>
          <w:rFonts w:asciiTheme="majorHAnsi" w:hAnsiTheme="majorHAnsi" w:cstheme="majorHAnsi"/>
          <w:b/>
          <w:color w:val="000000" w:themeColor="text1"/>
          <w:sz w:val="22"/>
          <w:szCs w:val="22"/>
        </w:rPr>
        <w:t>8</w:t>
      </w:r>
      <w:r w:rsidRPr="002507F9">
        <w:rPr>
          <w:rFonts w:asciiTheme="majorHAnsi" w:eastAsiaTheme="minorEastAsia" w:hAnsiTheme="majorHAnsi" w:cstheme="majorHAnsi"/>
          <w:b/>
          <w:bCs/>
          <w:iCs/>
          <w:color w:val="000000" w:themeColor="text1"/>
          <w:sz w:val="22"/>
          <w:szCs w:val="22"/>
        </w:rPr>
        <w:t>: Vývoj míry ohrožení příjmovou chudobou v ČR v letech 2005–2017</w:t>
      </w:r>
      <w:bookmarkEnd w:id="186"/>
      <w:bookmarkEnd w:id="187"/>
      <w:bookmarkEnd w:id="188"/>
    </w:p>
    <w:p w14:paraId="4E6A1EE1" w14:textId="77777777" w:rsidR="00143820" w:rsidRDefault="00143820" w:rsidP="00EF462E">
      <w:pPr>
        <w:ind w:firstLine="0"/>
      </w:pPr>
      <w:r>
        <w:rPr>
          <w:noProof/>
        </w:rPr>
        <w:drawing>
          <wp:inline distT="0" distB="0" distL="0" distR="0" wp14:anchorId="3BC61012" wp14:editId="38635C9B">
            <wp:extent cx="5848350" cy="2105025"/>
            <wp:effectExtent l="0" t="0" r="0" b="9525"/>
            <wp:docPr id="58" name="Graf 58">
              <a:extLst xmlns:a="http://schemas.openxmlformats.org/drawingml/2006/main">
                <a:ext uri="{FF2B5EF4-FFF2-40B4-BE49-F238E27FC236}">
                  <a16:creationId xmlns:a16="http://schemas.microsoft.com/office/drawing/2014/main" id="{DD6D3262-28E1-40A4-81CE-854F69975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82F6FA3" w14:textId="77777777" w:rsidR="00143820" w:rsidRPr="004B694B" w:rsidRDefault="00143820"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 ČSÚ, Eurostat</w:t>
      </w:r>
    </w:p>
    <w:p w14:paraId="2EDA9F26" w14:textId="77777777" w:rsidR="00143820" w:rsidRDefault="00143820" w:rsidP="00143820"/>
    <w:p w14:paraId="141853F7" w14:textId="77777777" w:rsidR="00240E36" w:rsidRPr="00240E36" w:rsidRDefault="00240E36" w:rsidP="002507F9">
      <w:pPr>
        <w:pStyle w:val="Titulek"/>
        <w:keepNext/>
        <w:spacing w:after="0"/>
        <w:ind w:firstLine="0"/>
        <w:rPr>
          <w:rFonts w:asciiTheme="majorHAnsi" w:hAnsiTheme="majorHAnsi" w:cstheme="majorHAnsi"/>
          <w:b/>
          <w:i w:val="0"/>
          <w:color w:val="000000" w:themeColor="text1"/>
          <w:sz w:val="22"/>
          <w:szCs w:val="22"/>
        </w:rPr>
      </w:pPr>
      <w:bookmarkStart w:id="189" w:name="_Toc525727662"/>
      <w:bookmarkStart w:id="190" w:name="_Toc525735949"/>
      <w:bookmarkStart w:id="191" w:name="_Toc525738246"/>
      <w:r w:rsidRPr="00240E36">
        <w:rPr>
          <w:rFonts w:asciiTheme="majorHAnsi" w:hAnsiTheme="majorHAnsi" w:cstheme="majorHAnsi"/>
          <w:b/>
          <w:i w:val="0"/>
          <w:color w:val="000000" w:themeColor="text1"/>
          <w:sz w:val="22"/>
          <w:szCs w:val="22"/>
        </w:rPr>
        <w:t xml:space="preserve">Obrázek </w:t>
      </w:r>
      <w:r w:rsidR="002507F9">
        <w:rPr>
          <w:rFonts w:asciiTheme="majorHAnsi" w:hAnsiTheme="majorHAnsi" w:cstheme="majorHAnsi"/>
          <w:b/>
          <w:i w:val="0"/>
          <w:color w:val="000000" w:themeColor="text1"/>
          <w:sz w:val="22"/>
          <w:szCs w:val="22"/>
        </w:rPr>
        <w:t>7.</w:t>
      </w:r>
      <w:r>
        <w:rPr>
          <w:rFonts w:asciiTheme="majorHAnsi" w:hAnsiTheme="majorHAnsi" w:cstheme="majorHAnsi"/>
          <w:b/>
          <w:i w:val="0"/>
          <w:color w:val="000000" w:themeColor="text1"/>
          <w:sz w:val="22"/>
          <w:szCs w:val="22"/>
        </w:rPr>
        <w:fldChar w:fldCharType="begin"/>
      </w:r>
      <w:r>
        <w:rPr>
          <w:rFonts w:asciiTheme="majorHAnsi" w:hAnsiTheme="majorHAnsi" w:cstheme="majorHAnsi"/>
          <w:b/>
          <w:i w:val="0"/>
          <w:color w:val="000000" w:themeColor="text1"/>
          <w:sz w:val="22"/>
          <w:szCs w:val="22"/>
        </w:rPr>
        <w:instrText xml:space="preserve"> STYLEREF 1 \s </w:instrText>
      </w:r>
      <w:r>
        <w:rPr>
          <w:rFonts w:asciiTheme="majorHAnsi" w:hAnsiTheme="majorHAnsi" w:cstheme="majorHAnsi"/>
          <w:b/>
          <w:i w:val="0"/>
          <w:color w:val="000000" w:themeColor="text1"/>
          <w:sz w:val="22"/>
          <w:szCs w:val="22"/>
        </w:rPr>
        <w:fldChar w:fldCharType="separate"/>
      </w:r>
      <w:r>
        <w:rPr>
          <w:rFonts w:asciiTheme="majorHAnsi" w:hAnsiTheme="majorHAnsi" w:cstheme="majorHAnsi"/>
          <w:b/>
          <w:i w:val="0"/>
          <w:noProof/>
          <w:color w:val="000000" w:themeColor="text1"/>
          <w:sz w:val="22"/>
          <w:szCs w:val="22"/>
        </w:rPr>
        <w:t>4</w:t>
      </w:r>
      <w:r>
        <w:rPr>
          <w:rFonts w:asciiTheme="majorHAnsi" w:hAnsiTheme="majorHAnsi" w:cstheme="majorHAnsi"/>
          <w:b/>
          <w:i w:val="0"/>
          <w:color w:val="000000" w:themeColor="text1"/>
          <w:sz w:val="22"/>
          <w:szCs w:val="22"/>
        </w:rPr>
        <w:fldChar w:fldCharType="end"/>
      </w:r>
      <w:r>
        <w:rPr>
          <w:rFonts w:asciiTheme="majorHAnsi" w:hAnsiTheme="majorHAnsi" w:cstheme="majorHAnsi"/>
          <w:b/>
          <w:i w:val="0"/>
          <w:color w:val="000000" w:themeColor="text1"/>
          <w:sz w:val="22"/>
          <w:szCs w:val="22"/>
        </w:rPr>
        <w:t>.</w:t>
      </w:r>
      <w:r w:rsidR="002507F9">
        <w:rPr>
          <w:rFonts w:asciiTheme="majorHAnsi" w:hAnsiTheme="majorHAnsi" w:cstheme="majorHAnsi"/>
          <w:b/>
          <w:i w:val="0"/>
          <w:color w:val="000000" w:themeColor="text1"/>
          <w:sz w:val="22"/>
          <w:szCs w:val="22"/>
        </w:rPr>
        <w:t>19</w:t>
      </w:r>
      <w:r w:rsidRPr="00240E36">
        <w:rPr>
          <w:rFonts w:asciiTheme="majorHAnsi" w:eastAsiaTheme="minorEastAsia" w:hAnsiTheme="majorHAnsi" w:cstheme="majorHAnsi"/>
          <w:b/>
          <w:bCs/>
          <w:i w:val="0"/>
          <w:iCs w:val="0"/>
          <w:color w:val="000000" w:themeColor="text1"/>
          <w:sz w:val="22"/>
          <w:szCs w:val="22"/>
        </w:rPr>
        <w:t>: Vývoj ohrožení příjmovou chudobou v jednotlivých NUTS2 v letech 2005–2016</w:t>
      </w:r>
      <w:bookmarkEnd w:id="189"/>
      <w:bookmarkEnd w:id="190"/>
      <w:bookmarkEnd w:id="191"/>
    </w:p>
    <w:p w14:paraId="0459F86F" w14:textId="77777777" w:rsidR="00143820" w:rsidRDefault="00143820" w:rsidP="00EF462E">
      <w:pPr>
        <w:ind w:firstLine="0"/>
      </w:pPr>
      <w:r>
        <w:rPr>
          <w:noProof/>
        </w:rPr>
        <w:drawing>
          <wp:inline distT="0" distB="0" distL="0" distR="0" wp14:anchorId="56E46685" wp14:editId="133DEFB6">
            <wp:extent cx="5760720" cy="2419350"/>
            <wp:effectExtent l="0" t="0" r="11430" b="0"/>
            <wp:docPr id="59" name="Graf 59">
              <a:extLst xmlns:a="http://schemas.openxmlformats.org/drawingml/2006/main">
                <a:ext uri="{FF2B5EF4-FFF2-40B4-BE49-F238E27FC236}">
                  <a16:creationId xmlns:a16="http://schemas.microsoft.com/office/drawing/2014/main" id="{F61FE2E3-A83F-4DF3-85BA-5BA6AE66A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A9C7BAA" w14:textId="77777777" w:rsidR="00143820" w:rsidRPr="004B694B" w:rsidRDefault="00143820"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 Eurostat</w:t>
      </w:r>
    </w:p>
    <w:p w14:paraId="3040EB38" w14:textId="77777777" w:rsidR="002507F9" w:rsidRDefault="002507F9" w:rsidP="00143820"/>
    <w:p w14:paraId="458CA19B" w14:textId="77777777" w:rsidR="00143820" w:rsidRDefault="00143820" w:rsidP="00143820">
      <w:r>
        <w:t>Míra materiální deprivace</w:t>
      </w:r>
      <w:r>
        <w:rPr>
          <w:rStyle w:val="Znakapoznpodarou"/>
        </w:rPr>
        <w:footnoteReference w:id="11"/>
      </w:r>
      <w:r>
        <w:t xml:space="preserve"> se dlouhodobě pohybovala kolem 6 % až 7 % s výjimkou let 2005 a 2006. Od roku 2014 je zaznamenán postupný pokles tohoto ukazatele až na současných </w:t>
      </w:r>
      <w:r>
        <w:lastRenderedPageBreak/>
        <w:t xml:space="preserve">3,7 </w:t>
      </w:r>
      <w:r w:rsidR="00FA6FC4">
        <w:t xml:space="preserve">%. </w:t>
      </w:r>
      <w:r>
        <w:t>Podle údajů z ČSÚ je pro 28,1 % lidí největším problémem uhrazení neočekávaného výdaje (pro rok 2017 stanoveného na hranici 10 200 Kč) a pro 25 % si nemůže dovolit týdenní dovolenou mimo domov.</w:t>
      </w:r>
    </w:p>
    <w:p w14:paraId="3F207E1E" w14:textId="77777777" w:rsidR="00143820" w:rsidRPr="002C7222" w:rsidRDefault="00143820" w:rsidP="00143820">
      <w:pPr>
        <w:rPr>
          <w:b/>
        </w:rPr>
      </w:pPr>
    </w:p>
    <w:p w14:paraId="5C931153" w14:textId="77777777" w:rsidR="00240E36" w:rsidRPr="00240E36" w:rsidRDefault="00240E36" w:rsidP="002507F9">
      <w:pPr>
        <w:pStyle w:val="Titulek"/>
        <w:keepNext/>
        <w:spacing w:after="0"/>
        <w:ind w:firstLine="0"/>
        <w:rPr>
          <w:rFonts w:asciiTheme="majorHAnsi" w:hAnsiTheme="majorHAnsi" w:cstheme="majorHAnsi"/>
          <w:b/>
          <w:i w:val="0"/>
          <w:color w:val="000000" w:themeColor="text1"/>
          <w:sz w:val="22"/>
          <w:szCs w:val="22"/>
        </w:rPr>
      </w:pPr>
      <w:bookmarkStart w:id="192" w:name="_Toc525727663"/>
      <w:bookmarkStart w:id="193" w:name="_Toc525735950"/>
      <w:bookmarkStart w:id="194" w:name="_Toc525738247"/>
      <w:r w:rsidRPr="00240E36">
        <w:rPr>
          <w:rFonts w:asciiTheme="majorHAnsi" w:hAnsiTheme="majorHAnsi" w:cstheme="majorHAnsi"/>
          <w:b/>
          <w:i w:val="0"/>
          <w:color w:val="000000" w:themeColor="text1"/>
          <w:sz w:val="22"/>
          <w:szCs w:val="22"/>
        </w:rPr>
        <w:t xml:space="preserve">Obrázek </w:t>
      </w:r>
      <w:r w:rsidR="002507F9">
        <w:rPr>
          <w:rFonts w:asciiTheme="majorHAnsi" w:hAnsiTheme="majorHAnsi" w:cstheme="majorHAnsi"/>
          <w:b/>
          <w:i w:val="0"/>
          <w:color w:val="000000" w:themeColor="text1"/>
          <w:sz w:val="22"/>
          <w:szCs w:val="22"/>
        </w:rPr>
        <w:t>7.</w:t>
      </w:r>
      <w:r>
        <w:rPr>
          <w:rFonts w:asciiTheme="majorHAnsi" w:hAnsiTheme="majorHAnsi" w:cstheme="majorHAnsi"/>
          <w:b/>
          <w:i w:val="0"/>
          <w:color w:val="000000" w:themeColor="text1"/>
          <w:sz w:val="22"/>
          <w:szCs w:val="22"/>
        </w:rPr>
        <w:fldChar w:fldCharType="begin"/>
      </w:r>
      <w:r>
        <w:rPr>
          <w:rFonts w:asciiTheme="majorHAnsi" w:hAnsiTheme="majorHAnsi" w:cstheme="majorHAnsi"/>
          <w:b/>
          <w:i w:val="0"/>
          <w:color w:val="000000" w:themeColor="text1"/>
          <w:sz w:val="22"/>
          <w:szCs w:val="22"/>
        </w:rPr>
        <w:instrText xml:space="preserve"> STYLEREF 1 \s </w:instrText>
      </w:r>
      <w:r>
        <w:rPr>
          <w:rFonts w:asciiTheme="majorHAnsi" w:hAnsiTheme="majorHAnsi" w:cstheme="majorHAnsi"/>
          <w:b/>
          <w:i w:val="0"/>
          <w:color w:val="000000" w:themeColor="text1"/>
          <w:sz w:val="22"/>
          <w:szCs w:val="22"/>
        </w:rPr>
        <w:fldChar w:fldCharType="separate"/>
      </w:r>
      <w:r>
        <w:rPr>
          <w:rFonts w:asciiTheme="majorHAnsi" w:hAnsiTheme="majorHAnsi" w:cstheme="majorHAnsi"/>
          <w:b/>
          <w:i w:val="0"/>
          <w:noProof/>
          <w:color w:val="000000" w:themeColor="text1"/>
          <w:sz w:val="22"/>
          <w:szCs w:val="22"/>
        </w:rPr>
        <w:t>4</w:t>
      </w:r>
      <w:r>
        <w:rPr>
          <w:rFonts w:asciiTheme="majorHAnsi" w:hAnsiTheme="majorHAnsi" w:cstheme="majorHAnsi"/>
          <w:b/>
          <w:i w:val="0"/>
          <w:color w:val="000000" w:themeColor="text1"/>
          <w:sz w:val="22"/>
          <w:szCs w:val="22"/>
        </w:rPr>
        <w:fldChar w:fldCharType="end"/>
      </w:r>
      <w:r>
        <w:rPr>
          <w:rFonts w:asciiTheme="majorHAnsi" w:hAnsiTheme="majorHAnsi" w:cstheme="majorHAnsi"/>
          <w:b/>
          <w:i w:val="0"/>
          <w:color w:val="000000" w:themeColor="text1"/>
          <w:sz w:val="22"/>
          <w:szCs w:val="22"/>
        </w:rPr>
        <w:t>.</w:t>
      </w:r>
      <w:r w:rsidR="00EB5B81">
        <w:rPr>
          <w:rFonts w:asciiTheme="majorHAnsi" w:hAnsiTheme="majorHAnsi" w:cstheme="majorHAnsi"/>
          <w:b/>
          <w:i w:val="0"/>
          <w:color w:val="000000" w:themeColor="text1"/>
          <w:sz w:val="22"/>
          <w:szCs w:val="22"/>
        </w:rPr>
        <w:fldChar w:fldCharType="begin"/>
      </w:r>
      <w:r w:rsidR="00EB5B81">
        <w:rPr>
          <w:rFonts w:asciiTheme="majorHAnsi" w:hAnsiTheme="majorHAnsi" w:cstheme="majorHAnsi"/>
          <w:b/>
          <w:i w:val="0"/>
          <w:color w:val="000000" w:themeColor="text1"/>
          <w:sz w:val="22"/>
          <w:szCs w:val="22"/>
        </w:rPr>
        <w:instrText xml:space="preserve"> SEQ Obrázek \* ARABIC \s 1 </w:instrText>
      </w:r>
      <w:r w:rsidR="00EB5B81">
        <w:rPr>
          <w:rFonts w:asciiTheme="majorHAnsi" w:hAnsiTheme="majorHAnsi" w:cstheme="majorHAnsi"/>
          <w:b/>
          <w:i w:val="0"/>
          <w:color w:val="000000" w:themeColor="text1"/>
          <w:sz w:val="22"/>
          <w:szCs w:val="22"/>
        </w:rPr>
        <w:fldChar w:fldCharType="separate"/>
      </w:r>
      <w:r w:rsidR="00EB5B81">
        <w:rPr>
          <w:rFonts w:asciiTheme="majorHAnsi" w:hAnsiTheme="majorHAnsi" w:cstheme="majorHAnsi"/>
          <w:b/>
          <w:i w:val="0"/>
          <w:noProof/>
          <w:color w:val="000000" w:themeColor="text1"/>
          <w:sz w:val="22"/>
          <w:szCs w:val="22"/>
        </w:rPr>
        <w:t>2</w:t>
      </w:r>
      <w:r w:rsidR="00EB5B81">
        <w:rPr>
          <w:rFonts w:asciiTheme="majorHAnsi" w:hAnsiTheme="majorHAnsi" w:cstheme="majorHAnsi"/>
          <w:b/>
          <w:i w:val="0"/>
          <w:color w:val="000000" w:themeColor="text1"/>
          <w:sz w:val="22"/>
          <w:szCs w:val="22"/>
        </w:rPr>
        <w:fldChar w:fldCharType="end"/>
      </w:r>
      <w:r w:rsidR="002507F9">
        <w:rPr>
          <w:rFonts w:asciiTheme="majorHAnsi" w:hAnsiTheme="majorHAnsi" w:cstheme="majorHAnsi"/>
          <w:b/>
          <w:i w:val="0"/>
          <w:color w:val="000000" w:themeColor="text1"/>
          <w:sz w:val="22"/>
          <w:szCs w:val="22"/>
        </w:rPr>
        <w:t>0</w:t>
      </w:r>
      <w:r w:rsidRPr="00240E36">
        <w:rPr>
          <w:rFonts w:asciiTheme="majorHAnsi" w:eastAsiaTheme="minorEastAsia" w:hAnsiTheme="majorHAnsi" w:cstheme="majorHAnsi"/>
          <w:b/>
          <w:bCs/>
          <w:i w:val="0"/>
          <w:color w:val="000000" w:themeColor="text1"/>
          <w:sz w:val="22"/>
          <w:szCs w:val="22"/>
        </w:rPr>
        <w:t>: Vývoj celkové míry materiální deprivace v ČR v letech 2005–2017</w:t>
      </w:r>
      <w:bookmarkEnd w:id="192"/>
      <w:bookmarkEnd w:id="193"/>
      <w:bookmarkEnd w:id="194"/>
    </w:p>
    <w:p w14:paraId="110C817C" w14:textId="77777777" w:rsidR="00143820" w:rsidRDefault="00143820" w:rsidP="001E245D">
      <w:pPr>
        <w:ind w:firstLine="0"/>
        <w:rPr>
          <w:b/>
        </w:rPr>
      </w:pPr>
      <w:r>
        <w:rPr>
          <w:noProof/>
        </w:rPr>
        <w:drawing>
          <wp:inline distT="0" distB="0" distL="0" distR="0" wp14:anchorId="4A21C21A" wp14:editId="0C204700">
            <wp:extent cx="5760720" cy="2228850"/>
            <wp:effectExtent l="0" t="0" r="11430" b="0"/>
            <wp:docPr id="60" name="Graf 60">
              <a:extLst xmlns:a="http://schemas.openxmlformats.org/drawingml/2006/main">
                <a:ext uri="{FF2B5EF4-FFF2-40B4-BE49-F238E27FC236}">
                  <a16:creationId xmlns:a16="http://schemas.microsoft.com/office/drawing/2014/main" id="{D19A2744-329C-4158-960E-DABE4D58CC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7D02DD7" w14:textId="77777777" w:rsidR="00143820" w:rsidRDefault="00143820"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 ČSÚ, Eurostat</w:t>
      </w:r>
    </w:p>
    <w:p w14:paraId="787B68FE" w14:textId="77777777" w:rsidR="002507F9" w:rsidRPr="004B694B" w:rsidRDefault="002507F9" w:rsidP="002507F9">
      <w:pPr>
        <w:ind w:firstLine="0"/>
        <w:rPr>
          <w:rFonts w:asciiTheme="majorHAnsi" w:eastAsiaTheme="majorEastAsia" w:hAnsiTheme="majorHAnsi" w:cstheme="majorBidi"/>
          <w:i/>
          <w:iCs/>
          <w:sz w:val="18"/>
          <w:szCs w:val="18"/>
        </w:rPr>
      </w:pPr>
    </w:p>
    <w:p w14:paraId="3177DAF3" w14:textId="77777777" w:rsidR="00240E36" w:rsidRPr="00240E36" w:rsidRDefault="00240E36" w:rsidP="002507F9">
      <w:pPr>
        <w:pStyle w:val="Titulek"/>
        <w:keepNext/>
        <w:spacing w:after="0"/>
        <w:ind w:firstLine="0"/>
        <w:rPr>
          <w:rFonts w:asciiTheme="majorHAnsi" w:hAnsiTheme="majorHAnsi" w:cstheme="majorHAnsi"/>
          <w:b/>
          <w:i w:val="0"/>
          <w:color w:val="000000" w:themeColor="text1"/>
          <w:sz w:val="22"/>
          <w:szCs w:val="22"/>
        </w:rPr>
      </w:pPr>
      <w:bookmarkStart w:id="195" w:name="_Toc525727664"/>
      <w:bookmarkStart w:id="196" w:name="_Toc525735951"/>
      <w:bookmarkStart w:id="197" w:name="_Toc525738248"/>
      <w:r w:rsidRPr="00240E36">
        <w:rPr>
          <w:rFonts w:asciiTheme="majorHAnsi" w:hAnsiTheme="majorHAnsi" w:cstheme="majorHAnsi"/>
          <w:b/>
          <w:i w:val="0"/>
          <w:color w:val="000000" w:themeColor="text1"/>
          <w:sz w:val="22"/>
          <w:szCs w:val="22"/>
        </w:rPr>
        <w:t xml:space="preserve">Obrázek </w:t>
      </w:r>
      <w:r w:rsidR="002507F9">
        <w:rPr>
          <w:rFonts w:asciiTheme="majorHAnsi" w:hAnsiTheme="majorHAnsi" w:cstheme="majorHAnsi"/>
          <w:b/>
          <w:i w:val="0"/>
          <w:color w:val="000000" w:themeColor="text1"/>
          <w:sz w:val="22"/>
          <w:szCs w:val="22"/>
        </w:rPr>
        <w:t>7.</w:t>
      </w:r>
      <w:r>
        <w:rPr>
          <w:rFonts w:asciiTheme="majorHAnsi" w:hAnsiTheme="majorHAnsi" w:cstheme="majorHAnsi"/>
          <w:b/>
          <w:i w:val="0"/>
          <w:color w:val="000000" w:themeColor="text1"/>
          <w:sz w:val="22"/>
          <w:szCs w:val="22"/>
        </w:rPr>
        <w:fldChar w:fldCharType="begin"/>
      </w:r>
      <w:r>
        <w:rPr>
          <w:rFonts w:asciiTheme="majorHAnsi" w:hAnsiTheme="majorHAnsi" w:cstheme="majorHAnsi"/>
          <w:b/>
          <w:i w:val="0"/>
          <w:color w:val="000000" w:themeColor="text1"/>
          <w:sz w:val="22"/>
          <w:szCs w:val="22"/>
        </w:rPr>
        <w:instrText xml:space="preserve"> STYLEREF 1 \s </w:instrText>
      </w:r>
      <w:r>
        <w:rPr>
          <w:rFonts w:asciiTheme="majorHAnsi" w:hAnsiTheme="majorHAnsi" w:cstheme="majorHAnsi"/>
          <w:b/>
          <w:i w:val="0"/>
          <w:color w:val="000000" w:themeColor="text1"/>
          <w:sz w:val="22"/>
          <w:szCs w:val="22"/>
        </w:rPr>
        <w:fldChar w:fldCharType="separate"/>
      </w:r>
      <w:r>
        <w:rPr>
          <w:rFonts w:asciiTheme="majorHAnsi" w:hAnsiTheme="majorHAnsi" w:cstheme="majorHAnsi"/>
          <w:b/>
          <w:i w:val="0"/>
          <w:noProof/>
          <w:color w:val="000000" w:themeColor="text1"/>
          <w:sz w:val="22"/>
          <w:szCs w:val="22"/>
        </w:rPr>
        <w:t>4</w:t>
      </w:r>
      <w:r>
        <w:rPr>
          <w:rFonts w:asciiTheme="majorHAnsi" w:hAnsiTheme="majorHAnsi" w:cstheme="majorHAnsi"/>
          <w:b/>
          <w:i w:val="0"/>
          <w:color w:val="000000" w:themeColor="text1"/>
          <w:sz w:val="22"/>
          <w:szCs w:val="22"/>
        </w:rPr>
        <w:fldChar w:fldCharType="end"/>
      </w:r>
      <w:r>
        <w:rPr>
          <w:rFonts w:asciiTheme="majorHAnsi" w:hAnsiTheme="majorHAnsi" w:cstheme="majorHAnsi"/>
          <w:b/>
          <w:i w:val="0"/>
          <w:color w:val="000000" w:themeColor="text1"/>
          <w:sz w:val="22"/>
          <w:szCs w:val="22"/>
        </w:rPr>
        <w:t>.</w:t>
      </w:r>
      <w:r w:rsidR="00EB5B81">
        <w:rPr>
          <w:rFonts w:asciiTheme="majorHAnsi" w:hAnsiTheme="majorHAnsi" w:cstheme="majorHAnsi"/>
          <w:b/>
          <w:i w:val="0"/>
          <w:color w:val="000000" w:themeColor="text1"/>
          <w:sz w:val="22"/>
          <w:szCs w:val="22"/>
        </w:rPr>
        <w:fldChar w:fldCharType="begin"/>
      </w:r>
      <w:r w:rsidR="00EB5B81">
        <w:rPr>
          <w:rFonts w:asciiTheme="majorHAnsi" w:hAnsiTheme="majorHAnsi" w:cstheme="majorHAnsi"/>
          <w:b/>
          <w:i w:val="0"/>
          <w:color w:val="000000" w:themeColor="text1"/>
          <w:sz w:val="22"/>
          <w:szCs w:val="22"/>
        </w:rPr>
        <w:instrText xml:space="preserve"> SEQ Obrázek \* ARABIC \s 1 </w:instrText>
      </w:r>
      <w:r w:rsidR="00EB5B81">
        <w:rPr>
          <w:rFonts w:asciiTheme="majorHAnsi" w:hAnsiTheme="majorHAnsi" w:cstheme="majorHAnsi"/>
          <w:b/>
          <w:i w:val="0"/>
          <w:color w:val="000000" w:themeColor="text1"/>
          <w:sz w:val="22"/>
          <w:szCs w:val="22"/>
        </w:rPr>
        <w:fldChar w:fldCharType="separate"/>
      </w:r>
      <w:r w:rsidR="00EB5B81">
        <w:rPr>
          <w:rFonts w:asciiTheme="majorHAnsi" w:hAnsiTheme="majorHAnsi" w:cstheme="majorHAnsi"/>
          <w:b/>
          <w:i w:val="0"/>
          <w:noProof/>
          <w:color w:val="000000" w:themeColor="text1"/>
          <w:sz w:val="22"/>
          <w:szCs w:val="22"/>
        </w:rPr>
        <w:t>2</w:t>
      </w:r>
      <w:r w:rsidR="00EB5B81">
        <w:rPr>
          <w:rFonts w:asciiTheme="majorHAnsi" w:hAnsiTheme="majorHAnsi" w:cstheme="majorHAnsi"/>
          <w:b/>
          <w:i w:val="0"/>
          <w:color w:val="000000" w:themeColor="text1"/>
          <w:sz w:val="22"/>
          <w:szCs w:val="22"/>
        </w:rPr>
        <w:fldChar w:fldCharType="end"/>
      </w:r>
      <w:r w:rsidR="002507F9">
        <w:rPr>
          <w:rFonts w:asciiTheme="majorHAnsi" w:hAnsiTheme="majorHAnsi" w:cstheme="majorHAnsi"/>
          <w:b/>
          <w:i w:val="0"/>
          <w:color w:val="000000" w:themeColor="text1"/>
          <w:sz w:val="22"/>
          <w:szCs w:val="22"/>
        </w:rPr>
        <w:t>1</w:t>
      </w:r>
      <w:r w:rsidRPr="00240E36">
        <w:rPr>
          <w:rFonts w:asciiTheme="majorHAnsi" w:eastAsiaTheme="minorEastAsia" w:hAnsiTheme="majorHAnsi" w:cstheme="majorHAnsi"/>
          <w:b/>
          <w:bCs/>
          <w:i w:val="0"/>
          <w:color w:val="000000" w:themeColor="text1"/>
          <w:sz w:val="22"/>
          <w:szCs w:val="22"/>
        </w:rPr>
        <w:t>: Vývoj míry materiální deprivace v jednotlivých NUTS 2 v letech 2005–2016</w:t>
      </w:r>
      <w:bookmarkEnd w:id="195"/>
      <w:bookmarkEnd w:id="196"/>
      <w:bookmarkEnd w:id="197"/>
    </w:p>
    <w:p w14:paraId="5E176DB9" w14:textId="77777777" w:rsidR="00143820" w:rsidRDefault="00143820" w:rsidP="001E245D">
      <w:pPr>
        <w:ind w:firstLine="0"/>
      </w:pPr>
      <w:r>
        <w:rPr>
          <w:noProof/>
        </w:rPr>
        <w:drawing>
          <wp:inline distT="0" distB="0" distL="0" distR="0" wp14:anchorId="4D507F86" wp14:editId="24391E2F">
            <wp:extent cx="5495925" cy="1933575"/>
            <wp:effectExtent l="0" t="0" r="9525" b="9525"/>
            <wp:docPr id="61" name="Graf 61">
              <a:extLst xmlns:a="http://schemas.openxmlformats.org/drawingml/2006/main">
                <a:ext uri="{FF2B5EF4-FFF2-40B4-BE49-F238E27FC236}">
                  <a16:creationId xmlns:a16="http://schemas.microsoft.com/office/drawing/2014/main" id="{8AF21D5C-2956-4183-9A3E-AABF1D2126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3D93D0E" w14:textId="77777777" w:rsidR="00143820" w:rsidRPr="004B694B" w:rsidRDefault="00143820"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 Eurostat</w:t>
      </w:r>
    </w:p>
    <w:p w14:paraId="00081CAE" w14:textId="77777777" w:rsidR="00143820" w:rsidRDefault="00143820" w:rsidP="00143820"/>
    <w:p w14:paraId="5240E37A" w14:textId="77777777" w:rsidR="002507F9" w:rsidRDefault="002507F9" w:rsidP="00143820"/>
    <w:p w14:paraId="1E6395DE" w14:textId="77777777" w:rsidR="002507F9" w:rsidRDefault="002507F9" w:rsidP="00143820"/>
    <w:p w14:paraId="6D791EE4" w14:textId="77777777" w:rsidR="002507F9" w:rsidRDefault="002507F9" w:rsidP="00143820"/>
    <w:p w14:paraId="5AA30856" w14:textId="77777777" w:rsidR="002507F9" w:rsidRDefault="002507F9" w:rsidP="00143820"/>
    <w:p w14:paraId="3B83C0A8" w14:textId="77777777" w:rsidR="002507F9" w:rsidRDefault="002507F9" w:rsidP="00143820"/>
    <w:p w14:paraId="4882B8B5" w14:textId="77777777" w:rsidR="002507F9" w:rsidRDefault="002507F9" w:rsidP="00143820"/>
    <w:p w14:paraId="59F4E320" w14:textId="77777777" w:rsidR="00143820" w:rsidRPr="004B694B" w:rsidRDefault="00143820" w:rsidP="004B694B">
      <w:pPr>
        <w:pStyle w:val="Titulek"/>
        <w:keepNext/>
        <w:spacing w:after="0"/>
        <w:ind w:firstLine="0"/>
        <w:rPr>
          <w:rFonts w:asciiTheme="minorHAnsi" w:eastAsiaTheme="minorEastAsia" w:hAnsiTheme="minorHAnsi" w:cstheme="minorBidi"/>
          <w:b/>
          <w:bCs/>
          <w:i w:val="0"/>
          <w:iCs w:val="0"/>
          <w:color w:val="auto"/>
          <w:sz w:val="22"/>
          <w:szCs w:val="22"/>
        </w:rPr>
      </w:pPr>
      <w:bookmarkStart w:id="198" w:name="_Toc522869018"/>
      <w:r w:rsidRPr="004B694B">
        <w:rPr>
          <w:rFonts w:asciiTheme="minorHAnsi" w:eastAsiaTheme="minorEastAsia" w:hAnsiTheme="minorHAnsi" w:cstheme="minorBidi"/>
          <w:b/>
          <w:bCs/>
          <w:i w:val="0"/>
          <w:iCs w:val="0"/>
          <w:color w:val="auto"/>
          <w:sz w:val="22"/>
          <w:szCs w:val="22"/>
        </w:rPr>
        <w:lastRenderedPageBreak/>
        <w:t xml:space="preserve">Tabulka </w:t>
      </w:r>
      <w:r w:rsidR="00776DDB">
        <w:rPr>
          <w:rFonts w:asciiTheme="minorHAnsi" w:eastAsiaTheme="minorEastAsia" w:hAnsiTheme="minorHAnsi" w:cstheme="minorBidi"/>
          <w:b/>
          <w:bCs/>
          <w:i w:val="0"/>
          <w:iCs w:val="0"/>
          <w:color w:val="auto"/>
          <w:sz w:val="22"/>
          <w:szCs w:val="22"/>
        </w:rPr>
        <w:t>7.</w:t>
      </w:r>
      <w:r w:rsidR="00E34D45">
        <w:rPr>
          <w:rFonts w:asciiTheme="minorHAnsi" w:eastAsiaTheme="minorEastAsia" w:hAnsiTheme="minorHAnsi" w:cstheme="minorBidi"/>
          <w:b/>
          <w:bCs/>
          <w:i w:val="0"/>
          <w:iCs w:val="0"/>
          <w:color w:val="auto"/>
          <w:sz w:val="22"/>
          <w:szCs w:val="22"/>
        </w:rPr>
        <w:fldChar w:fldCharType="begin"/>
      </w:r>
      <w:r w:rsidR="00E34D45">
        <w:rPr>
          <w:rFonts w:asciiTheme="minorHAnsi" w:eastAsiaTheme="minorEastAsia" w:hAnsiTheme="minorHAnsi" w:cstheme="minorBidi"/>
          <w:b/>
          <w:bCs/>
          <w:i w:val="0"/>
          <w:iCs w:val="0"/>
          <w:color w:val="auto"/>
          <w:sz w:val="22"/>
          <w:szCs w:val="22"/>
        </w:rPr>
        <w:instrText xml:space="preserve"> STYLEREF 1 \s </w:instrText>
      </w:r>
      <w:r w:rsidR="00E34D45">
        <w:rPr>
          <w:rFonts w:asciiTheme="minorHAnsi" w:eastAsiaTheme="minorEastAsia" w:hAnsiTheme="minorHAnsi" w:cstheme="minorBidi"/>
          <w:b/>
          <w:bCs/>
          <w:i w:val="0"/>
          <w:iCs w:val="0"/>
          <w:color w:val="auto"/>
          <w:sz w:val="22"/>
          <w:szCs w:val="22"/>
        </w:rPr>
        <w:fldChar w:fldCharType="separate"/>
      </w:r>
      <w:r w:rsidR="00E34D45">
        <w:rPr>
          <w:rFonts w:asciiTheme="minorHAnsi" w:eastAsiaTheme="minorEastAsia" w:hAnsiTheme="minorHAnsi" w:cstheme="minorBidi"/>
          <w:b/>
          <w:bCs/>
          <w:i w:val="0"/>
          <w:iCs w:val="0"/>
          <w:noProof/>
          <w:color w:val="auto"/>
          <w:sz w:val="22"/>
          <w:szCs w:val="22"/>
        </w:rPr>
        <w:t>4</w:t>
      </w:r>
      <w:r w:rsidR="00E34D45">
        <w:rPr>
          <w:rFonts w:asciiTheme="minorHAnsi" w:eastAsiaTheme="minorEastAsia" w:hAnsiTheme="minorHAnsi" w:cstheme="minorBidi"/>
          <w:b/>
          <w:bCs/>
          <w:i w:val="0"/>
          <w:iCs w:val="0"/>
          <w:color w:val="auto"/>
          <w:sz w:val="22"/>
          <w:szCs w:val="22"/>
        </w:rPr>
        <w:fldChar w:fldCharType="end"/>
      </w:r>
      <w:r w:rsidR="00E34D45">
        <w:rPr>
          <w:rFonts w:asciiTheme="minorHAnsi" w:eastAsiaTheme="minorEastAsia" w:hAnsiTheme="minorHAnsi" w:cstheme="minorBidi"/>
          <w:b/>
          <w:bCs/>
          <w:i w:val="0"/>
          <w:iCs w:val="0"/>
          <w:color w:val="auto"/>
          <w:sz w:val="22"/>
          <w:szCs w:val="22"/>
        </w:rPr>
        <w:t>.</w:t>
      </w:r>
      <w:r w:rsidR="00E34D45">
        <w:rPr>
          <w:rFonts w:asciiTheme="minorHAnsi" w:eastAsiaTheme="minorEastAsia" w:hAnsiTheme="minorHAnsi" w:cstheme="minorBidi"/>
          <w:b/>
          <w:bCs/>
          <w:i w:val="0"/>
          <w:iCs w:val="0"/>
          <w:color w:val="auto"/>
          <w:sz w:val="22"/>
          <w:szCs w:val="22"/>
        </w:rPr>
        <w:fldChar w:fldCharType="begin"/>
      </w:r>
      <w:r w:rsidR="00E34D45">
        <w:rPr>
          <w:rFonts w:asciiTheme="minorHAnsi" w:eastAsiaTheme="minorEastAsia" w:hAnsiTheme="minorHAnsi" w:cstheme="minorBidi"/>
          <w:b/>
          <w:bCs/>
          <w:i w:val="0"/>
          <w:iCs w:val="0"/>
          <w:color w:val="auto"/>
          <w:sz w:val="22"/>
          <w:szCs w:val="22"/>
        </w:rPr>
        <w:instrText xml:space="preserve"> SEQ Tabulka \* ARABIC \s 1 </w:instrText>
      </w:r>
      <w:r w:rsidR="00E34D45">
        <w:rPr>
          <w:rFonts w:asciiTheme="minorHAnsi" w:eastAsiaTheme="minorEastAsia" w:hAnsiTheme="minorHAnsi" w:cstheme="minorBidi"/>
          <w:b/>
          <w:bCs/>
          <w:i w:val="0"/>
          <w:iCs w:val="0"/>
          <w:color w:val="auto"/>
          <w:sz w:val="22"/>
          <w:szCs w:val="22"/>
        </w:rPr>
        <w:fldChar w:fldCharType="separate"/>
      </w:r>
      <w:r w:rsidR="00E34D45">
        <w:rPr>
          <w:rFonts w:asciiTheme="minorHAnsi" w:eastAsiaTheme="minorEastAsia" w:hAnsiTheme="minorHAnsi" w:cstheme="minorBidi"/>
          <w:b/>
          <w:bCs/>
          <w:i w:val="0"/>
          <w:iCs w:val="0"/>
          <w:noProof/>
          <w:color w:val="auto"/>
          <w:sz w:val="22"/>
          <w:szCs w:val="22"/>
        </w:rPr>
        <w:t>6</w:t>
      </w:r>
      <w:r w:rsidR="00E34D45">
        <w:rPr>
          <w:rFonts w:asciiTheme="minorHAnsi" w:eastAsiaTheme="minorEastAsia" w:hAnsiTheme="minorHAnsi" w:cstheme="minorBidi"/>
          <w:b/>
          <w:bCs/>
          <w:i w:val="0"/>
          <w:iCs w:val="0"/>
          <w:color w:val="auto"/>
          <w:sz w:val="22"/>
          <w:szCs w:val="22"/>
        </w:rPr>
        <w:fldChar w:fldCharType="end"/>
      </w:r>
      <w:r w:rsidRPr="004B694B">
        <w:rPr>
          <w:rFonts w:asciiTheme="minorHAnsi" w:eastAsiaTheme="minorEastAsia" w:hAnsiTheme="minorHAnsi" w:cstheme="minorBidi"/>
          <w:b/>
          <w:bCs/>
          <w:i w:val="0"/>
          <w:iCs w:val="0"/>
          <w:color w:val="auto"/>
          <w:sz w:val="22"/>
          <w:szCs w:val="22"/>
        </w:rPr>
        <w:t>: Podíl osob v domácnostech, které si nemohou dovolit danou položku</w:t>
      </w:r>
      <w:bookmarkEnd w:id="198"/>
    </w:p>
    <w:tbl>
      <w:tblPr>
        <w:tblStyle w:val="Barevntabulkasmkou6zvraznn310"/>
        <w:tblW w:w="6418" w:type="dxa"/>
        <w:tblLook w:val="04A0" w:firstRow="1" w:lastRow="0" w:firstColumn="1" w:lastColumn="0" w:noHBand="0" w:noVBand="1"/>
      </w:tblPr>
      <w:tblGrid>
        <w:gridCol w:w="4106"/>
        <w:gridCol w:w="2312"/>
      </w:tblGrid>
      <w:tr w:rsidR="00143820" w:rsidRPr="00D150FC" w14:paraId="3FBD6304" w14:textId="77777777" w:rsidTr="00215834">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2BA27A1" w14:textId="77777777" w:rsidR="00143820" w:rsidRPr="00215834" w:rsidRDefault="00143820" w:rsidP="00215834">
            <w:pPr>
              <w:spacing w:line="240" w:lineRule="auto"/>
              <w:ind w:firstLine="22"/>
              <w:rPr>
                <w:rFonts w:ascii="Calibri" w:eastAsia="Calibri" w:hAnsi="Calibri" w:cs="Calibri"/>
                <w:b w:val="0"/>
                <w:color w:val="000000"/>
                <w:sz w:val="18"/>
                <w:szCs w:val="18"/>
              </w:rPr>
            </w:pPr>
            <w:r w:rsidRPr="00215834">
              <w:rPr>
                <w:rFonts w:ascii="Calibri" w:eastAsia="Calibri" w:hAnsi="Calibri" w:cs="Calibri"/>
                <w:color w:val="000000"/>
                <w:sz w:val="18"/>
                <w:szCs w:val="18"/>
              </w:rPr>
              <w:t>Neočekávaný výdaj ve výši 10 200 Kč</w:t>
            </w:r>
          </w:p>
        </w:tc>
        <w:tc>
          <w:tcPr>
            <w:tcW w:w="2312" w:type="dxa"/>
            <w:noWrap/>
            <w:hideMark/>
          </w:tcPr>
          <w:p w14:paraId="5A8F1FA2" w14:textId="77777777" w:rsidR="00143820" w:rsidRPr="00215834" w:rsidRDefault="00143820" w:rsidP="00215834">
            <w:pPr>
              <w:spacing w:line="240" w:lineRule="auto"/>
              <w:ind w:firstLine="22"/>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0000"/>
                <w:sz w:val="18"/>
                <w:szCs w:val="18"/>
              </w:rPr>
            </w:pPr>
            <w:r w:rsidRPr="00215834">
              <w:rPr>
                <w:rFonts w:ascii="Calibri" w:eastAsia="Calibri" w:hAnsi="Calibri" w:cs="Calibri"/>
                <w:color w:val="000000"/>
                <w:sz w:val="18"/>
                <w:szCs w:val="18"/>
              </w:rPr>
              <w:t>28,1 %</w:t>
            </w:r>
          </w:p>
        </w:tc>
      </w:tr>
      <w:tr w:rsidR="00143820" w:rsidRPr="00D150FC" w14:paraId="63F6A43B" w14:textId="77777777" w:rsidTr="0021583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F8C7023" w14:textId="77777777" w:rsidR="00143820" w:rsidRPr="00215834" w:rsidRDefault="00143820" w:rsidP="00215834">
            <w:pPr>
              <w:spacing w:line="240" w:lineRule="auto"/>
              <w:ind w:firstLine="22"/>
              <w:rPr>
                <w:rFonts w:ascii="Calibri" w:eastAsia="Calibri" w:hAnsi="Calibri" w:cs="Calibri"/>
                <w:b w:val="0"/>
                <w:color w:val="000000"/>
                <w:sz w:val="18"/>
                <w:szCs w:val="18"/>
              </w:rPr>
            </w:pPr>
            <w:r w:rsidRPr="00215834">
              <w:rPr>
                <w:rFonts w:ascii="Calibri" w:eastAsia="Calibri" w:hAnsi="Calibri" w:cs="Calibri"/>
                <w:color w:val="000000"/>
                <w:sz w:val="18"/>
                <w:szCs w:val="18"/>
              </w:rPr>
              <w:t>Týdenní dovolená</w:t>
            </w:r>
          </w:p>
        </w:tc>
        <w:tc>
          <w:tcPr>
            <w:tcW w:w="2312" w:type="dxa"/>
            <w:noWrap/>
            <w:hideMark/>
          </w:tcPr>
          <w:p w14:paraId="29B6C6D5" w14:textId="77777777" w:rsidR="00143820" w:rsidRPr="00215834" w:rsidRDefault="00143820" w:rsidP="00215834">
            <w:pPr>
              <w:spacing w:line="240" w:lineRule="auto"/>
              <w:ind w:firstLine="2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215834">
              <w:rPr>
                <w:rFonts w:ascii="Calibri" w:eastAsia="Calibri" w:hAnsi="Calibri" w:cs="Calibri"/>
                <w:color w:val="000000"/>
                <w:sz w:val="18"/>
                <w:szCs w:val="18"/>
              </w:rPr>
              <w:t>25,0 %</w:t>
            </w:r>
          </w:p>
        </w:tc>
      </w:tr>
      <w:tr w:rsidR="00143820" w:rsidRPr="00D150FC" w14:paraId="498BD324" w14:textId="77777777" w:rsidTr="00215834">
        <w:trPr>
          <w:trHeight w:val="198"/>
        </w:trPr>
        <w:tc>
          <w:tcPr>
            <w:cnfStyle w:val="001000000000" w:firstRow="0" w:lastRow="0" w:firstColumn="1" w:lastColumn="0" w:oddVBand="0" w:evenVBand="0" w:oddHBand="0" w:evenHBand="0" w:firstRowFirstColumn="0" w:firstRowLastColumn="0" w:lastRowFirstColumn="0" w:lastRowLastColumn="0"/>
            <w:tcW w:w="4106" w:type="dxa"/>
            <w:noWrap/>
            <w:hideMark/>
          </w:tcPr>
          <w:p w14:paraId="080756E2" w14:textId="77777777" w:rsidR="00143820" w:rsidRPr="00215834" w:rsidRDefault="00143820" w:rsidP="00215834">
            <w:pPr>
              <w:spacing w:line="240" w:lineRule="auto"/>
              <w:ind w:firstLine="22"/>
              <w:rPr>
                <w:rFonts w:ascii="Calibri" w:eastAsia="Calibri" w:hAnsi="Calibri" w:cs="Calibri"/>
                <w:b w:val="0"/>
                <w:color w:val="000000"/>
                <w:sz w:val="18"/>
                <w:szCs w:val="18"/>
              </w:rPr>
            </w:pPr>
            <w:r w:rsidRPr="00215834">
              <w:rPr>
                <w:rFonts w:ascii="Calibri" w:eastAsia="Calibri" w:hAnsi="Calibri" w:cs="Calibri"/>
                <w:color w:val="000000"/>
                <w:sz w:val="18"/>
                <w:szCs w:val="18"/>
              </w:rPr>
              <w:t>Automobil</w:t>
            </w:r>
          </w:p>
        </w:tc>
        <w:tc>
          <w:tcPr>
            <w:tcW w:w="2312" w:type="dxa"/>
            <w:noWrap/>
            <w:hideMark/>
          </w:tcPr>
          <w:p w14:paraId="1C9CE1B6" w14:textId="77777777" w:rsidR="00143820" w:rsidRPr="00215834" w:rsidRDefault="00143820" w:rsidP="00215834">
            <w:pPr>
              <w:spacing w:line="240" w:lineRule="auto"/>
              <w:ind w:firstLine="2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215834">
              <w:rPr>
                <w:rFonts w:ascii="Calibri" w:eastAsia="Calibri" w:hAnsi="Calibri" w:cs="Calibri"/>
                <w:color w:val="000000"/>
                <w:sz w:val="18"/>
                <w:szCs w:val="18"/>
              </w:rPr>
              <w:t>7,4 %</w:t>
            </w:r>
          </w:p>
        </w:tc>
      </w:tr>
      <w:tr w:rsidR="00143820" w:rsidRPr="00D150FC" w14:paraId="7469E9D2" w14:textId="77777777" w:rsidTr="0021583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42FE59F" w14:textId="77777777" w:rsidR="00143820" w:rsidRPr="00215834" w:rsidRDefault="00143820" w:rsidP="00215834">
            <w:pPr>
              <w:spacing w:line="240" w:lineRule="auto"/>
              <w:ind w:firstLine="22"/>
              <w:rPr>
                <w:rFonts w:ascii="Calibri" w:eastAsia="Calibri" w:hAnsi="Calibri" w:cs="Calibri"/>
                <w:b w:val="0"/>
                <w:color w:val="000000"/>
                <w:sz w:val="18"/>
                <w:szCs w:val="18"/>
              </w:rPr>
            </w:pPr>
            <w:r w:rsidRPr="00215834">
              <w:rPr>
                <w:rFonts w:ascii="Calibri" w:eastAsia="Calibri" w:hAnsi="Calibri" w:cs="Calibri"/>
                <w:color w:val="000000"/>
                <w:sz w:val="18"/>
                <w:szCs w:val="18"/>
              </w:rPr>
              <w:t>Jíst maso obden</w:t>
            </w:r>
          </w:p>
        </w:tc>
        <w:tc>
          <w:tcPr>
            <w:tcW w:w="2312" w:type="dxa"/>
            <w:noWrap/>
            <w:hideMark/>
          </w:tcPr>
          <w:p w14:paraId="0C88BA90" w14:textId="77777777" w:rsidR="00143820" w:rsidRPr="00215834" w:rsidRDefault="00143820" w:rsidP="00215834">
            <w:pPr>
              <w:spacing w:line="240" w:lineRule="auto"/>
              <w:ind w:firstLine="2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215834">
              <w:rPr>
                <w:rFonts w:ascii="Calibri" w:eastAsia="Calibri" w:hAnsi="Calibri" w:cs="Calibri"/>
                <w:color w:val="000000"/>
                <w:sz w:val="18"/>
                <w:szCs w:val="18"/>
              </w:rPr>
              <w:t>7,1 %</w:t>
            </w:r>
          </w:p>
        </w:tc>
      </w:tr>
      <w:tr w:rsidR="00143820" w:rsidRPr="00D150FC" w14:paraId="09AD57F1" w14:textId="77777777" w:rsidTr="00215834">
        <w:trPr>
          <w:trHeight w:val="198"/>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E3C1062" w14:textId="77777777" w:rsidR="00143820" w:rsidRPr="00215834" w:rsidRDefault="00143820" w:rsidP="00215834">
            <w:pPr>
              <w:spacing w:line="240" w:lineRule="auto"/>
              <w:ind w:firstLine="22"/>
              <w:rPr>
                <w:rFonts w:ascii="Calibri" w:eastAsia="Calibri" w:hAnsi="Calibri" w:cs="Calibri"/>
                <w:b w:val="0"/>
                <w:color w:val="000000"/>
                <w:sz w:val="18"/>
                <w:szCs w:val="18"/>
              </w:rPr>
            </w:pPr>
            <w:r w:rsidRPr="00215834">
              <w:rPr>
                <w:rFonts w:ascii="Calibri" w:eastAsia="Calibri" w:hAnsi="Calibri" w:cs="Calibri"/>
                <w:color w:val="000000"/>
                <w:sz w:val="18"/>
                <w:szCs w:val="18"/>
              </w:rPr>
              <w:t>Platit včas různé pravidelné platby a splátky</w:t>
            </w:r>
          </w:p>
        </w:tc>
        <w:tc>
          <w:tcPr>
            <w:tcW w:w="2312" w:type="dxa"/>
            <w:noWrap/>
            <w:hideMark/>
          </w:tcPr>
          <w:p w14:paraId="014D3315" w14:textId="77777777" w:rsidR="00143820" w:rsidRPr="00215834" w:rsidRDefault="00143820" w:rsidP="00215834">
            <w:pPr>
              <w:spacing w:line="240" w:lineRule="auto"/>
              <w:ind w:firstLine="2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215834">
              <w:rPr>
                <w:rFonts w:ascii="Calibri" w:eastAsia="Calibri" w:hAnsi="Calibri" w:cs="Calibri"/>
                <w:color w:val="000000"/>
                <w:sz w:val="18"/>
                <w:szCs w:val="18"/>
              </w:rPr>
              <w:t>3,2 %</w:t>
            </w:r>
          </w:p>
        </w:tc>
      </w:tr>
      <w:tr w:rsidR="00143820" w:rsidRPr="00D150FC" w14:paraId="0E214A24" w14:textId="77777777" w:rsidTr="0021583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A136B94" w14:textId="77777777" w:rsidR="00143820" w:rsidRPr="00215834" w:rsidRDefault="00143820" w:rsidP="00215834">
            <w:pPr>
              <w:spacing w:line="240" w:lineRule="auto"/>
              <w:ind w:firstLine="22"/>
              <w:rPr>
                <w:rFonts w:ascii="Calibri" w:eastAsia="Calibri" w:hAnsi="Calibri" w:cs="Calibri"/>
                <w:b w:val="0"/>
                <w:color w:val="000000"/>
                <w:sz w:val="18"/>
                <w:szCs w:val="18"/>
              </w:rPr>
            </w:pPr>
            <w:r w:rsidRPr="00215834">
              <w:rPr>
                <w:rFonts w:ascii="Calibri" w:eastAsia="Calibri" w:hAnsi="Calibri" w:cs="Calibri"/>
                <w:color w:val="000000"/>
                <w:sz w:val="18"/>
                <w:szCs w:val="18"/>
              </w:rPr>
              <w:t>Dostatečně vytápěný byt</w:t>
            </w:r>
          </w:p>
        </w:tc>
        <w:tc>
          <w:tcPr>
            <w:tcW w:w="2312" w:type="dxa"/>
            <w:noWrap/>
            <w:hideMark/>
          </w:tcPr>
          <w:p w14:paraId="3612E67E" w14:textId="77777777" w:rsidR="00143820" w:rsidRPr="00215834" w:rsidRDefault="00143820" w:rsidP="00215834">
            <w:pPr>
              <w:spacing w:line="240" w:lineRule="auto"/>
              <w:ind w:firstLine="2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215834">
              <w:rPr>
                <w:rFonts w:ascii="Calibri" w:eastAsia="Calibri" w:hAnsi="Calibri" w:cs="Calibri"/>
                <w:color w:val="000000"/>
                <w:sz w:val="18"/>
                <w:szCs w:val="18"/>
              </w:rPr>
              <w:t>3,1 %</w:t>
            </w:r>
          </w:p>
        </w:tc>
      </w:tr>
      <w:tr w:rsidR="00143820" w:rsidRPr="00D150FC" w14:paraId="3DD38516" w14:textId="77777777" w:rsidTr="00215834">
        <w:trPr>
          <w:trHeight w:val="198"/>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E25FCCE" w14:textId="77777777" w:rsidR="00143820" w:rsidRPr="00215834" w:rsidRDefault="00143820" w:rsidP="00215834">
            <w:pPr>
              <w:spacing w:line="240" w:lineRule="auto"/>
              <w:ind w:firstLine="22"/>
              <w:rPr>
                <w:rFonts w:ascii="Calibri" w:eastAsia="Calibri" w:hAnsi="Calibri" w:cs="Calibri"/>
                <w:b w:val="0"/>
                <w:color w:val="000000"/>
                <w:sz w:val="18"/>
                <w:szCs w:val="18"/>
              </w:rPr>
            </w:pPr>
            <w:r w:rsidRPr="00215834">
              <w:rPr>
                <w:rFonts w:ascii="Calibri" w:eastAsia="Calibri" w:hAnsi="Calibri" w:cs="Calibri"/>
                <w:color w:val="000000"/>
                <w:sz w:val="18"/>
                <w:szCs w:val="18"/>
              </w:rPr>
              <w:t xml:space="preserve">Pračka </w:t>
            </w:r>
          </w:p>
        </w:tc>
        <w:tc>
          <w:tcPr>
            <w:tcW w:w="2312" w:type="dxa"/>
            <w:noWrap/>
            <w:hideMark/>
          </w:tcPr>
          <w:p w14:paraId="02602762" w14:textId="77777777" w:rsidR="00143820" w:rsidRPr="00215834" w:rsidRDefault="00143820" w:rsidP="00215834">
            <w:pPr>
              <w:spacing w:line="240" w:lineRule="auto"/>
              <w:ind w:firstLine="2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215834">
              <w:rPr>
                <w:rFonts w:ascii="Calibri" w:eastAsia="Calibri" w:hAnsi="Calibri" w:cs="Calibri"/>
                <w:color w:val="000000"/>
                <w:sz w:val="18"/>
                <w:szCs w:val="18"/>
              </w:rPr>
              <w:t>0,2 %</w:t>
            </w:r>
          </w:p>
        </w:tc>
      </w:tr>
      <w:tr w:rsidR="00143820" w:rsidRPr="00D150FC" w14:paraId="547781F4" w14:textId="77777777" w:rsidTr="00215834">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106" w:type="dxa"/>
            <w:noWrap/>
            <w:hideMark/>
          </w:tcPr>
          <w:p w14:paraId="76A57675" w14:textId="77777777" w:rsidR="00143820" w:rsidRPr="00215834" w:rsidRDefault="00143820" w:rsidP="00215834">
            <w:pPr>
              <w:spacing w:line="240" w:lineRule="auto"/>
              <w:ind w:firstLine="22"/>
              <w:rPr>
                <w:rFonts w:ascii="Calibri" w:eastAsia="Calibri" w:hAnsi="Calibri" w:cs="Calibri"/>
                <w:b w:val="0"/>
                <w:color w:val="000000"/>
                <w:sz w:val="18"/>
                <w:szCs w:val="18"/>
              </w:rPr>
            </w:pPr>
            <w:r w:rsidRPr="00215834">
              <w:rPr>
                <w:rFonts w:ascii="Calibri" w:eastAsia="Calibri" w:hAnsi="Calibri" w:cs="Calibri"/>
                <w:color w:val="000000"/>
                <w:sz w:val="18"/>
                <w:szCs w:val="18"/>
              </w:rPr>
              <w:t>Barevný televizor</w:t>
            </w:r>
          </w:p>
        </w:tc>
        <w:tc>
          <w:tcPr>
            <w:tcW w:w="2312" w:type="dxa"/>
            <w:noWrap/>
            <w:hideMark/>
          </w:tcPr>
          <w:p w14:paraId="44BE52B3" w14:textId="77777777" w:rsidR="00143820" w:rsidRPr="00215834" w:rsidRDefault="00143820" w:rsidP="00215834">
            <w:pPr>
              <w:spacing w:line="240" w:lineRule="auto"/>
              <w:ind w:firstLine="2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215834">
              <w:rPr>
                <w:rFonts w:ascii="Calibri" w:eastAsia="Calibri" w:hAnsi="Calibri" w:cs="Calibri"/>
                <w:color w:val="000000"/>
                <w:sz w:val="18"/>
                <w:szCs w:val="18"/>
              </w:rPr>
              <w:t>0,1 %</w:t>
            </w:r>
          </w:p>
        </w:tc>
      </w:tr>
      <w:tr w:rsidR="00143820" w:rsidRPr="00D150FC" w14:paraId="1A785BF3" w14:textId="77777777" w:rsidTr="00215834">
        <w:trPr>
          <w:trHeight w:val="7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07C1612F" w14:textId="77777777" w:rsidR="00143820" w:rsidRPr="00215834" w:rsidRDefault="00143820" w:rsidP="00215834">
            <w:pPr>
              <w:spacing w:line="240" w:lineRule="auto"/>
              <w:ind w:firstLine="22"/>
              <w:rPr>
                <w:rFonts w:ascii="Calibri" w:eastAsia="Calibri" w:hAnsi="Calibri" w:cs="Calibri"/>
                <w:b w:val="0"/>
                <w:color w:val="000000"/>
                <w:sz w:val="18"/>
                <w:szCs w:val="18"/>
              </w:rPr>
            </w:pPr>
            <w:r w:rsidRPr="00215834">
              <w:rPr>
                <w:rFonts w:ascii="Calibri" w:eastAsia="Calibri" w:hAnsi="Calibri" w:cs="Calibri"/>
                <w:color w:val="000000"/>
                <w:sz w:val="18"/>
                <w:szCs w:val="18"/>
              </w:rPr>
              <w:t>Telefon</w:t>
            </w:r>
          </w:p>
        </w:tc>
        <w:tc>
          <w:tcPr>
            <w:tcW w:w="2312" w:type="dxa"/>
            <w:noWrap/>
            <w:hideMark/>
          </w:tcPr>
          <w:p w14:paraId="20B9FF00" w14:textId="77777777" w:rsidR="00143820" w:rsidRPr="00215834" w:rsidRDefault="00143820" w:rsidP="00215834">
            <w:pPr>
              <w:spacing w:line="240" w:lineRule="auto"/>
              <w:ind w:firstLine="2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215834">
              <w:rPr>
                <w:rFonts w:ascii="Calibri" w:eastAsia="Calibri" w:hAnsi="Calibri" w:cs="Calibri"/>
                <w:color w:val="000000"/>
                <w:sz w:val="18"/>
                <w:szCs w:val="18"/>
              </w:rPr>
              <w:t>0,1 %</w:t>
            </w:r>
          </w:p>
        </w:tc>
      </w:tr>
    </w:tbl>
    <w:p w14:paraId="166C2E8E" w14:textId="77777777" w:rsidR="00143820" w:rsidRPr="004B694B" w:rsidRDefault="00143820"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Převzato: ČSÚ</w:t>
      </w:r>
    </w:p>
    <w:p w14:paraId="4F42B6AE" w14:textId="77777777" w:rsidR="002507F9" w:rsidRDefault="002507F9">
      <w:pPr>
        <w:ind w:firstLine="0"/>
        <w:rPr>
          <w:rFonts w:asciiTheme="majorHAnsi" w:eastAsiaTheme="majorEastAsia" w:hAnsiTheme="majorHAnsi" w:cstheme="majorBidi"/>
          <w:b/>
          <w:bCs/>
        </w:rPr>
      </w:pPr>
    </w:p>
    <w:p w14:paraId="4D671AC9" w14:textId="77777777" w:rsidR="00143820" w:rsidRPr="004B694B" w:rsidRDefault="00143820">
      <w:pPr>
        <w:ind w:firstLine="0"/>
        <w:rPr>
          <w:rFonts w:asciiTheme="majorHAnsi" w:eastAsiaTheme="majorEastAsia" w:hAnsiTheme="majorHAnsi" w:cstheme="majorBidi"/>
          <w:b/>
          <w:bCs/>
          <w:i/>
          <w:iCs/>
        </w:rPr>
      </w:pPr>
      <w:r w:rsidRPr="004B694B">
        <w:rPr>
          <w:rFonts w:asciiTheme="majorHAnsi" w:eastAsiaTheme="majorEastAsia" w:hAnsiTheme="majorHAnsi" w:cstheme="majorBidi"/>
          <w:b/>
          <w:bCs/>
        </w:rPr>
        <w:t>Ukazatel pracovní intenzity domácností (</w:t>
      </w:r>
      <w:proofErr w:type="spellStart"/>
      <w:r w:rsidRPr="004B694B">
        <w:rPr>
          <w:rFonts w:asciiTheme="majorHAnsi" w:eastAsiaTheme="majorEastAsia" w:hAnsiTheme="majorHAnsi" w:cstheme="majorBidi"/>
          <w:b/>
          <w:bCs/>
          <w:i/>
          <w:iCs/>
        </w:rPr>
        <w:t>living</w:t>
      </w:r>
      <w:proofErr w:type="spellEnd"/>
      <w:r w:rsidRPr="004B694B">
        <w:rPr>
          <w:rFonts w:asciiTheme="majorHAnsi" w:eastAsiaTheme="majorEastAsia" w:hAnsiTheme="majorHAnsi" w:cstheme="majorBidi"/>
          <w:b/>
          <w:bCs/>
          <w:i/>
          <w:iCs/>
        </w:rPr>
        <w:t xml:space="preserve"> in </w:t>
      </w:r>
      <w:proofErr w:type="spellStart"/>
      <w:r w:rsidRPr="004B694B">
        <w:rPr>
          <w:rFonts w:asciiTheme="majorHAnsi" w:eastAsiaTheme="majorEastAsia" w:hAnsiTheme="majorHAnsi" w:cstheme="majorBidi"/>
          <w:b/>
          <w:bCs/>
          <w:i/>
          <w:iCs/>
        </w:rPr>
        <w:t>households</w:t>
      </w:r>
      <w:proofErr w:type="spellEnd"/>
      <w:r w:rsidRPr="004B694B">
        <w:rPr>
          <w:rFonts w:asciiTheme="majorHAnsi" w:eastAsiaTheme="majorEastAsia" w:hAnsiTheme="majorHAnsi" w:cstheme="majorBidi"/>
          <w:b/>
          <w:bCs/>
          <w:i/>
          <w:iCs/>
        </w:rPr>
        <w:t xml:space="preserve"> </w:t>
      </w:r>
      <w:proofErr w:type="spellStart"/>
      <w:r w:rsidRPr="004B694B">
        <w:rPr>
          <w:rFonts w:asciiTheme="majorHAnsi" w:eastAsiaTheme="majorEastAsia" w:hAnsiTheme="majorHAnsi" w:cstheme="majorBidi"/>
          <w:b/>
          <w:bCs/>
          <w:i/>
          <w:iCs/>
        </w:rPr>
        <w:t>with</w:t>
      </w:r>
      <w:proofErr w:type="spellEnd"/>
      <w:r w:rsidRPr="004B694B">
        <w:rPr>
          <w:rFonts w:asciiTheme="majorHAnsi" w:eastAsiaTheme="majorEastAsia" w:hAnsiTheme="majorHAnsi" w:cstheme="majorBidi"/>
          <w:b/>
          <w:bCs/>
          <w:i/>
          <w:iCs/>
        </w:rPr>
        <w:t xml:space="preserve"> very </w:t>
      </w:r>
      <w:proofErr w:type="spellStart"/>
      <w:r w:rsidRPr="004B694B">
        <w:rPr>
          <w:rFonts w:asciiTheme="majorHAnsi" w:eastAsiaTheme="majorEastAsia" w:hAnsiTheme="majorHAnsi" w:cstheme="majorBidi"/>
          <w:b/>
          <w:bCs/>
          <w:i/>
          <w:iCs/>
        </w:rPr>
        <w:t>low</w:t>
      </w:r>
      <w:proofErr w:type="spellEnd"/>
      <w:r w:rsidRPr="004B694B">
        <w:rPr>
          <w:rFonts w:asciiTheme="majorHAnsi" w:eastAsiaTheme="majorEastAsia" w:hAnsiTheme="majorHAnsi" w:cstheme="majorBidi"/>
          <w:b/>
          <w:bCs/>
          <w:i/>
          <w:iCs/>
        </w:rPr>
        <w:t xml:space="preserve"> </w:t>
      </w:r>
      <w:proofErr w:type="spellStart"/>
      <w:r w:rsidRPr="004B694B">
        <w:rPr>
          <w:rFonts w:asciiTheme="majorHAnsi" w:eastAsiaTheme="majorEastAsia" w:hAnsiTheme="majorHAnsi" w:cstheme="majorBidi"/>
          <w:b/>
          <w:bCs/>
          <w:i/>
          <w:iCs/>
        </w:rPr>
        <w:t>work</w:t>
      </w:r>
      <w:proofErr w:type="spellEnd"/>
      <w:r w:rsidRPr="004B694B">
        <w:rPr>
          <w:rFonts w:asciiTheme="majorHAnsi" w:eastAsiaTheme="majorEastAsia" w:hAnsiTheme="majorHAnsi" w:cstheme="majorBidi"/>
          <w:b/>
          <w:bCs/>
          <w:i/>
          <w:iCs/>
        </w:rPr>
        <w:t xml:space="preserve"> </w:t>
      </w:r>
      <w:proofErr w:type="spellStart"/>
      <w:r w:rsidRPr="004B694B">
        <w:rPr>
          <w:rFonts w:asciiTheme="majorHAnsi" w:eastAsiaTheme="majorEastAsia" w:hAnsiTheme="majorHAnsi" w:cstheme="majorBidi"/>
          <w:b/>
          <w:bCs/>
          <w:i/>
          <w:iCs/>
        </w:rPr>
        <w:t>intesity</w:t>
      </w:r>
      <w:proofErr w:type="spellEnd"/>
      <w:r w:rsidRPr="004B694B">
        <w:rPr>
          <w:rFonts w:asciiTheme="majorHAnsi" w:eastAsiaTheme="majorEastAsia" w:hAnsiTheme="majorHAnsi" w:cstheme="majorBidi"/>
          <w:b/>
          <w:bCs/>
          <w:i/>
          <w:iCs/>
        </w:rPr>
        <w:t xml:space="preserve">) </w:t>
      </w:r>
    </w:p>
    <w:p w14:paraId="077B683D" w14:textId="77777777" w:rsidR="002507F9" w:rsidRDefault="00143820" w:rsidP="00215834">
      <w:pPr>
        <w:spacing w:after="240"/>
      </w:pPr>
      <w:r>
        <w:t>Míra nízké pracovní intenzity</w:t>
      </w:r>
      <w:r>
        <w:rPr>
          <w:rStyle w:val="Znakapoznpodarou"/>
        </w:rPr>
        <w:footnoteReference w:id="12"/>
      </w:r>
      <w:r>
        <w:t xml:space="preserve"> se dlouhodobě pohybuje v rozmezí 6</w:t>
      </w:r>
      <w:r w:rsidR="00D81F94" w:rsidRPr="68ED4599">
        <w:t>-</w:t>
      </w:r>
      <w:r>
        <w:t xml:space="preserve">8 %. Ukazatel meziročně poklesl o </w:t>
      </w:r>
      <w:r w:rsidR="005517C9">
        <w:t>1,2procentního</w:t>
      </w:r>
      <w:r>
        <w:t xml:space="preserve"> bodu na 5,5 % v roce 2017, čímž se dostal na své minimum. </w:t>
      </w:r>
    </w:p>
    <w:p w14:paraId="245AB01F" w14:textId="77777777" w:rsidR="002507F9" w:rsidRDefault="002507F9" w:rsidP="002507F9"/>
    <w:p w14:paraId="4623656F" w14:textId="77777777" w:rsidR="00240E36" w:rsidRPr="00240E36" w:rsidRDefault="00240E36" w:rsidP="002507F9">
      <w:pPr>
        <w:pStyle w:val="Titulek"/>
        <w:keepNext/>
        <w:spacing w:after="0"/>
        <w:ind w:firstLine="0"/>
        <w:rPr>
          <w:rFonts w:asciiTheme="majorHAnsi" w:hAnsiTheme="majorHAnsi" w:cstheme="majorHAnsi"/>
          <w:b/>
          <w:i w:val="0"/>
          <w:color w:val="000000" w:themeColor="text1"/>
          <w:sz w:val="22"/>
          <w:szCs w:val="22"/>
        </w:rPr>
      </w:pPr>
      <w:bookmarkStart w:id="199" w:name="_Toc525727665"/>
      <w:bookmarkStart w:id="200" w:name="_Toc525735952"/>
      <w:bookmarkStart w:id="201" w:name="_Toc525738249"/>
      <w:r w:rsidRPr="00240E36">
        <w:rPr>
          <w:rFonts w:asciiTheme="majorHAnsi" w:hAnsiTheme="majorHAnsi" w:cstheme="majorHAnsi"/>
          <w:b/>
          <w:i w:val="0"/>
          <w:color w:val="000000" w:themeColor="text1"/>
          <w:sz w:val="22"/>
          <w:szCs w:val="22"/>
        </w:rPr>
        <w:t xml:space="preserve">Obrázek </w:t>
      </w:r>
      <w:r w:rsidR="002507F9">
        <w:rPr>
          <w:rFonts w:asciiTheme="majorHAnsi" w:hAnsiTheme="majorHAnsi" w:cstheme="majorHAnsi"/>
          <w:b/>
          <w:i w:val="0"/>
          <w:color w:val="000000" w:themeColor="text1"/>
          <w:sz w:val="22"/>
          <w:szCs w:val="22"/>
        </w:rPr>
        <w:t>7.</w:t>
      </w:r>
      <w:r>
        <w:rPr>
          <w:rFonts w:asciiTheme="majorHAnsi" w:hAnsiTheme="majorHAnsi" w:cstheme="majorHAnsi"/>
          <w:b/>
          <w:i w:val="0"/>
          <w:color w:val="000000" w:themeColor="text1"/>
          <w:sz w:val="22"/>
          <w:szCs w:val="22"/>
        </w:rPr>
        <w:fldChar w:fldCharType="begin"/>
      </w:r>
      <w:r>
        <w:rPr>
          <w:rFonts w:asciiTheme="majorHAnsi" w:hAnsiTheme="majorHAnsi" w:cstheme="majorHAnsi"/>
          <w:b/>
          <w:i w:val="0"/>
          <w:color w:val="000000" w:themeColor="text1"/>
          <w:sz w:val="22"/>
          <w:szCs w:val="22"/>
        </w:rPr>
        <w:instrText xml:space="preserve"> STYLEREF 1 \s </w:instrText>
      </w:r>
      <w:r>
        <w:rPr>
          <w:rFonts w:asciiTheme="majorHAnsi" w:hAnsiTheme="majorHAnsi" w:cstheme="majorHAnsi"/>
          <w:b/>
          <w:i w:val="0"/>
          <w:color w:val="000000" w:themeColor="text1"/>
          <w:sz w:val="22"/>
          <w:szCs w:val="22"/>
        </w:rPr>
        <w:fldChar w:fldCharType="separate"/>
      </w:r>
      <w:r>
        <w:rPr>
          <w:rFonts w:asciiTheme="majorHAnsi" w:hAnsiTheme="majorHAnsi" w:cstheme="majorHAnsi"/>
          <w:b/>
          <w:i w:val="0"/>
          <w:noProof/>
          <w:color w:val="000000" w:themeColor="text1"/>
          <w:sz w:val="22"/>
          <w:szCs w:val="22"/>
        </w:rPr>
        <w:t>4</w:t>
      </w:r>
      <w:r>
        <w:rPr>
          <w:rFonts w:asciiTheme="majorHAnsi" w:hAnsiTheme="majorHAnsi" w:cstheme="majorHAnsi"/>
          <w:b/>
          <w:i w:val="0"/>
          <w:color w:val="000000" w:themeColor="text1"/>
          <w:sz w:val="22"/>
          <w:szCs w:val="22"/>
        </w:rPr>
        <w:fldChar w:fldCharType="end"/>
      </w:r>
      <w:r>
        <w:rPr>
          <w:rFonts w:asciiTheme="majorHAnsi" w:hAnsiTheme="majorHAnsi" w:cstheme="majorHAnsi"/>
          <w:b/>
          <w:i w:val="0"/>
          <w:color w:val="000000" w:themeColor="text1"/>
          <w:sz w:val="22"/>
          <w:szCs w:val="22"/>
        </w:rPr>
        <w:t>.</w:t>
      </w:r>
      <w:r w:rsidR="00EB5B81">
        <w:rPr>
          <w:rFonts w:asciiTheme="majorHAnsi" w:hAnsiTheme="majorHAnsi" w:cstheme="majorHAnsi"/>
          <w:b/>
          <w:i w:val="0"/>
          <w:color w:val="000000" w:themeColor="text1"/>
          <w:sz w:val="22"/>
          <w:szCs w:val="22"/>
        </w:rPr>
        <w:fldChar w:fldCharType="begin"/>
      </w:r>
      <w:r w:rsidR="00EB5B81">
        <w:rPr>
          <w:rFonts w:asciiTheme="majorHAnsi" w:hAnsiTheme="majorHAnsi" w:cstheme="majorHAnsi"/>
          <w:b/>
          <w:i w:val="0"/>
          <w:color w:val="000000" w:themeColor="text1"/>
          <w:sz w:val="22"/>
          <w:szCs w:val="22"/>
        </w:rPr>
        <w:instrText xml:space="preserve"> SEQ Obrázek \* ARABIC \s 1 </w:instrText>
      </w:r>
      <w:r w:rsidR="00EB5B81">
        <w:rPr>
          <w:rFonts w:asciiTheme="majorHAnsi" w:hAnsiTheme="majorHAnsi" w:cstheme="majorHAnsi"/>
          <w:b/>
          <w:i w:val="0"/>
          <w:color w:val="000000" w:themeColor="text1"/>
          <w:sz w:val="22"/>
          <w:szCs w:val="22"/>
        </w:rPr>
        <w:fldChar w:fldCharType="separate"/>
      </w:r>
      <w:r w:rsidR="00EB5B81">
        <w:rPr>
          <w:rFonts w:asciiTheme="majorHAnsi" w:hAnsiTheme="majorHAnsi" w:cstheme="majorHAnsi"/>
          <w:b/>
          <w:i w:val="0"/>
          <w:noProof/>
          <w:color w:val="000000" w:themeColor="text1"/>
          <w:sz w:val="22"/>
          <w:szCs w:val="22"/>
        </w:rPr>
        <w:t>2</w:t>
      </w:r>
      <w:r w:rsidR="00EB5B81">
        <w:rPr>
          <w:rFonts w:asciiTheme="majorHAnsi" w:hAnsiTheme="majorHAnsi" w:cstheme="majorHAnsi"/>
          <w:b/>
          <w:i w:val="0"/>
          <w:color w:val="000000" w:themeColor="text1"/>
          <w:sz w:val="22"/>
          <w:szCs w:val="22"/>
        </w:rPr>
        <w:fldChar w:fldCharType="end"/>
      </w:r>
      <w:r w:rsidR="002507F9">
        <w:rPr>
          <w:rFonts w:asciiTheme="majorHAnsi" w:hAnsiTheme="majorHAnsi" w:cstheme="majorHAnsi"/>
          <w:b/>
          <w:i w:val="0"/>
          <w:color w:val="000000" w:themeColor="text1"/>
          <w:sz w:val="22"/>
          <w:szCs w:val="22"/>
        </w:rPr>
        <w:t>2</w:t>
      </w:r>
      <w:r w:rsidRPr="00240E36">
        <w:rPr>
          <w:rFonts w:asciiTheme="majorHAnsi" w:hAnsiTheme="majorHAnsi" w:cstheme="majorHAnsi"/>
          <w:b/>
          <w:i w:val="0"/>
          <w:color w:val="000000" w:themeColor="text1"/>
          <w:sz w:val="22"/>
          <w:szCs w:val="22"/>
        </w:rPr>
        <w:t>:</w:t>
      </w:r>
      <w:r w:rsidRPr="00240E36">
        <w:rPr>
          <w:rFonts w:asciiTheme="majorHAnsi" w:eastAsiaTheme="minorEastAsia" w:hAnsiTheme="majorHAnsi" w:cstheme="majorHAnsi"/>
          <w:b/>
          <w:bCs/>
          <w:i w:val="0"/>
          <w:color w:val="000000" w:themeColor="text1"/>
          <w:sz w:val="22"/>
          <w:szCs w:val="22"/>
        </w:rPr>
        <w:t xml:space="preserve"> Vývoj celkové míry nízké pracovní intenzity v ČR v letech 2005–2017</w:t>
      </w:r>
      <w:bookmarkEnd w:id="199"/>
      <w:bookmarkEnd w:id="200"/>
      <w:bookmarkEnd w:id="201"/>
    </w:p>
    <w:p w14:paraId="56F73ACD" w14:textId="77777777" w:rsidR="00143820" w:rsidRDefault="00143820" w:rsidP="00C12BBB">
      <w:pPr>
        <w:ind w:firstLine="0"/>
      </w:pPr>
      <w:r>
        <w:rPr>
          <w:noProof/>
        </w:rPr>
        <w:drawing>
          <wp:inline distT="0" distB="0" distL="0" distR="0" wp14:anchorId="3E47B722" wp14:editId="604966D2">
            <wp:extent cx="5760720" cy="2057400"/>
            <wp:effectExtent l="0" t="0" r="11430" b="0"/>
            <wp:docPr id="62" name="Graf 62">
              <a:extLst xmlns:a="http://schemas.openxmlformats.org/drawingml/2006/main">
                <a:ext uri="{FF2B5EF4-FFF2-40B4-BE49-F238E27FC236}">
                  <a16:creationId xmlns:a16="http://schemas.microsoft.com/office/drawing/2014/main" id="{10BA5660-23E6-40AB-925F-AE616F31C3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5979E64" w14:textId="77777777" w:rsidR="00143820" w:rsidRPr="004B694B" w:rsidRDefault="00143820"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 ČSÚ, Eurostat</w:t>
      </w:r>
    </w:p>
    <w:p w14:paraId="04A44CF4" w14:textId="77777777" w:rsidR="00143820" w:rsidRDefault="00143820" w:rsidP="00143820"/>
    <w:p w14:paraId="2E28F253" w14:textId="77777777" w:rsidR="00240E36" w:rsidRPr="00240E36" w:rsidRDefault="00240E36" w:rsidP="002507F9">
      <w:pPr>
        <w:pStyle w:val="Titulek"/>
        <w:keepNext/>
        <w:spacing w:after="0"/>
        <w:ind w:firstLine="0"/>
        <w:rPr>
          <w:rFonts w:asciiTheme="majorHAnsi" w:hAnsiTheme="majorHAnsi" w:cstheme="majorHAnsi"/>
          <w:b/>
          <w:i w:val="0"/>
          <w:color w:val="000000" w:themeColor="text1"/>
          <w:sz w:val="22"/>
          <w:szCs w:val="22"/>
        </w:rPr>
      </w:pPr>
      <w:bookmarkStart w:id="202" w:name="_Toc525727666"/>
      <w:bookmarkStart w:id="203" w:name="_Toc525735953"/>
      <w:bookmarkStart w:id="204" w:name="_Toc525738250"/>
      <w:r w:rsidRPr="00240E36">
        <w:rPr>
          <w:rFonts w:asciiTheme="majorHAnsi" w:hAnsiTheme="majorHAnsi" w:cstheme="majorHAnsi"/>
          <w:b/>
          <w:i w:val="0"/>
          <w:color w:val="000000" w:themeColor="text1"/>
          <w:sz w:val="22"/>
          <w:szCs w:val="22"/>
        </w:rPr>
        <w:lastRenderedPageBreak/>
        <w:t xml:space="preserve">Obrázek </w:t>
      </w:r>
      <w:r w:rsidR="002507F9">
        <w:rPr>
          <w:rFonts w:asciiTheme="majorHAnsi" w:hAnsiTheme="majorHAnsi" w:cstheme="majorHAnsi"/>
          <w:b/>
          <w:i w:val="0"/>
          <w:color w:val="000000" w:themeColor="text1"/>
          <w:sz w:val="22"/>
          <w:szCs w:val="22"/>
        </w:rPr>
        <w:t>7.</w:t>
      </w:r>
      <w:r>
        <w:rPr>
          <w:rFonts w:asciiTheme="majorHAnsi" w:hAnsiTheme="majorHAnsi" w:cstheme="majorHAnsi"/>
          <w:b/>
          <w:i w:val="0"/>
          <w:color w:val="000000" w:themeColor="text1"/>
          <w:sz w:val="22"/>
          <w:szCs w:val="22"/>
        </w:rPr>
        <w:fldChar w:fldCharType="begin"/>
      </w:r>
      <w:r>
        <w:rPr>
          <w:rFonts w:asciiTheme="majorHAnsi" w:hAnsiTheme="majorHAnsi" w:cstheme="majorHAnsi"/>
          <w:b/>
          <w:i w:val="0"/>
          <w:color w:val="000000" w:themeColor="text1"/>
          <w:sz w:val="22"/>
          <w:szCs w:val="22"/>
        </w:rPr>
        <w:instrText xml:space="preserve"> STYLEREF 1 \s </w:instrText>
      </w:r>
      <w:r>
        <w:rPr>
          <w:rFonts w:asciiTheme="majorHAnsi" w:hAnsiTheme="majorHAnsi" w:cstheme="majorHAnsi"/>
          <w:b/>
          <w:i w:val="0"/>
          <w:color w:val="000000" w:themeColor="text1"/>
          <w:sz w:val="22"/>
          <w:szCs w:val="22"/>
        </w:rPr>
        <w:fldChar w:fldCharType="separate"/>
      </w:r>
      <w:r>
        <w:rPr>
          <w:rFonts w:asciiTheme="majorHAnsi" w:hAnsiTheme="majorHAnsi" w:cstheme="majorHAnsi"/>
          <w:b/>
          <w:i w:val="0"/>
          <w:noProof/>
          <w:color w:val="000000" w:themeColor="text1"/>
          <w:sz w:val="22"/>
          <w:szCs w:val="22"/>
        </w:rPr>
        <w:t>4</w:t>
      </w:r>
      <w:r>
        <w:rPr>
          <w:rFonts w:asciiTheme="majorHAnsi" w:hAnsiTheme="majorHAnsi" w:cstheme="majorHAnsi"/>
          <w:b/>
          <w:i w:val="0"/>
          <w:color w:val="000000" w:themeColor="text1"/>
          <w:sz w:val="22"/>
          <w:szCs w:val="22"/>
        </w:rPr>
        <w:fldChar w:fldCharType="end"/>
      </w:r>
      <w:r>
        <w:rPr>
          <w:rFonts w:asciiTheme="majorHAnsi" w:hAnsiTheme="majorHAnsi" w:cstheme="majorHAnsi"/>
          <w:b/>
          <w:i w:val="0"/>
          <w:color w:val="000000" w:themeColor="text1"/>
          <w:sz w:val="22"/>
          <w:szCs w:val="22"/>
        </w:rPr>
        <w:t>.</w:t>
      </w:r>
      <w:r w:rsidR="00EB5B81">
        <w:rPr>
          <w:rFonts w:asciiTheme="majorHAnsi" w:hAnsiTheme="majorHAnsi" w:cstheme="majorHAnsi"/>
          <w:b/>
          <w:i w:val="0"/>
          <w:color w:val="000000" w:themeColor="text1"/>
          <w:sz w:val="22"/>
          <w:szCs w:val="22"/>
        </w:rPr>
        <w:fldChar w:fldCharType="begin"/>
      </w:r>
      <w:r w:rsidR="00EB5B81">
        <w:rPr>
          <w:rFonts w:asciiTheme="majorHAnsi" w:hAnsiTheme="majorHAnsi" w:cstheme="majorHAnsi"/>
          <w:b/>
          <w:i w:val="0"/>
          <w:color w:val="000000" w:themeColor="text1"/>
          <w:sz w:val="22"/>
          <w:szCs w:val="22"/>
        </w:rPr>
        <w:instrText xml:space="preserve"> SEQ Obrázek \* ARABIC \s 1 </w:instrText>
      </w:r>
      <w:r w:rsidR="00EB5B81">
        <w:rPr>
          <w:rFonts w:asciiTheme="majorHAnsi" w:hAnsiTheme="majorHAnsi" w:cstheme="majorHAnsi"/>
          <w:b/>
          <w:i w:val="0"/>
          <w:color w:val="000000" w:themeColor="text1"/>
          <w:sz w:val="22"/>
          <w:szCs w:val="22"/>
        </w:rPr>
        <w:fldChar w:fldCharType="separate"/>
      </w:r>
      <w:r w:rsidR="00EB5B81">
        <w:rPr>
          <w:rFonts w:asciiTheme="majorHAnsi" w:hAnsiTheme="majorHAnsi" w:cstheme="majorHAnsi"/>
          <w:b/>
          <w:i w:val="0"/>
          <w:noProof/>
          <w:color w:val="000000" w:themeColor="text1"/>
          <w:sz w:val="22"/>
          <w:szCs w:val="22"/>
        </w:rPr>
        <w:t>2</w:t>
      </w:r>
      <w:r w:rsidR="00EB5B81">
        <w:rPr>
          <w:rFonts w:asciiTheme="majorHAnsi" w:hAnsiTheme="majorHAnsi" w:cstheme="majorHAnsi"/>
          <w:b/>
          <w:i w:val="0"/>
          <w:color w:val="000000" w:themeColor="text1"/>
          <w:sz w:val="22"/>
          <w:szCs w:val="22"/>
        </w:rPr>
        <w:fldChar w:fldCharType="end"/>
      </w:r>
      <w:r w:rsidR="002507F9">
        <w:rPr>
          <w:rFonts w:asciiTheme="majorHAnsi" w:hAnsiTheme="majorHAnsi" w:cstheme="majorHAnsi"/>
          <w:b/>
          <w:i w:val="0"/>
          <w:color w:val="000000" w:themeColor="text1"/>
          <w:sz w:val="22"/>
          <w:szCs w:val="22"/>
        </w:rPr>
        <w:t>3</w:t>
      </w:r>
      <w:r w:rsidRPr="00240E36">
        <w:rPr>
          <w:rFonts w:asciiTheme="majorHAnsi" w:eastAsiaTheme="minorEastAsia" w:hAnsiTheme="majorHAnsi" w:cstheme="majorHAnsi"/>
          <w:b/>
          <w:bCs/>
          <w:i w:val="0"/>
          <w:color w:val="000000" w:themeColor="text1"/>
          <w:sz w:val="22"/>
          <w:szCs w:val="22"/>
        </w:rPr>
        <w:t xml:space="preserve">: </w:t>
      </w:r>
      <w:bookmarkStart w:id="205" w:name="_Hlk518334819"/>
      <w:r w:rsidRPr="00240E36">
        <w:rPr>
          <w:rFonts w:asciiTheme="majorHAnsi" w:eastAsiaTheme="minorEastAsia" w:hAnsiTheme="majorHAnsi" w:cstheme="majorHAnsi"/>
          <w:b/>
          <w:bCs/>
          <w:i w:val="0"/>
          <w:color w:val="000000" w:themeColor="text1"/>
          <w:sz w:val="22"/>
          <w:szCs w:val="22"/>
        </w:rPr>
        <w:t>Vývoj nízké pracovní intenzity v jednotlivých NUTS 2 v letech 2005–2016</w:t>
      </w:r>
      <w:bookmarkEnd w:id="202"/>
      <w:bookmarkEnd w:id="203"/>
      <w:bookmarkEnd w:id="204"/>
      <w:bookmarkEnd w:id="205"/>
    </w:p>
    <w:p w14:paraId="73E53124" w14:textId="77777777" w:rsidR="00143820" w:rsidRDefault="00143820" w:rsidP="00C12BBB">
      <w:pPr>
        <w:ind w:firstLine="0"/>
      </w:pPr>
      <w:r>
        <w:rPr>
          <w:noProof/>
        </w:rPr>
        <w:drawing>
          <wp:inline distT="0" distB="0" distL="0" distR="0" wp14:anchorId="7AFA6D76" wp14:editId="74464CA3">
            <wp:extent cx="5760720" cy="2543175"/>
            <wp:effectExtent l="0" t="0" r="11430" b="9525"/>
            <wp:docPr id="63" name="Graf 63">
              <a:extLst xmlns:a="http://schemas.openxmlformats.org/drawingml/2006/main">
                <a:ext uri="{FF2B5EF4-FFF2-40B4-BE49-F238E27FC236}">
                  <a16:creationId xmlns:a16="http://schemas.microsoft.com/office/drawing/2014/main" id="{74B401FE-7C69-4C78-B63B-61543C02E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A9B2DDC" w14:textId="77777777" w:rsidR="005517C9" w:rsidRDefault="00143820" w:rsidP="00E015D8">
      <w:pPr>
        <w:spacing w:before="0" w:line="240" w:lineRule="auto"/>
        <w:ind w:firstLine="0"/>
        <w:rPr>
          <w:i/>
          <w:sz w:val="18"/>
          <w:szCs w:val="18"/>
        </w:rPr>
      </w:pPr>
      <w:r w:rsidRPr="004B694B">
        <w:rPr>
          <w:rFonts w:asciiTheme="majorHAnsi" w:eastAsiaTheme="majorEastAsia" w:hAnsiTheme="majorHAnsi" w:cstheme="majorBidi"/>
          <w:i/>
          <w:iCs/>
          <w:sz w:val="18"/>
          <w:szCs w:val="18"/>
        </w:rPr>
        <w:t>Zdroj: ČSÚ, Eurostat</w:t>
      </w:r>
      <w:r w:rsidR="005517C9">
        <w:rPr>
          <w:i/>
          <w:sz w:val="18"/>
          <w:szCs w:val="18"/>
        </w:rPr>
        <w:br w:type="page"/>
      </w:r>
    </w:p>
    <w:p w14:paraId="6E3B2D75" w14:textId="77777777" w:rsidR="00143820" w:rsidRPr="00F871FD" w:rsidRDefault="00143820" w:rsidP="0060489F">
      <w:pPr>
        <w:pStyle w:val="Nadpis1"/>
        <w:keepLines/>
        <w:numPr>
          <w:ilvl w:val="1"/>
          <w:numId w:val="60"/>
        </w:numPr>
        <w:spacing w:before="240" w:line="259" w:lineRule="auto"/>
        <w:jc w:val="both"/>
      </w:pPr>
      <w:bookmarkStart w:id="206" w:name="_Toc525823170"/>
      <w:bookmarkStart w:id="207" w:name="_Toc525825209"/>
      <w:r w:rsidRPr="00F871FD">
        <w:lastRenderedPageBreak/>
        <w:t>Vybavenost</w:t>
      </w:r>
      <w:bookmarkEnd w:id="206"/>
      <w:bookmarkEnd w:id="207"/>
    </w:p>
    <w:p w14:paraId="6F4BC7DA" w14:textId="77777777" w:rsidR="00143820" w:rsidRDefault="00143820" w:rsidP="00143820">
      <w:pPr>
        <w:pStyle w:val="Default"/>
        <w:jc w:val="both"/>
        <w:rPr>
          <w:rFonts w:asciiTheme="minorHAnsi" w:hAnsiTheme="minorHAnsi" w:cstheme="minorBidi"/>
          <w:color w:val="auto"/>
          <w:sz w:val="22"/>
          <w:szCs w:val="22"/>
        </w:rPr>
      </w:pPr>
    </w:p>
    <w:p w14:paraId="493EFB31" w14:textId="77777777" w:rsidR="00143820" w:rsidRPr="004B694B" w:rsidRDefault="00143820" w:rsidP="004B694B">
      <w:pPr>
        <w:pStyle w:val="Default"/>
        <w:spacing w:before="60" w:line="360" w:lineRule="atLeast"/>
        <w:jc w:val="both"/>
        <w:rPr>
          <w:rFonts w:ascii="Times New Roman" w:eastAsia="Times New Roman" w:hAnsi="Times New Roman" w:cs="Times New Roman"/>
          <w:color w:val="auto"/>
        </w:rPr>
      </w:pPr>
      <w:r w:rsidRPr="004B694B">
        <w:rPr>
          <w:rFonts w:ascii="Times New Roman" w:eastAsia="Times New Roman" w:hAnsi="Times New Roman" w:cs="Times New Roman"/>
          <w:color w:val="auto"/>
        </w:rPr>
        <w:t>Zjednodušeně lze rozdělit vybavenost obcí na tři skupiny:</w:t>
      </w:r>
    </w:p>
    <w:p w14:paraId="10377087" w14:textId="77777777" w:rsidR="00143820" w:rsidRPr="004B694B" w:rsidRDefault="00143820" w:rsidP="00DD1EB6">
      <w:pPr>
        <w:pStyle w:val="Default"/>
        <w:numPr>
          <w:ilvl w:val="0"/>
          <w:numId w:val="21"/>
        </w:numPr>
        <w:spacing w:before="60" w:line="360" w:lineRule="atLeast"/>
        <w:jc w:val="both"/>
        <w:rPr>
          <w:rFonts w:ascii="Times New Roman" w:eastAsia="Times New Roman" w:hAnsi="Times New Roman" w:cs="Times New Roman"/>
          <w:b/>
          <w:bCs/>
          <w:color w:val="auto"/>
        </w:rPr>
      </w:pPr>
      <w:r w:rsidRPr="004B694B">
        <w:rPr>
          <w:rFonts w:ascii="Times New Roman" w:eastAsia="Times New Roman" w:hAnsi="Times New Roman" w:cs="Times New Roman"/>
          <w:b/>
          <w:bCs/>
          <w:color w:val="auto"/>
        </w:rPr>
        <w:t xml:space="preserve">Dopravní vybavenost – </w:t>
      </w:r>
      <w:r w:rsidRPr="004B694B">
        <w:rPr>
          <w:rFonts w:ascii="Times New Roman" w:eastAsia="Times New Roman" w:hAnsi="Times New Roman" w:cs="Times New Roman"/>
          <w:color w:val="auto"/>
        </w:rPr>
        <w:t>sítě komunikací různého řádu, veřejná doprava a její intenzita</w:t>
      </w:r>
    </w:p>
    <w:p w14:paraId="39E4A9D5" w14:textId="77777777" w:rsidR="00143820" w:rsidRPr="004B694B" w:rsidRDefault="00143820" w:rsidP="00334D56">
      <w:pPr>
        <w:pStyle w:val="Default"/>
        <w:numPr>
          <w:ilvl w:val="0"/>
          <w:numId w:val="21"/>
        </w:numPr>
        <w:spacing w:before="60" w:line="360" w:lineRule="atLeast"/>
        <w:jc w:val="both"/>
        <w:rPr>
          <w:rFonts w:ascii="Times New Roman" w:eastAsia="Times New Roman" w:hAnsi="Times New Roman" w:cs="Times New Roman"/>
          <w:b/>
          <w:bCs/>
          <w:color w:val="auto"/>
        </w:rPr>
      </w:pPr>
      <w:r w:rsidRPr="004B694B">
        <w:rPr>
          <w:rFonts w:ascii="Times New Roman" w:eastAsia="Times New Roman" w:hAnsi="Times New Roman" w:cs="Times New Roman"/>
          <w:b/>
          <w:bCs/>
          <w:color w:val="auto"/>
        </w:rPr>
        <w:t xml:space="preserve">Technická vybavenost – </w:t>
      </w:r>
      <w:r w:rsidRPr="004B694B">
        <w:rPr>
          <w:rFonts w:ascii="Times New Roman" w:eastAsia="Times New Roman" w:hAnsi="Times New Roman" w:cs="Times New Roman"/>
          <w:color w:val="auto"/>
        </w:rPr>
        <w:t>vodohospodářská infrastruktura, zásobování plynem, elektrická energie, likvidace komunálního odpadu, připojení k internetu</w:t>
      </w:r>
    </w:p>
    <w:p w14:paraId="14543277" w14:textId="77777777" w:rsidR="00143820" w:rsidRPr="004B694B" w:rsidRDefault="00143820" w:rsidP="00334D56">
      <w:pPr>
        <w:pStyle w:val="Default"/>
        <w:numPr>
          <w:ilvl w:val="0"/>
          <w:numId w:val="21"/>
        </w:numPr>
        <w:spacing w:before="60" w:line="360" w:lineRule="atLeast"/>
        <w:jc w:val="both"/>
        <w:rPr>
          <w:rFonts w:ascii="Times New Roman" w:eastAsia="Times New Roman" w:hAnsi="Times New Roman" w:cs="Times New Roman"/>
          <w:b/>
          <w:bCs/>
          <w:color w:val="auto"/>
        </w:rPr>
      </w:pPr>
      <w:r w:rsidRPr="004B694B">
        <w:rPr>
          <w:rFonts w:ascii="Times New Roman" w:eastAsia="Times New Roman" w:hAnsi="Times New Roman" w:cs="Times New Roman"/>
          <w:b/>
          <w:bCs/>
          <w:color w:val="auto"/>
        </w:rPr>
        <w:t xml:space="preserve">Občanská vybavenost – </w:t>
      </w:r>
      <w:r w:rsidRPr="004B694B">
        <w:rPr>
          <w:rFonts w:ascii="Times New Roman" w:eastAsia="Times New Roman" w:hAnsi="Times New Roman" w:cs="Times New Roman"/>
          <w:color w:val="auto"/>
        </w:rPr>
        <w:t>tržní a netržní zařízení služeb: školy, zařízení sociální péče, obchody, další služby</w:t>
      </w:r>
    </w:p>
    <w:p w14:paraId="7D20A9C9" w14:textId="77777777" w:rsidR="00143820" w:rsidRPr="00454E1D" w:rsidRDefault="00143820" w:rsidP="00454E1D">
      <w:pPr>
        <w:pStyle w:val="Default"/>
        <w:spacing w:before="60" w:line="360" w:lineRule="atLeast"/>
        <w:jc w:val="both"/>
        <w:rPr>
          <w:rFonts w:ascii="Times New Roman" w:hAnsi="Times New Roman" w:cs="Times New Roman"/>
          <w:color w:val="FF0000"/>
        </w:rPr>
      </w:pPr>
    </w:p>
    <w:p w14:paraId="691E8AD0" w14:textId="77777777" w:rsidR="00143820" w:rsidRPr="00454E1D" w:rsidRDefault="00143820" w:rsidP="68ED4599">
      <w:pPr>
        <w:rPr>
          <w:szCs w:val="24"/>
        </w:rPr>
      </w:pPr>
      <w:r w:rsidRPr="00C150AD">
        <w:rPr>
          <w:b/>
          <w:bCs/>
        </w:rPr>
        <w:t>Co by mohlo být považováno za problém týkající se vybavenosti malých obcí?</w:t>
      </w:r>
      <w:r w:rsidRPr="00841BEA">
        <w:t xml:space="preserve"> </w:t>
      </w:r>
    </w:p>
    <w:p w14:paraId="53C04512" w14:textId="77777777" w:rsidR="00143820" w:rsidRPr="00454E1D" w:rsidRDefault="00143820" w:rsidP="68ED4599">
      <w:pPr>
        <w:rPr>
          <w:szCs w:val="24"/>
        </w:rPr>
      </w:pPr>
      <w:r w:rsidRPr="00C150AD">
        <w:t>Podle analýzy potřeb obcí a měst (SMO, 2018), která proběhla formou dotazníkového šetření, kde m</w:t>
      </w:r>
      <w:r w:rsidRPr="00841BEA">
        <w:t>ezi respondenty převažovaly obce do 2 000 obyvatel, nejvíce obcí uvedlo jako problém špatný stav pozemních komunikací a špatný stav nebo chybějící chodníky. Jako další se umístila potřeb</w:t>
      </w:r>
      <w:r w:rsidRPr="004B694B">
        <w:t>a Rekonstrukce a revitalizace veřejných budov. Potřeba řešení nakládání s odpady, či veřejné kanalizace a ČOV se umístily na 4. až 5. pozici. Hodnotitelé dávali jednotlivým potřebám body od 1 do 5 (nejvyšší potřeba) podle důležitosti. Z vybavenosti obcí bylo hodnoceno následující: připojení k vysokorychlostnímu internetu (3,4 bodů), veřejné osvětlení, veřejná zeleň (3,3), kapacita domů pro seniory (3,1), kapacita MŠ/ZŠ (3). Potřeba podpory železniční dopravy, dopravní uzly skončily na posledních místech (1,6).</w:t>
      </w:r>
    </w:p>
    <w:p w14:paraId="1226B8E1" w14:textId="77777777" w:rsidR="00143820" w:rsidRDefault="00143820" w:rsidP="00143820"/>
    <w:p w14:paraId="728F5472" w14:textId="77777777" w:rsidR="00143820" w:rsidRPr="004B694B" w:rsidRDefault="00143820" w:rsidP="004B694B">
      <w:pPr>
        <w:pStyle w:val="Titulek"/>
        <w:keepNext/>
        <w:spacing w:after="0"/>
        <w:ind w:firstLine="0"/>
        <w:rPr>
          <w:rFonts w:asciiTheme="minorHAnsi" w:eastAsiaTheme="minorEastAsia" w:hAnsiTheme="minorHAnsi" w:cstheme="minorBidi"/>
          <w:b/>
          <w:bCs/>
          <w:i w:val="0"/>
          <w:iCs w:val="0"/>
          <w:color w:val="auto"/>
          <w:sz w:val="22"/>
          <w:szCs w:val="22"/>
        </w:rPr>
      </w:pPr>
      <w:bookmarkStart w:id="208" w:name="_Toc525727667"/>
      <w:bookmarkStart w:id="209" w:name="_Toc525735954"/>
      <w:bookmarkStart w:id="210" w:name="_Toc525738251"/>
      <w:r w:rsidRPr="004B694B">
        <w:rPr>
          <w:rFonts w:asciiTheme="minorHAnsi" w:eastAsiaTheme="minorEastAsia" w:hAnsiTheme="minorHAnsi" w:cstheme="minorBidi"/>
          <w:b/>
          <w:bCs/>
          <w:i w:val="0"/>
          <w:iCs w:val="0"/>
          <w:color w:val="auto"/>
          <w:sz w:val="22"/>
          <w:szCs w:val="22"/>
        </w:rPr>
        <w:t xml:space="preserve">Obrázek </w:t>
      </w:r>
      <w:r w:rsidR="002507F9">
        <w:rPr>
          <w:rFonts w:asciiTheme="minorHAnsi" w:eastAsiaTheme="minorEastAsia" w:hAnsiTheme="minorHAnsi" w:cstheme="minorBidi"/>
          <w:b/>
          <w:bCs/>
          <w:i w:val="0"/>
          <w:iCs w:val="0"/>
          <w:color w:val="auto"/>
          <w:sz w:val="22"/>
          <w:szCs w:val="22"/>
        </w:rPr>
        <w:t>7.</w:t>
      </w:r>
      <w:r w:rsidR="00240E36">
        <w:rPr>
          <w:rFonts w:asciiTheme="minorHAnsi" w:eastAsiaTheme="minorEastAsia" w:hAnsiTheme="minorHAnsi" w:cstheme="minorBidi"/>
          <w:b/>
          <w:bCs/>
          <w:i w:val="0"/>
          <w:iCs w:val="0"/>
          <w:color w:val="auto"/>
          <w:sz w:val="22"/>
          <w:szCs w:val="22"/>
        </w:rPr>
        <w:fldChar w:fldCharType="begin"/>
      </w:r>
      <w:r w:rsidR="00240E36">
        <w:rPr>
          <w:rFonts w:asciiTheme="minorHAnsi" w:eastAsiaTheme="minorEastAsia" w:hAnsiTheme="minorHAnsi" w:cstheme="minorBidi"/>
          <w:b/>
          <w:bCs/>
          <w:i w:val="0"/>
          <w:iCs w:val="0"/>
          <w:color w:val="auto"/>
          <w:sz w:val="22"/>
          <w:szCs w:val="22"/>
        </w:rPr>
        <w:instrText xml:space="preserve"> STYLEREF 1 \s </w:instrText>
      </w:r>
      <w:r w:rsidR="00240E36">
        <w:rPr>
          <w:rFonts w:asciiTheme="minorHAnsi" w:eastAsiaTheme="minorEastAsia" w:hAnsiTheme="minorHAnsi" w:cstheme="minorBidi"/>
          <w:b/>
          <w:bCs/>
          <w:i w:val="0"/>
          <w:iCs w:val="0"/>
          <w:color w:val="auto"/>
          <w:sz w:val="22"/>
          <w:szCs w:val="22"/>
        </w:rPr>
        <w:fldChar w:fldCharType="separate"/>
      </w:r>
      <w:r w:rsidR="00240E36">
        <w:rPr>
          <w:rFonts w:asciiTheme="minorHAnsi" w:eastAsiaTheme="minorEastAsia" w:hAnsiTheme="minorHAnsi" w:cstheme="minorBidi"/>
          <w:b/>
          <w:bCs/>
          <w:i w:val="0"/>
          <w:iCs w:val="0"/>
          <w:noProof/>
          <w:color w:val="auto"/>
          <w:sz w:val="22"/>
          <w:szCs w:val="22"/>
        </w:rPr>
        <w:t>5</w:t>
      </w:r>
      <w:r w:rsidR="00240E36">
        <w:rPr>
          <w:rFonts w:asciiTheme="minorHAnsi" w:eastAsiaTheme="minorEastAsia" w:hAnsiTheme="minorHAnsi" w:cstheme="minorBidi"/>
          <w:b/>
          <w:bCs/>
          <w:i w:val="0"/>
          <w:iCs w:val="0"/>
          <w:color w:val="auto"/>
          <w:sz w:val="22"/>
          <w:szCs w:val="22"/>
        </w:rPr>
        <w:fldChar w:fldCharType="end"/>
      </w:r>
      <w:r w:rsidR="00240E36">
        <w:rPr>
          <w:rFonts w:asciiTheme="minorHAnsi" w:eastAsiaTheme="minorEastAsia" w:hAnsiTheme="minorHAnsi" w:cstheme="minorBidi"/>
          <w:b/>
          <w:bCs/>
          <w:i w:val="0"/>
          <w:iCs w:val="0"/>
          <w:color w:val="auto"/>
          <w:sz w:val="22"/>
          <w:szCs w:val="22"/>
        </w:rPr>
        <w:t>.</w:t>
      </w:r>
      <w:r w:rsidR="00EB5B81">
        <w:rPr>
          <w:rFonts w:asciiTheme="minorHAnsi" w:eastAsiaTheme="minorEastAsia" w:hAnsiTheme="minorHAnsi" w:cstheme="minorBidi"/>
          <w:b/>
          <w:bCs/>
          <w:i w:val="0"/>
          <w:iCs w:val="0"/>
          <w:color w:val="auto"/>
          <w:sz w:val="22"/>
          <w:szCs w:val="22"/>
        </w:rPr>
        <w:fldChar w:fldCharType="begin"/>
      </w:r>
      <w:r w:rsidR="00EB5B81">
        <w:rPr>
          <w:rFonts w:asciiTheme="minorHAnsi" w:eastAsiaTheme="minorEastAsia" w:hAnsiTheme="minorHAnsi" w:cstheme="minorBidi"/>
          <w:b/>
          <w:bCs/>
          <w:i w:val="0"/>
          <w:iCs w:val="0"/>
          <w:color w:val="auto"/>
          <w:sz w:val="22"/>
          <w:szCs w:val="22"/>
        </w:rPr>
        <w:instrText xml:space="preserve"> SEQ Obrázek \* ARABIC \s 1 </w:instrText>
      </w:r>
      <w:r w:rsidR="00EB5B81">
        <w:rPr>
          <w:rFonts w:asciiTheme="minorHAnsi" w:eastAsiaTheme="minorEastAsia" w:hAnsiTheme="minorHAnsi" w:cstheme="minorBidi"/>
          <w:b/>
          <w:bCs/>
          <w:i w:val="0"/>
          <w:iCs w:val="0"/>
          <w:color w:val="auto"/>
          <w:sz w:val="22"/>
          <w:szCs w:val="22"/>
        </w:rPr>
        <w:fldChar w:fldCharType="separate"/>
      </w:r>
      <w:r w:rsidR="00EB5B81">
        <w:rPr>
          <w:rFonts w:asciiTheme="minorHAnsi" w:eastAsiaTheme="minorEastAsia" w:hAnsiTheme="minorHAnsi" w:cstheme="minorBidi"/>
          <w:b/>
          <w:bCs/>
          <w:i w:val="0"/>
          <w:iCs w:val="0"/>
          <w:noProof/>
          <w:color w:val="auto"/>
          <w:sz w:val="22"/>
          <w:szCs w:val="22"/>
        </w:rPr>
        <w:t>1</w:t>
      </w:r>
      <w:r w:rsidR="00EB5B81">
        <w:rPr>
          <w:rFonts w:asciiTheme="minorHAnsi" w:eastAsiaTheme="minorEastAsia" w:hAnsiTheme="minorHAnsi" w:cstheme="minorBidi"/>
          <w:b/>
          <w:bCs/>
          <w:i w:val="0"/>
          <w:iCs w:val="0"/>
          <w:color w:val="auto"/>
          <w:sz w:val="22"/>
          <w:szCs w:val="22"/>
        </w:rPr>
        <w:fldChar w:fldCharType="end"/>
      </w:r>
      <w:r w:rsidRPr="004B694B">
        <w:rPr>
          <w:rFonts w:asciiTheme="minorHAnsi" w:eastAsiaTheme="minorEastAsia" w:hAnsiTheme="minorHAnsi" w:cstheme="minorBidi"/>
          <w:b/>
          <w:bCs/>
          <w:i w:val="0"/>
          <w:iCs w:val="0"/>
          <w:color w:val="auto"/>
          <w:sz w:val="22"/>
          <w:szCs w:val="22"/>
        </w:rPr>
        <w:t>: Potřeby měst a obcí podle krajů</w:t>
      </w:r>
      <w:bookmarkEnd w:id="208"/>
      <w:bookmarkEnd w:id="209"/>
      <w:bookmarkEnd w:id="210"/>
    </w:p>
    <w:p w14:paraId="7FA788E7" w14:textId="77777777" w:rsidR="00143820" w:rsidRDefault="00143820" w:rsidP="00454E1D">
      <w:pPr>
        <w:ind w:firstLine="0"/>
      </w:pPr>
      <w:r>
        <w:rPr>
          <w:noProof/>
        </w:rPr>
        <w:drawing>
          <wp:inline distT="0" distB="0" distL="0" distR="0" wp14:anchorId="47F70452" wp14:editId="6A6DA869">
            <wp:extent cx="6543675" cy="2466340"/>
            <wp:effectExtent l="0" t="0" r="9525" b="0"/>
            <wp:docPr id="12021413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4">
                      <a:extLst>
                        <a:ext uri="{28A0092B-C50C-407E-A947-70E740481C1C}">
                          <a14:useLocalDpi xmlns:a14="http://schemas.microsoft.com/office/drawing/2010/main" val="0"/>
                        </a:ext>
                      </a:extLst>
                    </a:blip>
                    <a:stretch>
                      <a:fillRect/>
                    </a:stretch>
                  </pic:blipFill>
                  <pic:spPr>
                    <a:xfrm>
                      <a:off x="0" y="0"/>
                      <a:ext cx="6543675" cy="2466340"/>
                    </a:xfrm>
                    <a:prstGeom prst="rect">
                      <a:avLst/>
                    </a:prstGeom>
                  </pic:spPr>
                </pic:pic>
              </a:graphicData>
            </a:graphic>
          </wp:inline>
        </w:drawing>
      </w:r>
    </w:p>
    <w:p w14:paraId="593C10E9" w14:textId="77777777" w:rsidR="00143820" w:rsidRDefault="00143820" w:rsidP="00454E1D">
      <w:pPr>
        <w:ind w:firstLine="0"/>
      </w:pPr>
      <w:r>
        <w:rPr>
          <w:noProof/>
        </w:rPr>
        <w:lastRenderedPageBreak/>
        <w:drawing>
          <wp:inline distT="0" distB="0" distL="0" distR="0" wp14:anchorId="0BE2B032" wp14:editId="128E1ECC">
            <wp:extent cx="6553198" cy="2901698"/>
            <wp:effectExtent l="0" t="0" r="0" b="0"/>
            <wp:docPr id="805506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5">
                      <a:extLst>
                        <a:ext uri="{28A0092B-C50C-407E-A947-70E740481C1C}">
                          <a14:useLocalDpi xmlns:a14="http://schemas.microsoft.com/office/drawing/2010/main" val="0"/>
                        </a:ext>
                      </a:extLst>
                    </a:blip>
                    <a:stretch>
                      <a:fillRect/>
                    </a:stretch>
                  </pic:blipFill>
                  <pic:spPr>
                    <a:xfrm>
                      <a:off x="0" y="0"/>
                      <a:ext cx="6553198" cy="2901698"/>
                    </a:xfrm>
                    <a:prstGeom prst="rect">
                      <a:avLst/>
                    </a:prstGeom>
                  </pic:spPr>
                </pic:pic>
              </a:graphicData>
            </a:graphic>
          </wp:inline>
        </w:drawing>
      </w:r>
    </w:p>
    <w:p w14:paraId="70619262" w14:textId="77777777" w:rsidR="00143820" w:rsidRPr="004B694B" w:rsidRDefault="00143820"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 Analýza potřeb měst a obcí – financování 2018, Svaz měst a obcí České republiky</w:t>
      </w:r>
    </w:p>
    <w:p w14:paraId="6A39AE56" w14:textId="77777777" w:rsidR="00143820" w:rsidRDefault="00143820" w:rsidP="00454E1D"/>
    <w:p w14:paraId="41E21972" w14:textId="77777777" w:rsidR="00143820" w:rsidRDefault="00143820" w:rsidP="00454E1D">
      <w:r w:rsidRPr="00E87A90">
        <w:rPr>
          <w:color w:val="000000" w:themeColor="text1"/>
        </w:rPr>
        <w:t xml:space="preserve">Z obrázku (Obrázek </w:t>
      </w:r>
      <w:r w:rsidR="002507F9">
        <w:rPr>
          <w:color w:val="000000" w:themeColor="text1"/>
        </w:rPr>
        <w:t>7.</w:t>
      </w:r>
      <w:r w:rsidRPr="00E87A90">
        <w:rPr>
          <w:color w:val="000000" w:themeColor="text1"/>
        </w:rPr>
        <w:t xml:space="preserve">5.1) je </w:t>
      </w:r>
      <w:r>
        <w:t>patrné, že kvalita pozemní infrastruktury je problémem ve většině krajů ČR.</w:t>
      </w:r>
    </w:p>
    <w:p w14:paraId="19F6FC17" w14:textId="77777777" w:rsidR="00143820" w:rsidRDefault="00143820" w:rsidP="00454E1D"/>
    <w:p w14:paraId="3331B162" w14:textId="77777777" w:rsidR="00143820" w:rsidRPr="004B694B" w:rsidRDefault="00143820">
      <w:pPr>
        <w:ind w:firstLine="0"/>
        <w:rPr>
          <w:rFonts w:asciiTheme="majorHAnsi" w:eastAsiaTheme="majorEastAsia" w:hAnsiTheme="majorHAnsi" w:cstheme="majorBidi"/>
          <w:b/>
          <w:bCs/>
        </w:rPr>
      </w:pPr>
      <w:r w:rsidRPr="004B694B">
        <w:rPr>
          <w:rFonts w:asciiTheme="majorHAnsi" w:eastAsiaTheme="majorEastAsia" w:hAnsiTheme="majorHAnsi" w:cstheme="majorBidi"/>
          <w:b/>
          <w:bCs/>
        </w:rPr>
        <w:t>Statistická analýza</w:t>
      </w:r>
    </w:p>
    <w:p w14:paraId="146ECAD4" w14:textId="77777777" w:rsidR="00143820" w:rsidRPr="004B694B" w:rsidRDefault="00143820">
      <w:pPr>
        <w:ind w:firstLine="0"/>
        <w:rPr>
          <w:rFonts w:asciiTheme="majorHAnsi" w:eastAsiaTheme="majorEastAsia" w:hAnsiTheme="majorHAnsi" w:cstheme="majorBidi"/>
        </w:rPr>
      </w:pPr>
      <w:r w:rsidRPr="004B694B">
        <w:rPr>
          <w:rFonts w:asciiTheme="majorHAnsi" w:eastAsiaTheme="majorEastAsia" w:hAnsiTheme="majorHAnsi" w:cstheme="majorBidi"/>
        </w:rPr>
        <w:t>OBČANSKÁ VYBAVENOST VENKOVSKÝCH OBCÍ</w:t>
      </w:r>
    </w:p>
    <w:p w14:paraId="7967F2C4" w14:textId="77777777" w:rsidR="00143820" w:rsidRDefault="00143820" w:rsidP="00143820">
      <w:r>
        <w:t>Do základní občanské vybavenosti obcí je zařazena pošta, základní škola a zdravotnické zařízení. Za venkovské obce jsou považovány obce s méně než 2 000 obyvateli.</w:t>
      </w:r>
    </w:p>
    <w:p w14:paraId="23D93B8C" w14:textId="77777777" w:rsidR="00454E1D" w:rsidRDefault="00454E1D" w:rsidP="00143820"/>
    <w:p w14:paraId="5FCE2487" w14:textId="77777777" w:rsidR="00143820" w:rsidRPr="004B694B" w:rsidRDefault="00143820" w:rsidP="004B694B">
      <w:pPr>
        <w:pStyle w:val="Titulek"/>
        <w:keepNext/>
        <w:spacing w:after="0"/>
        <w:ind w:firstLine="0"/>
        <w:rPr>
          <w:rFonts w:asciiTheme="minorHAnsi" w:eastAsiaTheme="minorEastAsia" w:hAnsiTheme="minorHAnsi" w:cstheme="minorBidi"/>
          <w:b/>
          <w:bCs/>
          <w:i w:val="0"/>
          <w:iCs w:val="0"/>
          <w:color w:val="auto"/>
          <w:sz w:val="22"/>
          <w:szCs w:val="22"/>
        </w:rPr>
      </w:pPr>
      <w:bookmarkStart w:id="211" w:name="_Toc522869019"/>
      <w:r w:rsidRPr="004B694B">
        <w:rPr>
          <w:rFonts w:asciiTheme="minorHAnsi" w:eastAsiaTheme="minorEastAsia" w:hAnsiTheme="minorHAnsi" w:cstheme="minorBidi"/>
          <w:b/>
          <w:bCs/>
          <w:i w:val="0"/>
          <w:iCs w:val="0"/>
          <w:color w:val="auto"/>
          <w:sz w:val="22"/>
          <w:szCs w:val="22"/>
        </w:rPr>
        <w:t xml:space="preserve">Tabulka </w:t>
      </w:r>
      <w:r w:rsidR="002507F9">
        <w:rPr>
          <w:rFonts w:asciiTheme="minorHAnsi" w:eastAsiaTheme="minorEastAsia" w:hAnsiTheme="minorHAnsi" w:cstheme="minorBidi"/>
          <w:b/>
          <w:bCs/>
          <w:i w:val="0"/>
          <w:iCs w:val="0"/>
          <w:color w:val="auto"/>
          <w:sz w:val="22"/>
          <w:szCs w:val="22"/>
        </w:rPr>
        <w:t>7.</w:t>
      </w:r>
      <w:r w:rsidR="00E34D45">
        <w:rPr>
          <w:rFonts w:asciiTheme="minorHAnsi" w:eastAsiaTheme="minorEastAsia" w:hAnsiTheme="minorHAnsi" w:cstheme="minorBidi"/>
          <w:b/>
          <w:bCs/>
          <w:i w:val="0"/>
          <w:iCs w:val="0"/>
          <w:color w:val="auto"/>
          <w:sz w:val="22"/>
          <w:szCs w:val="22"/>
        </w:rPr>
        <w:fldChar w:fldCharType="begin"/>
      </w:r>
      <w:r w:rsidR="00E34D45">
        <w:rPr>
          <w:rFonts w:asciiTheme="minorHAnsi" w:eastAsiaTheme="minorEastAsia" w:hAnsiTheme="minorHAnsi" w:cstheme="minorBidi"/>
          <w:b/>
          <w:bCs/>
          <w:i w:val="0"/>
          <w:iCs w:val="0"/>
          <w:color w:val="auto"/>
          <w:sz w:val="22"/>
          <w:szCs w:val="22"/>
        </w:rPr>
        <w:instrText xml:space="preserve"> STYLEREF 1 \s </w:instrText>
      </w:r>
      <w:r w:rsidR="00E34D45">
        <w:rPr>
          <w:rFonts w:asciiTheme="minorHAnsi" w:eastAsiaTheme="minorEastAsia" w:hAnsiTheme="minorHAnsi" w:cstheme="minorBidi"/>
          <w:b/>
          <w:bCs/>
          <w:i w:val="0"/>
          <w:iCs w:val="0"/>
          <w:color w:val="auto"/>
          <w:sz w:val="22"/>
          <w:szCs w:val="22"/>
        </w:rPr>
        <w:fldChar w:fldCharType="separate"/>
      </w:r>
      <w:r w:rsidR="00E34D45">
        <w:rPr>
          <w:rFonts w:asciiTheme="minorHAnsi" w:eastAsiaTheme="minorEastAsia" w:hAnsiTheme="minorHAnsi" w:cstheme="minorBidi"/>
          <w:b/>
          <w:bCs/>
          <w:i w:val="0"/>
          <w:iCs w:val="0"/>
          <w:noProof/>
          <w:color w:val="auto"/>
          <w:sz w:val="22"/>
          <w:szCs w:val="22"/>
        </w:rPr>
        <w:t>5</w:t>
      </w:r>
      <w:r w:rsidR="00E34D45">
        <w:rPr>
          <w:rFonts w:asciiTheme="minorHAnsi" w:eastAsiaTheme="minorEastAsia" w:hAnsiTheme="minorHAnsi" w:cstheme="minorBidi"/>
          <w:b/>
          <w:bCs/>
          <w:i w:val="0"/>
          <w:iCs w:val="0"/>
          <w:color w:val="auto"/>
          <w:sz w:val="22"/>
          <w:szCs w:val="22"/>
        </w:rPr>
        <w:fldChar w:fldCharType="end"/>
      </w:r>
      <w:r w:rsidR="00E34D45">
        <w:rPr>
          <w:rFonts w:asciiTheme="minorHAnsi" w:eastAsiaTheme="minorEastAsia" w:hAnsiTheme="minorHAnsi" w:cstheme="minorBidi"/>
          <w:b/>
          <w:bCs/>
          <w:i w:val="0"/>
          <w:iCs w:val="0"/>
          <w:color w:val="auto"/>
          <w:sz w:val="22"/>
          <w:szCs w:val="22"/>
        </w:rPr>
        <w:t>.</w:t>
      </w:r>
      <w:r w:rsidR="00E34D45">
        <w:rPr>
          <w:rFonts w:asciiTheme="minorHAnsi" w:eastAsiaTheme="minorEastAsia" w:hAnsiTheme="minorHAnsi" w:cstheme="minorBidi"/>
          <w:b/>
          <w:bCs/>
          <w:i w:val="0"/>
          <w:iCs w:val="0"/>
          <w:color w:val="auto"/>
          <w:sz w:val="22"/>
          <w:szCs w:val="22"/>
        </w:rPr>
        <w:fldChar w:fldCharType="begin"/>
      </w:r>
      <w:r w:rsidR="00E34D45">
        <w:rPr>
          <w:rFonts w:asciiTheme="minorHAnsi" w:eastAsiaTheme="minorEastAsia" w:hAnsiTheme="minorHAnsi" w:cstheme="minorBidi"/>
          <w:b/>
          <w:bCs/>
          <w:i w:val="0"/>
          <w:iCs w:val="0"/>
          <w:color w:val="auto"/>
          <w:sz w:val="22"/>
          <w:szCs w:val="22"/>
        </w:rPr>
        <w:instrText xml:space="preserve"> SEQ Tabulka \* ARABIC \s 1 </w:instrText>
      </w:r>
      <w:r w:rsidR="00E34D45">
        <w:rPr>
          <w:rFonts w:asciiTheme="minorHAnsi" w:eastAsiaTheme="minorEastAsia" w:hAnsiTheme="minorHAnsi" w:cstheme="minorBidi"/>
          <w:b/>
          <w:bCs/>
          <w:i w:val="0"/>
          <w:iCs w:val="0"/>
          <w:color w:val="auto"/>
          <w:sz w:val="22"/>
          <w:szCs w:val="22"/>
        </w:rPr>
        <w:fldChar w:fldCharType="separate"/>
      </w:r>
      <w:r w:rsidR="00E34D45">
        <w:rPr>
          <w:rFonts w:asciiTheme="minorHAnsi" w:eastAsiaTheme="minorEastAsia" w:hAnsiTheme="minorHAnsi" w:cstheme="minorBidi"/>
          <w:b/>
          <w:bCs/>
          <w:i w:val="0"/>
          <w:iCs w:val="0"/>
          <w:noProof/>
          <w:color w:val="auto"/>
          <w:sz w:val="22"/>
          <w:szCs w:val="22"/>
        </w:rPr>
        <w:t>1</w:t>
      </w:r>
      <w:r w:rsidR="00E34D45">
        <w:rPr>
          <w:rFonts w:asciiTheme="minorHAnsi" w:eastAsiaTheme="minorEastAsia" w:hAnsiTheme="minorHAnsi" w:cstheme="minorBidi"/>
          <w:b/>
          <w:bCs/>
          <w:i w:val="0"/>
          <w:iCs w:val="0"/>
          <w:color w:val="auto"/>
          <w:sz w:val="22"/>
          <w:szCs w:val="22"/>
        </w:rPr>
        <w:fldChar w:fldCharType="end"/>
      </w:r>
      <w:r w:rsidRPr="004B694B">
        <w:rPr>
          <w:rFonts w:asciiTheme="minorHAnsi" w:eastAsiaTheme="minorEastAsia" w:hAnsiTheme="minorHAnsi" w:cstheme="minorBidi"/>
          <w:b/>
          <w:bCs/>
          <w:i w:val="0"/>
          <w:iCs w:val="0"/>
          <w:color w:val="auto"/>
          <w:sz w:val="22"/>
          <w:szCs w:val="22"/>
        </w:rPr>
        <w:t>: Občanská vybavenost venkovských obcí v roce 2016</w:t>
      </w:r>
      <w:bookmarkEnd w:id="211"/>
    </w:p>
    <w:p w14:paraId="025C3181" w14:textId="77777777" w:rsidR="00143820" w:rsidRDefault="00143820" w:rsidP="00454E1D">
      <w:pPr>
        <w:ind w:firstLine="0"/>
      </w:pPr>
      <w:r w:rsidRPr="00FA24B3">
        <w:rPr>
          <w:noProof/>
        </w:rPr>
        <w:drawing>
          <wp:inline distT="0" distB="0" distL="0" distR="0" wp14:anchorId="71402729" wp14:editId="452B52CB">
            <wp:extent cx="5760720" cy="2502288"/>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2502288"/>
                    </a:xfrm>
                    <a:prstGeom prst="rect">
                      <a:avLst/>
                    </a:prstGeom>
                    <a:noFill/>
                    <a:ln>
                      <a:noFill/>
                    </a:ln>
                  </pic:spPr>
                </pic:pic>
              </a:graphicData>
            </a:graphic>
          </wp:inline>
        </w:drawing>
      </w:r>
    </w:p>
    <w:p w14:paraId="25E3C8E7" w14:textId="77777777" w:rsidR="00143820" w:rsidRPr="004B694B" w:rsidRDefault="00143820"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 ČSÚ (Veřejná databáze)</w:t>
      </w:r>
    </w:p>
    <w:p w14:paraId="2E9F11C0" w14:textId="77777777" w:rsidR="00454E1D" w:rsidRDefault="00454E1D" w:rsidP="00143820"/>
    <w:p w14:paraId="2778B656" w14:textId="77777777" w:rsidR="00143820" w:rsidRDefault="00143820" w:rsidP="00143820">
      <w:r>
        <w:lastRenderedPageBreak/>
        <w:t>Nejlépe vybavené obce občanským vybavením má Moravskoslezský kraj. Poštou a základní školou má vybaveno kolem 60 % obcí, zdravotnickým zařízením polovinu svých obcí. Naopak nejhůře vybavené obce jsou v kraji Vysočina, nejvyšší podíl vybavenosti je školou, a to pouze 26 %. Zdravotnické zařízení má pouze 17 % obcí s méně než 2 000 obyvateli.</w:t>
      </w:r>
    </w:p>
    <w:p w14:paraId="5CF7D4F0" w14:textId="77777777" w:rsidR="004A56A2" w:rsidRDefault="004A56A2" w:rsidP="00036558">
      <w:pPr>
        <w:ind w:firstLine="0"/>
      </w:pPr>
      <w:r>
        <w:tab/>
        <w:t xml:space="preserve">Na velice dobré úrovni je vybavenost obcí službou Czech point, který se nachází ve většině případů na pobočkách České pošty nebo na obecních úřadech. Analýza Podpora obslužnosti venkova poskytnutá </w:t>
      </w:r>
      <w:proofErr w:type="spellStart"/>
      <w:r>
        <w:t>MZe</w:t>
      </w:r>
      <w:proofErr w:type="spellEnd"/>
      <w:r>
        <w:t xml:space="preserve"> uvádí, že Czech pointem je v současnosti vybaveno 92 % obcí.</w:t>
      </w:r>
    </w:p>
    <w:p w14:paraId="2AB0D0E8" w14:textId="77777777" w:rsidR="00143820" w:rsidRDefault="00143820" w:rsidP="00740149">
      <w:pPr>
        <w:ind w:firstLine="708"/>
      </w:pPr>
      <w:r>
        <w:t>Při porovnání vybavenosti venkovských obcí (do 2 000 obyvatel) a všech obcí, je ve většině krajů vybavenost venkovských obcí nižší o 10 % než když jsou do podílu zahrnuty všechny obce. Nejmenší rozdíly jsou v kraji Vysočina a v Olomouckém kraji, což může být způsobeno vysokým podílem malých obcí v kraji. Opačným případem je Moravskoslezský kraj, kdy je rozdíl v podílu vybavenosti venkovských obcí a všech obcí nejvyšší, z důvodu nízkého podílu venkovských obcí v kraji.</w:t>
      </w:r>
    </w:p>
    <w:p w14:paraId="5C4B2654" w14:textId="77777777" w:rsidR="00143820" w:rsidRDefault="00143820" w:rsidP="00143820"/>
    <w:p w14:paraId="4A0A3A62" w14:textId="77777777" w:rsidR="00143820" w:rsidRPr="004B694B" w:rsidRDefault="00143820">
      <w:pPr>
        <w:ind w:firstLine="0"/>
        <w:rPr>
          <w:rFonts w:asciiTheme="majorHAnsi" w:eastAsiaTheme="majorEastAsia" w:hAnsiTheme="majorHAnsi" w:cstheme="majorBidi"/>
        </w:rPr>
      </w:pPr>
      <w:r w:rsidRPr="004B694B">
        <w:rPr>
          <w:rFonts w:asciiTheme="majorHAnsi" w:eastAsiaTheme="majorEastAsia" w:hAnsiTheme="majorHAnsi" w:cstheme="majorBidi"/>
        </w:rPr>
        <w:t>TECHNICKÁ VYBAVENOST VE VENKOVSKÝCH OBCÍ</w:t>
      </w:r>
    </w:p>
    <w:p w14:paraId="056EA197" w14:textId="77777777" w:rsidR="00143820" w:rsidRDefault="00143820" w:rsidP="00454E1D">
      <w:r>
        <w:t>Do technické vybavenosti obcí patří možnost připojení bytů na veřejnou kanalizaci, veřejná kanalizace s možností napojení na ČOV, veřejný vodovod a plynofikace. Dalším druhem technické vybavenosti je dostupnost připojení k internetu.</w:t>
      </w:r>
    </w:p>
    <w:p w14:paraId="0039C51F" w14:textId="77777777" w:rsidR="002507F9" w:rsidRDefault="002507F9" w:rsidP="00454E1D"/>
    <w:p w14:paraId="434BF0A2" w14:textId="77777777" w:rsidR="00143820" w:rsidRDefault="00143820" w:rsidP="00DD1EB6">
      <w:pPr>
        <w:pStyle w:val="Odstavecseseznamem"/>
        <w:numPr>
          <w:ilvl w:val="0"/>
          <w:numId w:val="20"/>
        </w:numPr>
      </w:pPr>
      <w:r>
        <w:t>Obce, ve kterých se nacházejí byty napojené na veřejnou kanalizaci</w:t>
      </w:r>
    </w:p>
    <w:p w14:paraId="535B3D6F" w14:textId="77777777" w:rsidR="002507F9" w:rsidRDefault="002507F9" w:rsidP="002507F9">
      <w:pPr>
        <w:pStyle w:val="Odstavecseseznamem"/>
        <w:ind w:firstLine="0"/>
      </w:pPr>
    </w:p>
    <w:p w14:paraId="6E50B798" w14:textId="77777777" w:rsidR="00143820" w:rsidRPr="004B694B" w:rsidRDefault="00143820" w:rsidP="004B694B">
      <w:pPr>
        <w:pStyle w:val="Titulek"/>
        <w:keepNext/>
        <w:spacing w:after="0"/>
        <w:ind w:firstLine="0"/>
        <w:rPr>
          <w:rFonts w:asciiTheme="minorHAnsi" w:eastAsiaTheme="minorEastAsia" w:hAnsiTheme="minorHAnsi" w:cstheme="minorBidi"/>
          <w:b/>
          <w:bCs/>
          <w:i w:val="0"/>
          <w:iCs w:val="0"/>
          <w:color w:val="auto"/>
          <w:sz w:val="22"/>
          <w:szCs w:val="22"/>
        </w:rPr>
      </w:pPr>
      <w:bookmarkStart w:id="212" w:name="_Toc522869021"/>
      <w:r w:rsidRPr="004B694B">
        <w:rPr>
          <w:rFonts w:asciiTheme="minorHAnsi" w:eastAsiaTheme="minorEastAsia" w:hAnsiTheme="minorHAnsi" w:cstheme="minorBidi"/>
          <w:b/>
          <w:bCs/>
          <w:i w:val="0"/>
          <w:iCs w:val="0"/>
          <w:color w:val="auto"/>
          <w:sz w:val="22"/>
          <w:szCs w:val="22"/>
        </w:rPr>
        <w:t xml:space="preserve">Tabulka </w:t>
      </w:r>
      <w:r w:rsidR="002507F9">
        <w:rPr>
          <w:rFonts w:asciiTheme="minorHAnsi" w:eastAsiaTheme="minorEastAsia" w:hAnsiTheme="minorHAnsi" w:cstheme="minorBidi"/>
          <w:b/>
          <w:bCs/>
          <w:i w:val="0"/>
          <w:iCs w:val="0"/>
          <w:color w:val="auto"/>
          <w:sz w:val="22"/>
          <w:szCs w:val="22"/>
        </w:rPr>
        <w:t>7.</w:t>
      </w:r>
      <w:r w:rsidR="00E34D45">
        <w:rPr>
          <w:rFonts w:asciiTheme="minorHAnsi" w:eastAsiaTheme="minorEastAsia" w:hAnsiTheme="minorHAnsi" w:cstheme="minorBidi"/>
          <w:b/>
          <w:bCs/>
          <w:i w:val="0"/>
          <w:iCs w:val="0"/>
          <w:color w:val="auto"/>
          <w:sz w:val="22"/>
          <w:szCs w:val="22"/>
        </w:rPr>
        <w:fldChar w:fldCharType="begin"/>
      </w:r>
      <w:r w:rsidR="00E34D45">
        <w:rPr>
          <w:rFonts w:asciiTheme="minorHAnsi" w:eastAsiaTheme="minorEastAsia" w:hAnsiTheme="minorHAnsi" w:cstheme="minorBidi"/>
          <w:b/>
          <w:bCs/>
          <w:i w:val="0"/>
          <w:iCs w:val="0"/>
          <w:color w:val="auto"/>
          <w:sz w:val="22"/>
          <w:szCs w:val="22"/>
        </w:rPr>
        <w:instrText xml:space="preserve"> STYLEREF 1 \s </w:instrText>
      </w:r>
      <w:r w:rsidR="00E34D45">
        <w:rPr>
          <w:rFonts w:asciiTheme="minorHAnsi" w:eastAsiaTheme="minorEastAsia" w:hAnsiTheme="minorHAnsi" w:cstheme="minorBidi"/>
          <w:b/>
          <w:bCs/>
          <w:i w:val="0"/>
          <w:iCs w:val="0"/>
          <w:color w:val="auto"/>
          <w:sz w:val="22"/>
          <w:szCs w:val="22"/>
        </w:rPr>
        <w:fldChar w:fldCharType="separate"/>
      </w:r>
      <w:r w:rsidR="00E34D45">
        <w:rPr>
          <w:rFonts w:asciiTheme="minorHAnsi" w:eastAsiaTheme="minorEastAsia" w:hAnsiTheme="minorHAnsi" w:cstheme="minorBidi"/>
          <w:b/>
          <w:bCs/>
          <w:i w:val="0"/>
          <w:iCs w:val="0"/>
          <w:noProof/>
          <w:color w:val="auto"/>
          <w:sz w:val="22"/>
          <w:szCs w:val="22"/>
        </w:rPr>
        <w:t>5</w:t>
      </w:r>
      <w:r w:rsidR="00E34D45">
        <w:rPr>
          <w:rFonts w:asciiTheme="minorHAnsi" w:eastAsiaTheme="minorEastAsia" w:hAnsiTheme="minorHAnsi" w:cstheme="minorBidi"/>
          <w:b/>
          <w:bCs/>
          <w:i w:val="0"/>
          <w:iCs w:val="0"/>
          <w:color w:val="auto"/>
          <w:sz w:val="22"/>
          <w:szCs w:val="22"/>
        </w:rPr>
        <w:fldChar w:fldCharType="end"/>
      </w:r>
      <w:r w:rsidR="00E34D45">
        <w:rPr>
          <w:rFonts w:asciiTheme="minorHAnsi" w:eastAsiaTheme="minorEastAsia" w:hAnsiTheme="minorHAnsi" w:cstheme="minorBidi"/>
          <w:b/>
          <w:bCs/>
          <w:i w:val="0"/>
          <w:iCs w:val="0"/>
          <w:color w:val="auto"/>
          <w:sz w:val="22"/>
          <w:szCs w:val="22"/>
        </w:rPr>
        <w:t>.</w:t>
      </w:r>
      <w:r w:rsidR="00776DDB">
        <w:rPr>
          <w:rFonts w:asciiTheme="minorHAnsi" w:eastAsiaTheme="minorEastAsia" w:hAnsiTheme="minorHAnsi" w:cstheme="minorBidi"/>
          <w:b/>
          <w:bCs/>
          <w:i w:val="0"/>
          <w:iCs w:val="0"/>
          <w:color w:val="auto"/>
          <w:sz w:val="22"/>
          <w:szCs w:val="22"/>
        </w:rPr>
        <w:t>2</w:t>
      </w:r>
      <w:r w:rsidRPr="004B694B">
        <w:rPr>
          <w:rFonts w:asciiTheme="minorHAnsi" w:eastAsiaTheme="minorEastAsia" w:hAnsiTheme="minorHAnsi" w:cstheme="minorBidi"/>
          <w:b/>
          <w:bCs/>
          <w:i w:val="0"/>
          <w:iCs w:val="0"/>
          <w:color w:val="auto"/>
          <w:sz w:val="22"/>
          <w:szCs w:val="22"/>
        </w:rPr>
        <w:t>: Podíl obcí vybavených kanalizací v roce 2016</w:t>
      </w:r>
      <w:bookmarkEnd w:id="212"/>
    </w:p>
    <w:p w14:paraId="29A02E1E" w14:textId="77777777" w:rsidR="00143820" w:rsidRDefault="00143820" w:rsidP="00454E1D">
      <w:pPr>
        <w:ind w:firstLine="0"/>
      </w:pPr>
      <w:r w:rsidRPr="00577657">
        <w:rPr>
          <w:noProof/>
        </w:rPr>
        <w:drawing>
          <wp:inline distT="0" distB="0" distL="0" distR="0" wp14:anchorId="2A141C2D" wp14:editId="6089A970">
            <wp:extent cx="4410075" cy="3057525"/>
            <wp:effectExtent l="0" t="0" r="9525" b="952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10075" cy="3057525"/>
                    </a:xfrm>
                    <a:prstGeom prst="rect">
                      <a:avLst/>
                    </a:prstGeom>
                    <a:noFill/>
                    <a:ln>
                      <a:noFill/>
                    </a:ln>
                  </pic:spPr>
                </pic:pic>
              </a:graphicData>
            </a:graphic>
          </wp:inline>
        </w:drawing>
      </w:r>
    </w:p>
    <w:p w14:paraId="0115FDF5" w14:textId="77777777" w:rsidR="00143820" w:rsidRPr="004B694B" w:rsidRDefault="00143820"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 ČSÚ (Veřejná databáze)</w:t>
      </w:r>
    </w:p>
    <w:p w14:paraId="43BC574D" w14:textId="77777777" w:rsidR="00143820" w:rsidRDefault="00143820" w:rsidP="00454E1D">
      <w:pPr>
        <w:ind w:firstLine="708"/>
      </w:pPr>
      <w:r>
        <w:lastRenderedPageBreak/>
        <w:t>V Česku je připojeno na veřejnou kanalizaci průměrně 75 % venkovských obcí (ČSÚ, 2016). Nejvyšší podíl venkovských obcí napojených na veřejnou kanalizaci je v Karlovarském a Zlínském kraji (92 %). Nejméně obcí s veřejnou kanalizací je v Pardubickém a Středočeském kraji (61 %). Rozdíl mezi podílem vybavených malých obcí a všech obcí kanalizací je ve většině krajů do 4 %, pouze u Libereckého a Moravskoslezského tvoří přes 9 %.</w:t>
      </w:r>
    </w:p>
    <w:p w14:paraId="2B6E00C3" w14:textId="77777777" w:rsidR="002507F9" w:rsidRDefault="002507F9" w:rsidP="00454E1D">
      <w:pPr>
        <w:ind w:firstLine="708"/>
      </w:pPr>
    </w:p>
    <w:p w14:paraId="36200B56" w14:textId="77777777" w:rsidR="00143820" w:rsidRDefault="00143820" w:rsidP="00DD1EB6">
      <w:pPr>
        <w:pStyle w:val="Odstavecseseznamem"/>
        <w:numPr>
          <w:ilvl w:val="0"/>
          <w:numId w:val="20"/>
        </w:numPr>
      </w:pPr>
      <w:r>
        <w:t>Obce, ve kterých se nachází byty napojené na veřejnou kanalizaci s napojením na ČOV</w:t>
      </w:r>
    </w:p>
    <w:p w14:paraId="065FBB90" w14:textId="77777777" w:rsidR="00454E1D" w:rsidRDefault="00454E1D" w:rsidP="00454E1D">
      <w:pPr>
        <w:pStyle w:val="Odstavecseseznamem"/>
        <w:spacing w:before="0" w:after="160" w:line="259" w:lineRule="auto"/>
        <w:ind w:firstLine="0"/>
      </w:pPr>
    </w:p>
    <w:p w14:paraId="21AB2435" w14:textId="77777777" w:rsidR="00143820" w:rsidRPr="004B694B" w:rsidRDefault="00143820" w:rsidP="004B694B">
      <w:pPr>
        <w:pStyle w:val="Titulek"/>
        <w:keepNext/>
        <w:spacing w:after="0"/>
        <w:ind w:firstLine="0"/>
        <w:rPr>
          <w:rFonts w:asciiTheme="minorHAnsi" w:eastAsiaTheme="minorEastAsia" w:hAnsiTheme="minorHAnsi" w:cstheme="minorBidi"/>
          <w:b/>
          <w:bCs/>
          <w:i w:val="0"/>
          <w:iCs w:val="0"/>
          <w:color w:val="auto"/>
          <w:sz w:val="22"/>
          <w:szCs w:val="22"/>
        </w:rPr>
      </w:pPr>
      <w:bookmarkStart w:id="213" w:name="_Toc522869022"/>
      <w:r w:rsidRPr="004B694B">
        <w:rPr>
          <w:rFonts w:asciiTheme="minorHAnsi" w:eastAsiaTheme="minorEastAsia" w:hAnsiTheme="minorHAnsi" w:cstheme="minorBidi"/>
          <w:b/>
          <w:bCs/>
          <w:i w:val="0"/>
          <w:iCs w:val="0"/>
          <w:color w:val="auto"/>
          <w:sz w:val="22"/>
          <w:szCs w:val="22"/>
        </w:rPr>
        <w:t xml:space="preserve">Tabulka </w:t>
      </w:r>
      <w:r w:rsidR="002507F9">
        <w:rPr>
          <w:rFonts w:asciiTheme="minorHAnsi" w:eastAsiaTheme="minorEastAsia" w:hAnsiTheme="minorHAnsi" w:cstheme="minorBidi"/>
          <w:b/>
          <w:bCs/>
          <w:i w:val="0"/>
          <w:iCs w:val="0"/>
          <w:color w:val="auto"/>
          <w:sz w:val="22"/>
          <w:szCs w:val="22"/>
        </w:rPr>
        <w:t>7.</w:t>
      </w:r>
      <w:r w:rsidR="00E34D45">
        <w:rPr>
          <w:rFonts w:asciiTheme="minorHAnsi" w:eastAsiaTheme="minorEastAsia" w:hAnsiTheme="minorHAnsi" w:cstheme="minorBidi"/>
          <w:b/>
          <w:bCs/>
          <w:i w:val="0"/>
          <w:iCs w:val="0"/>
          <w:color w:val="auto"/>
          <w:sz w:val="22"/>
          <w:szCs w:val="22"/>
        </w:rPr>
        <w:fldChar w:fldCharType="begin"/>
      </w:r>
      <w:r w:rsidR="00E34D45">
        <w:rPr>
          <w:rFonts w:asciiTheme="minorHAnsi" w:eastAsiaTheme="minorEastAsia" w:hAnsiTheme="minorHAnsi" w:cstheme="minorBidi"/>
          <w:b/>
          <w:bCs/>
          <w:i w:val="0"/>
          <w:iCs w:val="0"/>
          <w:color w:val="auto"/>
          <w:sz w:val="22"/>
          <w:szCs w:val="22"/>
        </w:rPr>
        <w:instrText xml:space="preserve"> STYLEREF 1 \s </w:instrText>
      </w:r>
      <w:r w:rsidR="00E34D45">
        <w:rPr>
          <w:rFonts w:asciiTheme="minorHAnsi" w:eastAsiaTheme="minorEastAsia" w:hAnsiTheme="minorHAnsi" w:cstheme="minorBidi"/>
          <w:b/>
          <w:bCs/>
          <w:i w:val="0"/>
          <w:iCs w:val="0"/>
          <w:color w:val="auto"/>
          <w:sz w:val="22"/>
          <w:szCs w:val="22"/>
        </w:rPr>
        <w:fldChar w:fldCharType="separate"/>
      </w:r>
      <w:r w:rsidR="00E34D45">
        <w:rPr>
          <w:rFonts w:asciiTheme="minorHAnsi" w:eastAsiaTheme="minorEastAsia" w:hAnsiTheme="minorHAnsi" w:cstheme="minorBidi"/>
          <w:b/>
          <w:bCs/>
          <w:i w:val="0"/>
          <w:iCs w:val="0"/>
          <w:noProof/>
          <w:color w:val="auto"/>
          <w:sz w:val="22"/>
          <w:szCs w:val="22"/>
        </w:rPr>
        <w:t>5</w:t>
      </w:r>
      <w:r w:rsidR="00E34D45">
        <w:rPr>
          <w:rFonts w:asciiTheme="minorHAnsi" w:eastAsiaTheme="minorEastAsia" w:hAnsiTheme="minorHAnsi" w:cstheme="minorBidi"/>
          <w:b/>
          <w:bCs/>
          <w:i w:val="0"/>
          <w:iCs w:val="0"/>
          <w:color w:val="auto"/>
          <w:sz w:val="22"/>
          <w:szCs w:val="22"/>
        </w:rPr>
        <w:fldChar w:fldCharType="end"/>
      </w:r>
      <w:r w:rsidR="00E34D45">
        <w:rPr>
          <w:rFonts w:asciiTheme="minorHAnsi" w:eastAsiaTheme="minorEastAsia" w:hAnsiTheme="minorHAnsi" w:cstheme="minorBidi"/>
          <w:b/>
          <w:bCs/>
          <w:i w:val="0"/>
          <w:iCs w:val="0"/>
          <w:color w:val="auto"/>
          <w:sz w:val="22"/>
          <w:szCs w:val="22"/>
        </w:rPr>
        <w:t>.</w:t>
      </w:r>
      <w:r w:rsidR="00776DDB">
        <w:rPr>
          <w:rFonts w:asciiTheme="minorHAnsi" w:eastAsiaTheme="minorEastAsia" w:hAnsiTheme="minorHAnsi" w:cstheme="minorBidi"/>
          <w:b/>
          <w:bCs/>
          <w:i w:val="0"/>
          <w:iCs w:val="0"/>
          <w:color w:val="auto"/>
          <w:sz w:val="22"/>
          <w:szCs w:val="22"/>
        </w:rPr>
        <w:t>3</w:t>
      </w:r>
      <w:r w:rsidRPr="004B694B">
        <w:rPr>
          <w:rFonts w:asciiTheme="minorHAnsi" w:eastAsiaTheme="minorEastAsia" w:hAnsiTheme="minorHAnsi" w:cstheme="minorBidi"/>
          <w:b/>
          <w:bCs/>
          <w:i w:val="0"/>
          <w:iCs w:val="0"/>
          <w:color w:val="auto"/>
          <w:sz w:val="22"/>
          <w:szCs w:val="22"/>
        </w:rPr>
        <w:t>: Podíl obcí vybavených kanalizací s napojením na ČOV v roce 2016</w:t>
      </w:r>
      <w:bookmarkEnd w:id="213"/>
    </w:p>
    <w:p w14:paraId="3D98D521" w14:textId="77777777" w:rsidR="00143820" w:rsidRDefault="00143820" w:rsidP="00454E1D">
      <w:pPr>
        <w:ind w:firstLine="0"/>
      </w:pPr>
      <w:r w:rsidRPr="00F7398A">
        <w:rPr>
          <w:noProof/>
        </w:rPr>
        <w:drawing>
          <wp:inline distT="0" distB="0" distL="0" distR="0" wp14:anchorId="1C360548" wp14:editId="5F755B98">
            <wp:extent cx="4410075" cy="3057525"/>
            <wp:effectExtent l="0" t="0" r="9525" b="952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10075" cy="3057525"/>
                    </a:xfrm>
                    <a:prstGeom prst="rect">
                      <a:avLst/>
                    </a:prstGeom>
                    <a:noFill/>
                    <a:ln>
                      <a:noFill/>
                    </a:ln>
                  </pic:spPr>
                </pic:pic>
              </a:graphicData>
            </a:graphic>
          </wp:inline>
        </w:drawing>
      </w:r>
    </w:p>
    <w:p w14:paraId="2B351E98" w14:textId="77777777" w:rsidR="00143820" w:rsidRPr="004B694B" w:rsidRDefault="00143820"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 ČSÚ (Veřejná databáze)</w:t>
      </w:r>
    </w:p>
    <w:p w14:paraId="2FE36B43" w14:textId="77777777" w:rsidR="00143820" w:rsidRDefault="00143820" w:rsidP="00454E1D">
      <w:r>
        <w:t>Necelá polovina venkovských obcí v Česku je vybavena kanalizací s napojením na ČOV. Nejvyšší podíl obcí s vlastní ČOV má Karlovarský kraj, a to 80 %. Naopak nejnižší podíl obcí vybavených kanalizací s napojením na ČOV má kraj Vysočina, pouhých 34 %.</w:t>
      </w:r>
    </w:p>
    <w:p w14:paraId="4296AC1A" w14:textId="77777777" w:rsidR="002507F9" w:rsidRDefault="002507F9" w:rsidP="00454E1D"/>
    <w:p w14:paraId="29553538" w14:textId="77777777" w:rsidR="002507F9" w:rsidRDefault="002507F9" w:rsidP="00454E1D"/>
    <w:p w14:paraId="44E75BAB" w14:textId="77777777" w:rsidR="002507F9" w:rsidRDefault="002507F9" w:rsidP="00454E1D"/>
    <w:p w14:paraId="7AB47D0B" w14:textId="77777777" w:rsidR="002507F9" w:rsidRDefault="002507F9" w:rsidP="00454E1D"/>
    <w:p w14:paraId="792E0B99" w14:textId="77777777" w:rsidR="002507F9" w:rsidRDefault="002507F9" w:rsidP="00454E1D"/>
    <w:p w14:paraId="767FEF7B" w14:textId="77777777" w:rsidR="002507F9" w:rsidRDefault="002507F9" w:rsidP="00454E1D"/>
    <w:p w14:paraId="2513281D" w14:textId="77777777" w:rsidR="002507F9" w:rsidRDefault="002507F9" w:rsidP="00454E1D"/>
    <w:p w14:paraId="6AF69FB3" w14:textId="77777777" w:rsidR="002507F9" w:rsidRDefault="002507F9" w:rsidP="00454E1D"/>
    <w:p w14:paraId="12597497" w14:textId="77777777" w:rsidR="002507F9" w:rsidRDefault="002507F9" w:rsidP="00454E1D"/>
    <w:p w14:paraId="0CDA8153" w14:textId="77777777" w:rsidR="002507F9" w:rsidRDefault="002507F9" w:rsidP="00454E1D"/>
    <w:p w14:paraId="35A01708" w14:textId="77777777" w:rsidR="00143820" w:rsidRDefault="00143820" w:rsidP="00DD1EB6">
      <w:pPr>
        <w:pStyle w:val="Odstavecseseznamem"/>
        <w:numPr>
          <w:ilvl w:val="0"/>
          <w:numId w:val="20"/>
        </w:numPr>
      </w:pPr>
      <w:r>
        <w:lastRenderedPageBreak/>
        <w:t xml:space="preserve">Obce, ve kterých se nachází byty napojené na veřejný vodovod </w:t>
      </w:r>
    </w:p>
    <w:p w14:paraId="59A06B7E" w14:textId="77777777" w:rsidR="00454E1D" w:rsidRDefault="00454E1D" w:rsidP="00454E1D">
      <w:pPr>
        <w:pStyle w:val="Odstavecseseznamem"/>
        <w:ind w:firstLine="0"/>
      </w:pPr>
    </w:p>
    <w:p w14:paraId="7A489597" w14:textId="77777777" w:rsidR="00143820" w:rsidRPr="004B694B" w:rsidRDefault="00143820" w:rsidP="004B694B">
      <w:pPr>
        <w:pStyle w:val="Titulek"/>
        <w:keepNext/>
        <w:spacing w:after="0"/>
        <w:ind w:firstLine="0"/>
        <w:rPr>
          <w:rFonts w:asciiTheme="minorHAnsi" w:eastAsiaTheme="minorEastAsia" w:hAnsiTheme="minorHAnsi" w:cstheme="minorBidi"/>
          <w:b/>
          <w:bCs/>
          <w:i w:val="0"/>
          <w:iCs w:val="0"/>
          <w:color w:val="auto"/>
          <w:sz w:val="22"/>
          <w:szCs w:val="22"/>
        </w:rPr>
      </w:pPr>
      <w:bookmarkStart w:id="214" w:name="_Toc522869023"/>
      <w:r w:rsidRPr="004B694B">
        <w:rPr>
          <w:rFonts w:asciiTheme="minorHAnsi" w:eastAsiaTheme="minorEastAsia" w:hAnsiTheme="minorHAnsi" w:cstheme="minorBidi"/>
          <w:b/>
          <w:bCs/>
          <w:i w:val="0"/>
          <w:iCs w:val="0"/>
          <w:color w:val="auto"/>
          <w:sz w:val="22"/>
          <w:szCs w:val="22"/>
        </w:rPr>
        <w:t xml:space="preserve">Tabulka </w:t>
      </w:r>
      <w:r w:rsidR="002507F9">
        <w:rPr>
          <w:rFonts w:asciiTheme="minorHAnsi" w:eastAsiaTheme="minorEastAsia" w:hAnsiTheme="minorHAnsi" w:cstheme="minorBidi"/>
          <w:b/>
          <w:bCs/>
          <w:i w:val="0"/>
          <w:iCs w:val="0"/>
          <w:color w:val="auto"/>
          <w:sz w:val="22"/>
          <w:szCs w:val="22"/>
        </w:rPr>
        <w:t>7.</w:t>
      </w:r>
      <w:r w:rsidR="00E34D45">
        <w:rPr>
          <w:rFonts w:asciiTheme="minorHAnsi" w:eastAsiaTheme="minorEastAsia" w:hAnsiTheme="minorHAnsi" w:cstheme="minorBidi"/>
          <w:b/>
          <w:bCs/>
          <w:i w:val="0"/>
          <w:iCs w:val="0"/>
          <w:color w:val="auto"/>
          <w:sz w:val="22"/>
          <w:szCs w:val="22"/>
        </w:rPr>
        <w:fldChar w:fldCharType="begin"/>
      </w:r>
      <w:r w:rsidR="00E34D45">
        <w:rPr>
          <w:rFonts w:asciiTheme="minorHAnsi" w:eastAsiaTheme="minorEastAsia" w:hAnsiTheme="minorHAnsi" w:cstheme="minorBidi"/>
          <w:b/>
          <w:bCs/>
          <w:i w:val="0"/>
          <w:iCs w:val="0"/>
          <w:color w:val="auto"/>
          <w:sz w:val="22"/>
          <w:szCs w:val="22"/>
        </w:rPr>
        <w:instrText xml:space="preserve"> STYLEREF 1 \s </w:instrText>
      </w:r>
      <w:r w:rsidR="00E34D45">
        <w:rPr>
          <w:rFonts w:asciiTheme="minorHAnsi" w:eastAsiaTheme="minorEastAsia" w:hAnsiTheme="minorHAnsi" w:cstheme="minorBidi"/>
          <w:b/>
          <w:bCs/>
          <w:i w:val="0"/>
          <w:iCs w:val="0"/>
          <w:color w:val="auto"/>
          <w:sz w:val="22"/>
          <w:szCs w:val="22"/>
        </w:rPr>
        <w:fldChar w:fldCharType="separate"/>
      </w:r>
      <w:r w:rsidR="00E34D45">
        <w:rPr>
          <w:rFonts w:asciiTheme="minorHAnsi" w:eastAsiaTheme="minorEastAsia" w:hAnsiTheme="minorHAnsi" w:cstheme="minorBidi"/>
          <w:b/>
          <w:bCs/>
          <w:i w:val="0"/>
          <w:iCs w:val="0"/>
          <w:noProof/>
          <w:color w:val="auto"/>
          <w:sz w:val="22"/>
          <w:szCs w:val="22"/>
        </w:rPr>
        <w:t>5</w:t>
      </w:r>
      <w:r w:rsidR="00E34D45">
        <w:rPr>
          <w:rFonts w:asciiTheme="minorHAnsi" w:eastAsiaTheme="minorEastAsia" w:hAnsiTheme="minorHAnsi" w:cstheme="minorBidi"/>
          <w:b/>
          <w:bCs/>
          <w:i w:val="0"/>
          <w:iCs w:val="0"/>
          <w:color w:val="auto"/>
          <w:sz w:val="22"/>
          <w:szCs w:val="22"/>
        </w:rPr>
        <w:fldChar w:fldCharType="end"/>
      </w:r>
      <w:r w:rsidR="00E34D45">
        <w:rPr>
          <w:rFonts w:asciiTheme="minorHAnsi" w:eastAsiaTheme="minorEastAsia" w:hAnsiTheme="minorHAnsi" w:cstheme="minorBidi"/>
          <w:b/>
          <w:bCs/>
          <w:i w:val="0"/>
          <w:iCs w:val="0"/>
          <w:color w:val="auto"/>
          <w:sz w:val="22"/>
          <w:szCs w:val="22"/>
        </w:rPr>
        <w:t>.</w:t>
      </w:r>
      <w:r w:rsidR="00776DDB">
        <w:rPr>
          <w:rFonts w:asciiTheme="minorHAnsi" w:eastAsiaTheme="minorEastAsia" w:hAnsiTheme="minorHAnsi" w:cstheme="minorBidi"/>
          <w:b/>
          <w:bCs/>
          <w:i w:val="0"/>
          <w:iCs w:val="0"/>
          <w:color w:val="auto"/>
          <w:sz w:val="22"/>
          <w:szCs w:val="22"/>
        </w:rPr>
        <w:t>4</w:t>
      </w:r>
      <w:r w:rsidRPr="004B694B">
        <w:rPr>
          <w:rFonts w:asciiTheme="minorHAnsi" w:eastAsiaTheme="minorEastAsia" w:hAnsiTheme="minorHAnsi" w:cstheme="minorBidi"/>
          <w:b/>
          <w:bCs/>
          <w:i w:val="0"/>
          <w:iCs w:val="0"/>
          <w:color w:val="auto"/>
          <w:sz w:val="22"/>
          <w:szCs w:val="22"/>
        </w:rPr>
        <w:t>: Podíl obcí vybavených veřejným vodovodem v roce 2016</w:t>
      </w:r>
      <w:bookmarkEnd w:id="214"/>
    </w:p>
    <w:p w14:paraId="4D9FB35F" w14:textId="77777777" w:rsidR="00143820" w:rsidRDefault="00143820" w:rsidP="00454E1D">
      <w:pPr>
        <w:ind w:firstLine="0"/>
      </w:pPr>
      <w:r w:rsidRPr="00F7398A">
        <w:rPr>
          <w:noProof/>
        </w:rPr>
        <w:drawing>
          <wp:inline distT="0" distB="0" distL="0" distR="0" wp14:anchorId="3447B827" wp14:editId="3E707327">
            <wp:extent cx="4410075" cy="3219450"/>
            <wp:effectExtent l="0" t="0" r="9525"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10075" cy="3219450"/>
                    </a:xfrm>
                    <a:prstGeom prst="rect">
                      <a:avLst/>
                    </a:prstGeom>
                    <a:noFill/>
                    <a:ln>
                      <a:noFill/>
                    </a:ln>
                  </pic:spPr>
                </pic:pic>
              </a:graphicData>
            </a:graphic>
          </wp:inline>
        </w:drawing>
      </w:r>
    </w:p>
    <w:p w14:paraId="02B1248C" w14:textId="77777777" w:rsidR="00143820" w:rsidRPr="004B694B" w:rsidRDefault="00143820"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 ČSÚ (Veřejná databáze)</w:t>
      </w:r>
    </w:p>
    <w:p w14:paraId="60D3CAF3" w14:textId="77777777" w:rsidR="00454E1D" w:rsidRDefault="00454E1D" w:rsidP="00143820">
      <w:pPr>
        <w:ind w:firstLine="708"/>
      </w:pPr>
    </w:p>
    <w:p w14:paraId="381DC00B" w14:textId="77777777" w:rsidR="00143820" w:rsidRDefault="00143820" w:rsidP="00454E1D">
      <w:pPr>
        <w:ind w:firstLine="708"/>
      </w:pPr>
      <w:r>
        <w:t>Na veřejný vodovod je napojeno 87 % obcí s méně než 2 000 obyvateli. Nejvyšší podíl napojených venkovských obcí má Moravskoslezský kraj. Další kraje, které mají napojeno více než 90 % obcí jsou Karlovarský, Ústecký, Liberecký, Pardubický, Jihomoravský, Olomoucký a Zlínský. Nejmenší podíl obcí napojených na veřejný vodovod má Plzeňský kraj (72 %).</w:t>
      </w:r>
    </w:p>
    <w:p w14:paraId="685D48D3" w14:textId="77777777" w:rsidR="002507F9" w:rsidRDefault="002507F9" w:rsidP="00454E1D">
      <w:pPr>
        <w:ind w:firstLine="708"/>
      </w:pPr>
    </w:p>
    <w:p w14:paraId="5DBFB6E5" w14:textId="77777777" w:rsidR="002507F9" w:rsidRDefault="002507F9" w:rsidP="00454E1D">
      <w:pPr>
        <w:ind w:firstLine="708"/>
      </w:pPr>
    </w:p>
    <w:p w14:paraId="1ED84CC7" w14:textId="77777777" w:rsidR="002507F9" w:rsidRDefault="002507F9" w:rsidP="00454E1D">
      <w:pPr>
        <w:ind w:firstLine="708"/>
      </w:pPr>
    </w:p>
    <w:p w14:paraId="6B06431C" w14:textId="77777777" w:rsidR="002507F9" w:rsidRDefault="002507F9" w:rsidP="00454E1D">
      <w:pPr>
        <w:ind w:firstLine="708"/>
      </w:pPr>
    </w:p>
    <w:p w14:paraId="6A497AB0" w14:textId="77777777" w:rsidR="002507F9" w:rsidRDefault="002507F9" w:rsidP="00454E1D">
      <w:pPr>
        <w:ind w:firstLine="708"/>
      </w:pPr>
    </w:p>
    <w:p w14:paraId="1FF492F9" w14:textId="77777777" w:rsidR="002507F9" w:rsidRDefault="002507F9" w:rsidP="00454E1D">
      <w:pPr>
        <w:ind w:firstLine="708"/>
      </w:pPr>
    </w:p>
    <w:p w14:paraId="04B7168E" w14:textId="77777777" w:rsidR="002507F9" w:rsidRDefault="002507F9" w:rsidP="00454E1D">
      <w:pPr>
        <w:ind w:firstLine="708"/>
      </w:pPr>
    </w:p>
    <w:p w14:paraId="7EE8EC9F" w14:textId="77777777" w:rsidR="002507F9" w:rsidRDefault="002507F9" w:rsidP="00454E1D">
      <w:pPr>
        <w:ind w:firstLine="708"/>
      </w:pPr>
    </w:p>
    <w:p w14:paraId="48CA81F4" w14:textId="77777777" w:rsidR="002507F9" w:rsidRDefault="002507F9" w:rsidP="00454E1D">
      <w:pPr>
        <w:ind w:firstLine="708"/>
      </w:pPr>
    </w:p>
    <w:p w14:paraId="1BE84097" w14:textId="77777777" w:rsidR="002507F9" w:rsidRDefault="002507F9" w:rsidP="00454E1D">
      <w:pPr>
        <w:ind w:firstLine="708"/>
      </w:pPr>
    </w:p>
    <w:p w14:paraId="38029741" w14:textId="77777777" w:rsidR="002507F9" w:rsidRDefault="002507F9" w:rsidP="00454E1D">
      <w:pPr>
        <w:ind w:firstLine="708"/>
      </w:pPr>
    </w:p>
    <w:p w14:paraId="56716D82" w14:textId="77777777" w:rsidR="002507F9" w:rsidRDefault="002507F9" w:rsidP="00454E1D">
      <w:pPr>
        <w:ind w:firstLine="708"/>
      </w:pPr>
    </w:p>
    <w:p w14:paraId="5882E659" w14:textId="77777777" w:rsidR="002507F9" w:rsidRDefault="002507F9" w:rsidP="00454E1D">
      <w:pPr>
        <w:ind w:firstLine="708"/>
      </w:pPr>
    </w:p>
    <w:p w14:paraId="30CBC12B" w14:textId="77777777" w:rsidR="00143820" w:rsidRDefault="00143820" w:rsidP="00DD1EB6">
      <w:pPr>
        <w:pStyle w:val="Odstavecseseznamem"/>
        <w:numPr>
          <w:ilvl w:val="0"/>
          <w:numId w:val="20"/>
        </w:numPr>
      </w:pPr>
      <w:r>
        <w:lastRenderedPageBreak/>
        <w:t>Obce, ve kterých se nachází byty napojené na veřejný rozvod plynu</w:t>
      </w:r>
    </w:p>
    <w:p w14:paraId="13BE6A7C" w14:textId="77777777" w:rsidR="002507F9" w:rsidRDefault="002507F9" w:rsidP="002507F9">
      <w:pPr>
        <w:pStyle w:val="Odstavecseseznamem"/>
        <w:ind w:firstLine="0"/>
      </w:pPr>
    </w:p>
    <w:p w14:paraId="0B07E50D" w14:textId="77777777" w:rsidR="00143820" w:rsidRPr="004B694B" w:rsidRDefault="00143820" w:rsidP="004B694B">
      <w:pPr>
        <w:pStyle w:val="Titulek"/>
        <w:keepNext/>
        <w:spacing w:after="0"/>
        <w:ind w:firstLine="0"/>
        <w:rPr>
          <w:rFonts w:asciiTheme="minorHAnsi" w:eastAsiaTheme="minorEastAsia" w:hAnsiTheme="minorHAnsi" w:cstheme="minorBidi"/>
          <w:b/>
          <w:bCs/>
          <w:i w:val="0"/>
          <w:iCs w:val="0"/>
          <w:color w:val="auto"/>
          <w:sz w:val="22"/>
          <w:szCs w:val="22"/>
        </w:rPr>
      </w:pPr>
      <w:bookmarkStart w:id="215" w:name="_Toc522869024"/>
      <w:r w:rsidRPr="004B694B">
        <w:rPr>
          <w:rFonts w:asciiTheme="minorHAnsi" w:eastAsiaTheme="minorEastAsia" w:hAnsiTheme="minorHAnsi" w:cstheme="minorBidi"/>
          <w:b/>
          <w:bCs/>
          <w:i w:val="0"/>
          <w:iCs w:val="0"/>
          <w:color w:val="auto"/>
          <w:sz w:val="22"/>
          <w:szCs w:val="22"/>
        </w:rPr>
        <w:t xml:space="preserve">Tabulka </w:t>
      </w:r>
      <w:r w:rsidR="002507F9">
        <w:rPr>
          <w:rFonts w:asciiTheme="minorHAnsi" w:eastAsiaTheme="minorEastAsia" w:hAnsiTheme="minorHAnsi" w:cstheme="minorBidi"/>
          <w:b/>
          <w:bCs/>
          <w:i w:val="0"/>
          <w:iCs w:val="0"/>
          <w:color w:val="auto"/>
          <w:sz w:val="22"/>
          <w:szCs w:val="22"/>
        </w:rPr>
        <w:t>7.</w:t>
      </w:r>
      <w:r w:rsidR="00E34D45">
        <w:rPr>
          <w:rFonts w:asciiTheme="minorHAnsi" w:eastAsiaTheme="minorEastAsia" w:hAnsiTheme="minorHAnsi" w:cstheme="minorBidi"/>
          <w:b/>
          <w:bCs/>
          <w:i w:val="0"/>
          <w:iCs w:val="0"/>
          <w:color w:val="auto"/>
          <w:sz w:val="22"/>
          <w:szCs w:val="22"/>
        </w:rPr>
        <w:fldChar w:fldCharType="begin"/>
      </w:r>
      <w:r w:rsidR="00E34D45">
        <w:rPr>
          <w:rFonts w:asciiTheme="minorHAnsi" w:eastAsiaTheme="minorEastAsia" w:hAnsiTheme="minorHAnsi" w:cstheme="minorBidi"/>
          <w:b/>
          <w:bCs/>
          <w:i w:val="0"/>
          <w:iCs w:val="0"/>
          <w:color w:val="auto"/>
          <w:sz w:val="22"/>
          <w:szCs w:val="22"/>
        </w:rPr>
        <w:instrText xml:space="preserve"> STYLEREF 1 \s </w:instrText>
      </w:r>
      <w:r w:rsidR="00E34D45">
        <w:rPr>
          <w:rFonts w:asciiTheme="minorHAnsi" w:eastAsiaTheme="minorEastAsia" w:hAnsiTheme="minorHAnsi" w:cstheme="minorBidi"/>
          <w:b/>
          <w:bCs/>
          <w:i w:val="0"/>
          <w:iCs w:val="0"/>
          <w:color w:val="auto"/>
          <w:sz w:val="22"/>
          <w:szCs w:val="22"/>
        </w:rPr>
        <w:fldChar w:fldCharType="separate"/>
      </w:r>
      <w:r w:rsidR="00E34D45">
        <w:rPr>
          <w:rFonts w:asciiTheme="minorHAnsi" w:eastAsiaTheme="minorEastAsia" w:hAnsiTheme="minorHAnsi" w:cstheme="minorBidi"/>
          <w:b/>
          <w:bCs/>
          <w:i w:val="0"/>
          <w:iCs w:val="0"/>
          <w:noProof/>
          <w:color w:val="auto"/>
          <w:sz w:val="22"/>
          <w:szCs w:val="22"/>
        </w:rPr>
        <w:t>5</w:t>
      </w:r>
      <w:r w:rsidR="00E34D45">
        <w:rPr>
          <w:rFonts w:asciiTheme="minorHAnsi" w:eastAsiaTheme="minorEastAsia" w:hAnsiTheme="minorHAnsi" w:cstheme="minorBidi"/>
          <w:b/>
          <w:bCs/>
          <w:i w:val="0"/>
          <w:iCs w:val="0"/>
          <w:color w:val="auto"/>
          <w:sz w:val="22"/>
          <w:szCs w:val="22"/>
        </w:rPr>
        <w:fldChar w:fldCharType="end"/>
      </w:r>
      <w:r w:rsidR="00E34D45">
        <w:rPr>
          <w:rFonts w:asciiTheme="minorHAnsi" w:eastAsiaTheme="minorEastAsia" w:hAnsiTheme="minorHAnsi" w:cstheme="minorBidi"/>
          <w:b/>
          <w:bCs/>
          <w:i w:val="0"/>
          <w:iCs w:val="0"/>
          <w:color w:val="auto"/>
          <w:sz w:val="22"/>
          <w:szCs w:val="22"/>
        </w:rPr>
        <w:t>.</w:t>
      </w:r>
      <w:r w:rsidR="00776DDB">
        <w:rPr>
          <w:rFonts w:asciiTheme="minorHAnsi" w:eastAsiaTheme="minorEastAsia" w:hAnsiTheme="minorHAnsi" w:cstheme="minorBidi"/>
          <w:b/>
          <w:bCs/>
          <w:i w:val="0"/>
          <w:iCs w:val="0"/>
          <w:color w:val="auto"/>
          <w:sz w:val="22"/>
          <w:szCs w:val="22"/>
        </w:rPr>
        <w:t>5</w:t>
      </w:r>
      <w:r w:rsidRPr="004B694B">
        <w:rPr>
          <w:rFonts w:asciiTheme="minorHAnsi" w:eastAsiaTheme="minorEastAsia" w:hAnsiTheme="minorHAnsi" w:cstheme="minorBidi"/>
          <w:b/>
          <w:bCs/>
          <w:i w:val="0"/>
          <w:iCs w:val="0"/>
          <w:color w:val="auto"/>
          <w:sz w:val="22"/>
          <w:szCs w:val="22"/>
        </w:rPr>
        <w:t>: Podíl obcí vybavených plynofikací v roce 2016</w:t>
      </w:r>
      <w:bookmarkEnd w:id="215"/>
    </w:p>
    <w:p w14:paraId="48EADA92" w14:textId="77777777" w:rsidR="00143820" w:rsidRDefault="00143820" w:rsidP="00454E1D">
      <w:pPr>
        <w:ind w:firstLine="0"/>
      </w:pPr>
      <w:r w:rsidRPr="00F7398A">
        <w:rPr>
          <w:noProof/>
        </w:rPr>
        <w:drawing>
          <wp:inline distT="0" distB="0" distL="0" distR="0" wp14:anchorId="7AFE87D7" wp14:editId="11AE39CC">
            <wp:extent cx="4410075" cy="3057525"/>
            <wp:effectExtent l="0" t="0" r="9525" b="952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10075" cy="3057525"/>
                    </a:xfrm>
                    <a:prstGeom prst="rect">
                      <a:avLst/>
                    </a:prstGeom>
                    <a:noFill/>
                    <a:ln>
                      <a:noFill/>
                    </a:ln>
                  </pic:spPr>
                </pic:pic>
              </a:graphicData>
            </a:graphic>
          </wp:inline>
        </w:drawing>
      </w:r>
    </w:p>
    <w:p w14:paraId="74CFEB60" w14:textId="77777777" w:rsidR="00143820" w:rsidRPr="004B694B" w:rsidRDefault="00143820"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 ČSÚ (Veřejná databáze)</w:t>
      </w:r>
    </w:p>
    <w:p w14:paraId="6785C7FF" w14:textId="77777777" w:rsidR="00454E1D" w:rsidRDefault="00454E1D" w:rsidP="00143820">
      <w:pPr>
        <w:ind w:firstLine="708"/>
      </w:pPr>
    </w:p>
    <w:p w14:paraId="125660E0" w14:textId="77777777" w:rsidR="00143820" w:rsidRDefault="00143820" w:rsidP="00143820">
      <w:pPr>
        <w:ind w:firstLine="708"/>
      </w:pPr>
      <w:r>
        <w:t>Plynofikací disponuje necelých 60 % venkovských obcí v Česku. Nejmenší podíl malých obcí připojených k plynu má Středočeský, Jihočeský a Liberecký kraj (zhruba 35 %). Naopak kolem 90 % malých obcí připojených k plynu je v Jihomoravském, Olomouckém a Zlínském kraji.</w:t>
      </w:r>
    </w:p>
    <w:p w14:paraId="16CF1FAF" w14:textId="77777777" w:rsidR="00143820" w:rsidRDefault="00143820" w:rsidP="00143820">
      <w:pPr>
        <w:rPr>
          <w:b/>
        </w:rPr>
      </w:pPr>
    </w:p>
    <w:p w14:paraId="22FF39CB" w14:textId="77777777" w:rsidR="00143820" w:rsidRPr="004B694B" w:rsidRDefault="00143820">
      <w:pPr>
        <w:ind w:firstLine="0"/>
        <w:rPr>
          <w:rFonts w:asciiTheme="majorHAnsi" w:eastAsiaTheme="majorEastAsia" w:hAnsiTheme="majorHAnsi" w:cstheme="majorBidi"/>
          <w:b/>
          <w:bCs/>
        </w:rPr>
      </w:pPr>
      <w:r w:rsidRPr="004B694B">
        <w:rPr>
          <w:rFonts w:asciiTheme="majorHAnsi" w:eastAsiaTheme="majorEastAsia" w:hAnsiTheme="majorHAnsi" w:cstheme="majorBidi"/>
          <w:b/>
          <w:bCs/>
        </w:rPr>
        <w:t xml:space="preserve">Porovnání </w:t>
      </w:r>
      <w:r w:rsidR="005517C9" w:rsidRPr="004B694B">
        <w:rPr>
          <w:rFonts w:asciiTheme="majorHAnsi" w:eastAsiaTheme="majorEastAsia" w:hAnsiTheme="majorHAnsi" w:cstheme="majorBidi"/>
          <w:b/>
          <w:bCs/>
        </w:rPr>
        <w:t xml:space="preserve">roku </w:t>
      </w:r>
      <w:r w:rsidRPr="004B694B">
        <w:rPr>
          <w:rFonts w:asciiTheme="majorHAnsi" w:eastAsiaTheme="majorEastAsia" w:hAnsiTheme="majorHAnsi" w:cstheme="majorBidi"/>
          <w:b/>
          <w:bCs/>
        </w:rPr>
        <w:t>2016 s rokem 2006</w:t>
      </w:r>
    </w:p>
    <w:p w14:paraId="3458E395" w14:textId="77777777" w:rsidR="00143820" w:rsidRDefault="00143820" w:rsidP="68ED4599">
      <w:pPr>
        <w:ind w:firstLine="709"/>
        <w:rPr>
          <w:szCs w:val="24"/>
        </w:rPr>
      </w:pPr>
      <w:r w:rsidRPr="00C150AD">
        <w:t xml:space="preserve">Podíl obcí vybavených kanalizační sítí napojených na ČOV oproti roku 2006 (viz 18_Příloha analýza venkov) vzrostl průměrně o 20 % </w:t>
      </w:r>
      <w:r w:rsidRPr="00841BEA">
        <w:t>v každém kraji. Došlo k tomu díky dotačnímu programu z minulého programového období. Podíl obcí napojených na veřejný vodovod se taktéž mírně navýšil v každém kraji (</w:t>
      </w:r>
      <w:r w:rsidRPr="004B694B">
        <w:t>kolem 5 %). Stejně tak vybavenost obcí plynovým rozvodem mírně vzrostl, kromě Pardubického, Jihomoravského a Zlínského kraje, kde se naopak snížil v řádech jednoho procenta.</w:t>
      </w:r>
    </w:p>
    <w:p w14:paraId="511FA5DE" w14:textId="77777777" w:rsidR="00EB5B81" w:rsidRDefault="00EB5B81" w:rsidP="004E296E">
      <w:pPr>
        <w:ind w:firstLine="0"/>
        <w:rPr>
          <w:szCs w:val="24"/>
        </w:rPr>
      </w:pPr>
    </w:p>
    <w:p w14:paraId="462B0E37" w14:textId="77777777" w:rsidR="00EB5B81" w:rsidRPr="00863F92" w:rsidRDefault="00EB5B81" w:rsidP="00EB5B81">
      <w:pPr>
        <w:ind w:firstLine="0"/>
        <w:rPr>
          <w:b/>
        </w:rPr>
      </w:pPr>
      <w:r w:rsidRPr="00863F92">
        <w:rPr>
          <w:b/>
        </w:rPr>
        <w:t>Tříděný odpad v krajích ČR</w:t>
      </w:r>
    </w:p>
    <w:p w14:paraId="7CCD2247" w14:textId="77777777" w:rsidR="00EB5B81" w:rsidRDefault="00EB5B81" w:rsidP="00EB5B81"/>
    <w:p w14:paraId="64A8F6E0" w14:textId="77777777" w:rsidR="00EB5B81" w:rsidRDefault="00EB5B81" w:rsidP="00EB5B81">
      <w:r w:rsidRPr="00863F92">
        <w:t>Podíl odděleně sbíraných složek, jako je papír, sklo či plasty, činil v</w:t>
      </w:r>
      <w:r>
        <w:t xml:space="preserve"> převážně venkovských oblastech v průměru 15,6 %, což je o 0,8 p. b. více, než v oblastech převážně městských a zároveň o 1 p. b. více, než je republikový průměr (14,6 %). Nejvíce třídili obyvatelé Zlínského kraje, kde byl průměr 19,9 %. Nejméně potom v kraji Středočeském a Ústeckém, </w:t>
      </w:r>
      <w:r>
        <w:lastRenderedPageBreak/>
        <w:t>kde byl p</w:t>
      </w:r>
      <w:r w:rsidRPr="00863F92">
        <w:t>odíl odděleně sbíraných složek na celkové produkci komunálního</w:t>
      </w:r>
      <w:r>
        <w:t xml:space="preserve"> odpadu</w:t>
      </w:r>
      <w:r w:rsidRPr="00863F92">
        <w:t xml:space="preserve"> </w:t>
      </w:r>
      <w:r>
        <w:t xml:space="preserve">shodných 12,3 %. Celkově se dle dat ČSÚ ukázalo, že oblasti smíšené jsou na tom z hlediska třídění odpadu nejhůře – průměr v těchto krajích je 13,6 %, tedy o 1 p. b. méně, než je republikový průměr (viz Obr. </w:t>
      </w:r>
      <w:r w:rsidR="002507F9">
        <w:t>7.</w:t>
      </w:r>
      <w:r>
        <w:t>5.2).</w:t>
      </w:r>
    </w:p>
    <w:p w14:paraId="4113DD98" w14:textId="77777777" w:rsidR="00EB5B81" w:rsidRDefault="00EB5B81" w:rsidP="00EB5B81">
      <w:pPr>
        <w:ind w:firstLine="0"/>
      </w:pPr>
    </w:p>
    <w:p w14:paraId="3228F17A" w14:textId="77777777" w:rsidR="00EB5B81" w:rsidRPr="002507F9" w:rsidRDefault="00EB5B81" w:rsidP="002507F9">
      <w:pPr>
        <w:pStyle w:val="Titulek"/>
        <w:keepNext/>
        <w:spacing w:after="0"/>
        <w:ind w:firstLine="0"/>
        <w:rPr>
          <w:rFonts w:asciiTheme="minorHAnsi" w:hAnsiTheme="minorHAnsi" w:cstheme="minorHAnsi"/>
          <w:b/>
          <w:i w:val="0"/>
          <w:color w:val="auto"/>
          <w:sz w:val="22"/>
          <w:szCs w:val="22"/>
        </w:rPr>
      </w:pPr>
      <w:bookmarkStart w:id="216" w:name="_Toc525727668"/>
      <w:bookmarkStart w:id="217" w:name="_Toc525735955"/>
      <w:bookmarkStart w:id="218" w:name="_Toc525738252"/>
      <w:r w:rsidRPr="002507F9">
        <w:rPr>
          <w:rFonts w:asciiTheme="minorHAnsi" w:hAnsiTheme="minorHAnsi" w:cstheme="minorHAnsi"/>
          <w:b/>
          <w:i w:val="0"/>
          <w:color w:val="auto"/>
          <w:sz w:val="22"/>
          <w:szCs w:val="22"/>
        </w:rPr>
        <w:t xml:space="preserve">Obrázek </w:t>
      </w:r>
      <w:r w:rsidR="002507F9" w:rsidRPr="002507F9">
        <w:rPr>
          <w:rFonts w:asciiTheme="minorHAnsi" w:hAnsiTheme="minorHAnsi" w:cstheme="minorHAnsi"/>
          <w:b/>
          <w:i w:val="0"/>
          <w:color w:val="auto"/>
          <w:sz w:val="22"/>
          <w:szCs w:val="22"/>
        </w:rPr>
        <w:t>7.</w:t>
      </w:r>
      <w:r w:rsidRPr="002507F9">
        <w:rPr>
          <w:rFonts w:asciiTheme="minorHAnsi" w:hAnsiTheme="minorHAnsi" w:cstheme="minorHAnsi"/>
          <w:b/>
          <w:i w:val="0"/>
          <w:color w:val="auto"/>
          <w:sz w:val="22"/>
          <w:szCs w:val="22"/>
        </w:rPr>
        <w:fldChar w:fldCharType="begin"/>
      </w:r>
      <w:r w:rsidRPr="002507F9">
        <w:rPr>
          <w:rFonts w:asciiTheme="minorHAnsi" w:hAnsiTheme="minorHAnsi" w:cstheme="minorHAnsi"/>
          <w:b/>
          <w:i w:val="0"/>
          <w:color w:val="auto"/>
          <w:sz w:val="22"/>
          <w:szCs w:val="22"/>
        </w:rPr>
        <w:instrText xml:space="preserve"> STYLEREF 1 \s </w:instrText>
      </w:r>
      <w:r w:rsidRPr="002507F9">
        <w:rPr>
          <w:rFonts w:asciiTheme="minorHAnsi" w:hAnsiTheme="minorHAnsi" w:cstheme="minorHAnsi"/>
          <w:b/>
          <w:i w:val="0"/>
          <w:color w:val="auto"/>
          <w:sz w:val="22"/>
          <w:szCs w:val="22"/>
        </w:rPr>
        <w:fldChar w:fldCharType="separate"/>
      </w:r>
      <w:r w:rsidRPr="002507F9">
        <w:rPr>
          <w:rFonts w:asciiTheme="minorHAnsi" w:hAnsiTheme="minorHAnsi" w:cstheme="minorHAnsi"/>
          <w:b/>
          <w:i w:val="0"/>
          <w:noProof/>
          <w:color w:val="auto"/>
          <w:sz w:val="22"/>
          <w:szCs w:val="22"/>
        </w:rPr>
        <w:t>5</w:t>
      </w:r>
      <w:r w:rsidRPr="002507F9">
        <w:rPr>
          <w:rFonts w:asciiTheme="minorHAnsi" w:hAnsiTheme="minorHAnsi" w:cstheme="minorHAnsi"/>
          <w:b/>
          <w:i w:val="0"/>
          <w:color w:val="auto"/>
          <w:sz w:val="22"/>
          <w:szCs w:val="22"/>
        </w:rPr>
        <w:fldChar w:fldCharType="end"/>
      </w:r>
      <w:r w:rsidRPr="002507F9">
        <w:rPr>
          <w:rFonts w:asciiTheme="minorHAnsi" w:hAnsiTheme="minorHAnsi" w:cstheme="minorHAnsi"/>
          <w:b/>
          <w:i w:val="0"/>
          <w:color w:val="auto"/>
          <w:sz w:val="22"/>
          <w:szCs w:val="22"/>
        </w:rPr>
        <w:t>.</w:t>
      </w:r>
      <w:r w:rsidRPr="002507F9">
        <w:rPr>
          <w:rFonts w:asciiTheme="minorHAnsi" w:hAnsiTheme="minorHAnsi" w:cstheme="minorHAnsi"/>
          <w:b/>
          <w:i w:val="0"/>
          <w:color w:val="auto"/>
          <w:sz w:val="22"/>
          <w:szCs w:val="22"/>
        </w:rPr>
        <w:fldChar w:fldCharType="begin"/>
      </w:r>
      <w:r w:rsidRPr="002507F9">
        <w:rPr>
          <w:rFonts w:asciiTheme="minorHAnsi" w:hAnsiTheme="minorHAnsi" w:cstheme="minorHAnsi"/>
          <w:b/>
          <w:i w:val="0"/>
          <w:color w:val="auto"/>
          <w:sz w:val="22"/>
          <w:szCs w:val="22"/>
        </w:rPr>
        <w:instrText xml:space="preserve"> SEQ Obrázek \* ARABIC \s 1 </w:instrText>
      </w:r>
      <w:r w:rsidRPr="002507F9">
        <w:rPr>
          <w:rFonts w:asciiTheme="minorHAnsi" w:hAnsiTheme="minorHAnsi" w:cstheme="minorHAnsi"/>
          <w:b/>
          <w:i w:val="0"/>
          <w:color w:val="auto"/>
          <w:sz w:val="22"/>
          <w:szCs w:val="22"/>
        </w:rPr>
        <w:fldChar w:fldCharType="separate"/>
      </w:r>
      <w:r w:rsidRPr="002507F9">
        <w:rPr>
          <w:rFonts w:asciiTheme="minorHAnsi" w:hAnsiTheme="minorHAnsi" w:cstheme="minorHAnsi"/>
          <w:b/>
          <w:i w:val="0"/>
          <w:noProof/>
          <w:color w:val="auto"/>
          <w:sz w:val="22"/>
          <w:szCs w:val="22"/>
        </w:rPr>
        <w:t>2</w:t>
      </w:r>
      <w:r w:rsidRPr="002507F9">
        <w:rPr>
          <w:rFonts w:asciiTheme="minorHAnsi" w:hAnsiTheme="minorHAnsi" w:cstheme="minorHAnsi"/>
          <w:b/>
          <w:i w:val="0"/>
          <w:color w:val="auto"/>
          <w:sz w:val="22"/>
          <w:szCs w:val="22"/>
        </w:rPr>
        <w:fldChar w:fldCharType="end"/>
      </w:r>
      <w:r w:rsidRPr="002507F9">
        <w:rPr>
          <w:rFonts w:asciiTheme="minorHAnsi" w:hAnsiTheme="minorHAnsi" w:cstheme="minorHAnsi"/>
          <w:b/>
          <w:i w:val="0"/>
          <w:color w:val="auto"/>
          <w:sz w:val="22"/>
          <w:szCs w:val="22"/>
        </w:rPr>
        <w:t>: Podíl odděleně sbíraných složek na celkové produkci komunálního odpadu v krajích ČR</w:t>
      </w:r>
      <w:bookmarkEnd w:id="216"/>
      <w:bookmarkEnd w:id="217"/>
      <w:bookmarkEnd w:id="218"/>
    </w:p>
    <w:p w14:paraId="67C4A651" w14:textId="77777777" w:rsidR="00EB5B81" w:rsidRDefault="00F339F0" w:rsidP="002507F9">
      <w:pPr>
        <w:spacing w:before="0" w:line="240" w:lineRule="auto"/>
        <w:ind w:firstLine="0"/>
      </w:pPr>
      <w:r>
        <w:rPr>
          <w:noProof/>
        </w:rPr>
        <w:drawing>
          <wp:inline distT="0" distB="0" distL="0" distR="0" wp14:anchorId="63EBEFCB" wp14:editId="6D5B30C9">
            <wp:extent cx="5591175" cy="3367088"/>
            <wp:effectExtent l="0" t="0" r="9525" b="5080"/>
            <wp:docPr id="1737972137" name="Graf 1737972137">
              <a:extLst xmlns:a="http://schemas.openxmlformats.org/drawingml/2006/main">
                <a:ext uri="{FF2B5EF4-FFF2-40B4-BE49-F238E27FC236}">
                  <a16:creationId xmlns:a16="http://schemas.microsoft.com/office/drawing/2014/main" id="{D0E07C4F-35AE-44E6-8B2E-EA5C541EBE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EB5B81">
        <w:br/>
      </w:r>
      <w:r w:rsidR="00EB5B81" w:rsidRPr="002507F9">
        <w:rPr>
          <w:rFonts w:asciiTheme="majorHAnsi" w:hAnsiTheme="majorHAnsi" w:cstheme="majorHAnsi"/>
          <w:i/>
          <w:sz w:val="18"/>
          <w:szCs w:val="18"/>
        </w:rPr>
        <w:t>Zdroj: ČSÚ, 2018</w:t>
      </w:r>
    </w:p>
    <w:p w14:paraId="7E2D58D3" w14:textId="77777777" w:rsidR="00EB5B81" w:rsidRDefault="00EB5B81" w:rsidP="004E296E">
      <w:pPr>
        <w:ind w:firstLine="0"/>
        <w:rPr>
          <w:szCs w:val="24"/>
        </w:rPr>
      </w:pPr>
    </w:p>
    <w:p w14:paraId="2CB589F8" w14:textId="77777777" w:rsidR="00143820" w:rsidRPr="004B694B" w:rsidRDefault="00143820">
      <w:pPr>
        <w:ind w:firstLine="0"/>
        <w:rPr>
          <w:rFonts w:asciiTheme="majorHAnsi" w:eastAsiaTheme="majorEastAsia" w:hAnsiTheme="majorHAnsi" w:cstheme="majorBidi"/>
        </w:rPr>
      </w:pPr>
      <w:r w:rsidRPr="004B694B">
        <w:rPr>
          <w:rFonts w:asciiTheme="majorHAnsi" w:eastAsiaTheme="majorEastAsia" w:hAnsiTheme="majorHAnsi" w:cstheme="majorBidi"/>
        </w:rPr>
        <w:t>INFORMAČNÍ TECHNOLOGIE</w:t>
      </w:r>
    </w:p>
    <w:p w14:paraId="4B7AB78D" w14:textId="77777777" w:rsidR="001E245D" w:rsidRPr="00454E1D" w:rsidRDefault="001E245D" w:rsidP="00454E1D">
      <w:pPr>
        <w:ind w:firstLine="0"/>
        <w:rPr>
          <w:rFonts w:asciiTheme="majorHAnsi" w:hAnsiTheme="majorHAnsi" w:cstheme="majorHAnsi"/>
          <w:szCs w:val="24"/>
        </w:rPr>
      </w:pPr>
    </w:p>
    <w:p w14:paraId="3DE06880" w14:textId="77777777" w:rsidR="00143820" w:rsidRPr="004B694B" w:rsidRDefault="00143820" w:rsidP="004B694B">
      <w:pPr>
        <w:pStyle w:val="Titulek"/>
        <w:keepNext/>
        <w:spacing w:after="0"/>
        <w:ind w:firstLine="0"/>
        <w:rPr>
          <w:rFonts w:asciiTheme="minorHAnsi" w:eastAsiaTheme="minorEastAsia" w:hAnsiTheme="minorHAnsi" w:cstheme="minorBidi"/>
          <w:b/>
          <w:bCs/>
          <w:i w:val="0"/>
          <w:iCs w:val="0"/>
          <w:color w:val="auto"/>
          <w:sz w:val="22"/>
          <w:szCs w:val="22"/>
        </w:rPr>
      </w:pPr>
      <w:bookmarkStart w:id="219" w:name="_Toc522869025"/>
      <w:r w:rsidRPr="004B694B">
        <w:rPr>
          <w:rFonts w:asciiTheme="minorHAnsi" w:eastAsiaTheme="minorEastAsia" w:hAnsiTheme="minorHAnsi" w:cstheme="minorBidi"/>
          <w:b/>
          <w:bCs/>
          <w:i w:val="0"/>
          <w:iCs w:val="0"/>
          <w:color w:val="auto"/>
          <w:sz w:val="22"/>
          <w:szCs w:val="22"/>
        </w:rPr>
        <w:t xml:space="preserve">Tabulka </w:t>
      </w:r>
      <w:r w:rsidR="002507F9">
        <w:rPr>
          <w:rFonts w:asciiTheme="minorHAnsi" w:eastAsiaTheme="minorEastAsia" w:hAnsiTheme="minorHAnsi" w:cstheme="minorBidi"/>
          <w:b/>
          <w:bCs/>
          <w:i w:val="0"/>
          <w:iCs w:val="0"/>
          <w:color w:val="auto"/>
          <w:sz w:val="22"/>
          <w:szCs w:val="22"/>
        </w:rPr>
        <w:t>7.</w:t>
      </w:r>
      <w:r w:rsidR="00E34D45">
        <w:rPr>
          <w:rFonts w:asciiTheme="minorHAnsi" w:eastAsiaTheme="minorEastAsia" w:hAnsiTheme="minorHAnsi" w:cstheme="minorBidi"/>
          <w:b/>
          <w:bCs/>
          <w:i w:val="0"/>
          <w:iCs w:val="0"/>
          <w:color w:val="auto"/>
          <w:sz w:val="22"/>
          <w:szCs w:val="22"/>
        </w:rPr>
        <w:fldChar w:fldCharType="begin"/>
      </w:r>
      <w:r w:rsidR="00E34D45">
        <w:rPr>
          <w:rFonts w:asciiTheme="minorHAnsi" w:eastAsiaTheme="minorEastAsia" w:hAnsiTheme="minorHAnsi" w:cstheme="minorBidi"/>
          <w:b/>
          <w:bCs/>
          <w:i w:val="0"/>
          <w:iCs w:val="0"/>
          <w:color w:val="auto"/>
          <w:sz w:val="22"/>
          <w:szCs w:val="22"/>
        </w:rPr>
        <w:instrText xml:space="preserve"> STYLEREF 1 \s </w:instrText>
      </w:r>
      <w:r w:rsidR="00E34D45">
        <w:rPr>
          <w:rFonts w:asciiTheme="minorHAnsi" w:eastAsiaTheme="minorEastAsia" w:hAnsiTheme="minorHAnsi" w:cstheme="minorBidi"/>
          <w:b/>
          <w:bCs/>
          <w:i w:val="0"/>
          <w:iCs w:val="0"/>
          <w:color w:val="auto"/>
          <w:sz w:val="22"/>
          <w:szCs w:val="22"/>
        </w:rPr>
        <w:fldChar w:fldCharType="separate"/>
      </w:r>
      <w:r w:rsidR="00E34D45">
        <w:rPr>
          <w:rFonts w:asciiTheme="minorHAnsi" w:eastAsiaTheme="minorEastAsia" w:hAnsiTheme="minorHAnsi" w:cstheme="minorBidi"/>
          <w:b/>
          <w:bCs/>
          <w:i w:val="0"/>
          <w:iCs w:val="0"/>
          <w:noProof/>
          <w:color w:val="auto"/>
          <w:sz w:val="22"/>
          <w:szCs w:val="22"/>
        </w:rPr>
        <w:t>5</w:t>
      </w:r>
      <w:r w:rsidR="00E34D45">
        <w:rPr>
          <w:rFonts w:asciiTheme="minorHAnsi" w:eastAsiaTheme="minorEastAsia" w:hAnsiTheme="minorHAnsi" w:cstheme="minorBidi"/>
          <w:b/>
          <w:bCs/>
          <w:i w:val="0"/>
          <w:iCs w:val="0"/>
          <w:color w:val="auto"/>
          <w:sz w:val="22"/>
          <w:szCs w:val="22"/>
        </w:rPr>
        <w:fldChar w:fldCharType="end"/>
      </w:r>
      <w:r w:rsidR="00E34D45">
        <w:rPr>
          <w:rFonts w:asciiTheme="minorHAnsi" w:eastAsiaTheme="minorEastAsia" w:hAnsiTheme="minorHAnsi" w:cstheme="minorBidi"/>
          <w:b/>
          <w:bCs/>
          <w:i w:val="0"/>
          <w:iCs w:val="0"/>
          <w:color w:val="auto"/>
          <w:sz w:val="22"/>
          <w:szCs w:val="22"/>
        </w:rPr>
        <w:t>.</w:t>
      </w:r>
      <w:r w:rsidR="00776DDB">
        <w:rPr>
          <w:rFonts w:asciiTheme="minorHAnsi" w:eastAsiaTheme="minorEastAsia" w:hAnsiTheme="minorHAnsi" w:cstheme="minorBidi"/>
          <w:b/>
          <w:bCs/>
          <w:i w:val="0"/>
          <w:iCs w:val="0"/>
          <w:color w:val="auto"/>
          <w:sz w:val="22"/>
          <w:szCs w:val="22"/>
        </w:rPr>
        <w:t>6</w:t>
      </w:r>
      <w:r w:rsidRPr="004B694B">
        <w:rPr>
          <w:rFonts w:asciiTheme="minorHAnsi" w:eastAsiaTheme="minorEastAsia" w:hAnsiTheme="minorHAnsi" w:cstheme="minorBidi"/>
          <w:b/>
          <w:bCs/>
          <w:i w:val="0"/>
          <w:iCs w:val="0"/>
          <w:color w:val="auto"/>
          <w:sz w:val="22"/>
          <w:szCs w:val="22"/>
        </w:rPr>
        <w:t>: Domácnosti s připojením k internetu (%) 2005</w:t>
      </w:r>
      <w:r w:rsidR="005517C9" w:rsidRPr="004B694B">
        <w:rPr>
          <w:rFonts w:asciiTheme="minorHAnsi" w:eastAsiaTheme="minorEastAsia" w:hAnsiTheme="minorHAnsi" w:cstheme="minorBidi"/>
          <w:b/>
          <w:bCs/>
          <w:i w:val="0"/>
          <w:iCs w:val="0"/>
          <w:color w:val="auto"/>
          <w:sz w:val="22"/>
          <w:szCs w:val="22"/>
        </w:rPr>
        <w:t>-</w:t>
      </w:r>
      <w:r w:rsidRPr="004B694B">
        <w:rPr>
          <w:rFonts w:asciiTheme="minorHAnsi" w:eastAsiaTheme="minorEastAsia" w:hAnsiTheme="minorHAnsi" w:cstheme="minorBidi"/>
          <w:b/>
          <w:bCs/>
          <w:i w:val="0"/>
          <w:iCs w:val="0"/>
          <w:color w:val="auto"/>
          <w:sz w:val="22"/>
          <w:szCs w:val="22"/>
        </w:rPr>
        <w:t>2016</w:t>
      </w:r>
      <w:bookmarkEnd w:id="219"/>
    </w:p>
    <w:p w14:paraId="6515CCE4" w14:textId="77777777" w:rsidR="00143820" w:rsidRDefault="00143820" w:rsidP="00454E1D">
      <w:pPr>
        <w:ind w:firstLine="0"/>
        <w:rPr>
          <w:szCs w:val="24"/>
        </w:rPr>
      </w:pPr>
      <w:r w:rsidRPr="001E5B27">
        <w:rPr>
          <w:noProof/>
        </w:rPr>
        <w:drawing>
          <wp:inline distT="0" distB="0" distL="0" distR="0" wp14:anchorId="5E6B7A64" wp14:editId="5C433368">
            <wp:extent cx="6305550" cy="2002078"/>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11558" cy="2003986"/>
                    </a:xfrm>
                    <a:prstGeom prst="rect">
                      <a:avLst/>
                    </a:prstGeom>
                    <a:noFill/>
                    <a:ln>
                      <a:noFill/>
                    </a:ln>
                  </pic:spPr>
                </pic:pic>
              </a:graphicData>
            </a:graphic>
          </wp:inline>
        </w:drawing>
      </w:r>
    </w:p>
    <w:p w14:paraId="1062313B" w14:textId="77777777" w:rsidR="00143820" w:rsidRPr="004B694B" w:rsidRDefault="00143820" w:rsidP="004B694B">
      <w:pPr>
        <w:spacing w:before="0" w:line="240" w:lineRule="auto"/>
        <w:ind w:firstLine="0"/>
        <w:rPr>
          <w:rFonts w:asciiTheme="majorHAnsi" w:eastAsiaTheme="majorEastAsia" w:hAnsiTheme="majorHAnsi" w:cstheme="majorBidi"/>
          <w:i/>
          <w:iCs/>
          <w:sz w:val="18"/>
          <w:szCs w:val="18"/>
        </w:rPr>
      </w:pPr>
      <w:r w:rsidRPr="004B694B">
        <w:rPr>
          <w:rFonts w:asciiTheme="majorHAnsi" w:eastAsiaTheme="majorEastAsia" w:hAnsiTheme="majorHAnsi" w:cstheme="majorBidi"/>
          <w:i/>
          <w:iCs/>
          <w:sz w:val="18"/>
          <w:szCs w:val="18"/>
        </w:rPr>
        <w:t>Zdroj: ČSÚ (Veřejná databáze)</w:t>
      </w:r>
    </w:p>
    <w:p w14:paraId="22075537" w14:textId="77777777" w:rsidR="00454E1D" w:rsidRDefault="00454E1D" w:rsidP="00143820">
      <w:pPr>
        <w:ind w:firstLine="708"/>
        <w:rPr>
          <w:szCs w:val="24"/>
        </w:rPr>
      </w:pPr>
    </w:p>
    <w:p w14:paraId="0E5CDBFA" w14:textId="77777777" w:rsidR="00143820" w:rsidRDefault="00143820" w:rsidP="68ED4599">
      <w:pPr>
        <w:ind w:firstLine="709"/>
      </w:pPr>
      <w:r w:rsidRPr="00C150AD">
        <w:lastRenderedPageBreak/>
        <w:t>Ve vybavenosti informačními technologiemi lze v posledních deseti letech sledovat několikanásobný růst ve všech krajích v ČR. Nejvíce domácností je k internetu připojeno ve Středočeském kraji – 79 % (nepočítáme hl. m. Prahu). Nejméně v Olomoucké</w:t>
      </w:r>
      <w:r w:rsidRPr="00841BEA">
        <w:t>m a Ústeckém kraji (67 a 68 %). Domácnosti s připojením k internetu jsou považovány za všechn</w:t>
      </w:r>
      <w:r w:rsidRPr="004B694B">
        <w:t>y obce v kraji.</w:t>
      </w:r>
    </w:p>
    <w:p w14:paraId="1B6FB3C1" w14:textId="77777777" w:rsidR="000C6EEA" w:rsidRDefault="000C6EEA" w:rsidP="68ED4599">
      <w:pPr>
        <w:ind w:firstLine="709"/>
      </w:pPr>
    </w:p>
    <w:p w14:paraId="274FB3DA" w14:textId="77777777" w:rsidR="000C6EEA" w:rsidRPr="006D2AC7" w:rsidRDefault="000C6EEA" w:rsidP="004030E7">
      <w:pPr>
        <w:spacing w:before="0" w:after="160" w:line="259" w:lineRule="auto"/>
        <w:ind w:firstLine="0"/>
        <w:jc w:val="left"/>
        <w:rPr>
          <w:b/>
          <w:szCs w:val="24"/>
        </w:rPr>
      </w:pPr>
      <w:r w:rsidRPr="00537DAF">
        <w:rPr>
          <w:b/>
        </w:rPr>
        <w:t>Vysokorychlostní internet</w:t>
      </w:r>
      <w:r w:rsidR="004030E7">
        <w:rPr>
          <w:b/>
        </w:rPr>
        <w:t xml:space="preserve">, </w:t>
      </w:r>
      <w:r w:rsidRPr="006D2AC7">
        <w:rPr>
          <w:b/>
          <w:szCs w:val="24"/>
        </w:rPr>
        <w:t>NGA</w:t>
      </w:r>
      <w:r w:rsidRPr="00537DAF">
        <w:rPr>
          <w:b/>
        </w:rPr>
        <w:t xml:space="preserve"> přípojky</w:t>
      </w:r>
    </w:p>
    <w:p w14:paraId="37B389A3" w14:textId="77777777" w:rsidR="000C6EEA" w:rsidRDefault="000C6EEA" w:rsidP="000C6EEA">
      <w:pPr>
        <w:ind w:firstLine="708"/>
      </w:pPr>
      <w:r w:rsidRPr="004158EA">
        <w:t xml:space="preserve">Český telekomunikační úřad (dále jen „ČTÚ“) provádí prostřednictvím svého systému Elektronického sběru dat pravidelně každý rok sběr dat o existenci sítí elektronických komunikací se zaměřením na identifikaci tzv. NGA přípojek umožňujících poskytování služeb přístupu k internetu o rychlosti </w:t>
      </w:r>
      <w:r w:rsidRPr="00070093">
        <w:t xml:space="preserve">30 </w:t>
      </w:r>
      <w:proofErr w:type="spellStart"/>
      <w:r w:rsidRPr="00070093">
        <w:t>Mbit</w:t>
      </w:r>
      <w:proofErr w:type="spellEnd"/>
      <w:r w:rsidRPr="00070093">
        <w:t>/s</w:t>
      </w:r>
      <w:r w:rsidRPr="004158EA">
        <w:t xml:space="preserve"> a více, a to v geografickém členění na jednotlivá adresní místa podle Registru územní identifikace, adres a nemovitostí (RÚIAN).</w:t>
      </w:r>
    </w:p>
    <w:p w14:paraId="7DB40B14" w14:textId="77777777" w:rsidR="000C6EEA" w:rsidRPr="00070093" w:rsidRDefault="000C6EEA" w:rsidP="002507F9">
      <w:pPr>
        <w:shd w:val="clear" w:color="auto" w:fill="FFFFFF"/>
        <w:ind w:firstLine="0"/>
        <w:rPr>
          <w:color w:val="000000"/>
          <w:szCs w:val="24"/>
        </w:rPr>
      </w:pPr>
      <w:r w:rsidRPr="00070093">
        <w:rPr>
          <w:color w:val="000000"/>
          <w:szCs w:val="24"/>
        </w:rPr>
        <w:t>Stručně řečeno, na základě získaných dat se určí na úrovni základních sídelních jednotek, o jakou barvu ZSJ jde:</w:t>
      </w:r>
    </w:p>
    <w:p w14:paraId="7F19E86F" w14:textId="77777777" w:rsidR="000C6EEA" w:rsidRPr="008E46D8" w:rsidRDefault="000C6EEA" w:rsidP="002507F9">
      <w:pPr>
        <w:numPr>
          <w:ilvl w:val="0"/>
          <w:numId w:val="33"/>
        </w:numPr>
        <w:shd w:val="clear" w:color="auto" w:fill="FFFFFF"/>
        <w:rPr>
          <w:color w:val="000000"/>
          <w:szCs w:val="24"/>
        </w:rPr>
      </w:pPr>
      <w:r w:rsidRPr="00070093">
        <w:rPr>
          <w:b/>
          <w:bCs/>
          <w:color w:val="000000"/>
          <w:szCs w:val="24"/>
        </w:rPr>
        <w:t>Bílé ZSJ</w:t>
      </w:r>
      <w:r w:rsidRPr="00070093">
        <w:rPr>
          <w:color w:val="000000"/>
          <w:szCs w:val="24"/>
        </w:rPr>
        <w:t> budou takové, kde má nebo do tří let bude mít méně než 50 % adresních míst přípojku NGA. Jde o součet přípojek všech poskytovatelů. </w:t>
      </w:r>
    </w:p>
    <w:p w14:paraId="1FF6F95D" w14:textId="77777777" w:rsidR="000C6EEA" w:rsidRPr="008E46D8" w:rsidRDefault="000C6EEA" w:rsidP="002507F9">
      <w:pPr>
        <w:numPr>
          <w:ilvl w:val="0"/>
          <w:numId w:val="33"/>
        </w:numPr>
        <w:shd w:val="clear" w:color="auto" w:fill="FFFFFF"/>
        <w:rPr>
          <w:color w:val="000000"/>
          <w:szCs w:val="24"/>
        </w:rPr>
      </w:pPr>
      <w:r w:rsidRPr="00070093">
        <w:rPr>
          <w:b/>
          <w:bCs/>
          <w:color w:val="000000"/>
          <w:szCs w:val="24"/>
        </w:rPr>
        <w:t>Šedé ZSJ</w:t>
      </w:r>
      <w:r w:rsidRPr="00070093">
        <w:rPr>
          <w:color w:val="000000"/>
          <w:szCs w:val="24"/>
        </w:rPr>
        <w:t> jsou takové, kde má alespoň 50 % adresních míst přípojku NGA (nebo ji bude mít do tří let) a současně platí, že tyto přípojky jsou od jednoho poskytovatele internetu.</w:t>
      </w:r>
    </w:p>
    <w:p w14:paraId="60C9352E" w14:textId="77777777" w:rsidR="000C6EEA" w:rsidRDefault="000C6EEA" w:rsidP="002507F9">
      <w:pPr>
        <w:numPr>
          <w:ilvl w:val="0"/>
          <w:numId w:val="33"/>
        </w:numPr>
        <w:shd w:val="clear" w:color="auto" w:fill="FFFFFF"/>
        <w:rPr>
          <w:color w:val="000000"/>
          <w:szCs w:val="24"/>
        </w:rPr>
      </w:pPr>
      <w:r w:rsidRPr="00070093">
        <w:rPr>
          <w:b/>
          <w:bCs/>
          <w:color w:val="000000"/>
          <w:szCs w:val="24"/>
        </w:rPr>
        <w:t>Černé ZSJ</w:t>
      </w:r>
      <w:r w:rsidRPr="00070093">
        <w:rPr>
          <w:color w:val="000000"/>
          <w:szCs w:val="24"/>
        </w:rPr>
        <w:t xml:space="preserve"> jsou takové, kde je alespoň </w:t>
      </w:r>
      <w:proofErr w:type="gramStart"/>
      <w:r w:rsidRPr="00070093">
        <w:rPr>
          <w:color w:val="000000"/>
          <w:szCs w:val="24"/>
        </w:rPr>
        <w:t>50%</w:t>
      </w:r>
      <w:proofErr w:type="gramEnd"/>
      <w:r w:rsidRPr="00070093">
        <w:rPr>
          <w:color w:val="000000"/>
          <w:szCs w:val="24"/>
        </w:rPr>
        <w:t xml:space="preserve"> penetrace sítěmi NGA (nebo plány na takové pokrytí do tří let) a působí tam nejméně dva poskytovatelé NGA. A je jedno, jaký mají podíl, zda jde o 99,9 %: 0,1 % nebo jiný poměr.</w:t>
      </w:r>
    </w:p>
    <w:p w14:paraId="220A2218" w14:textId="77777777" w:rsidR="002507F9" w:rsidRPr="00070093" w:rsidRDefault="002507F9" w:rsidP="002507F9">
      <w:pPr>
        <w:shd w:val="clear" w:color="auto" w:fill="FFFFFF"/>
        <w:ind w:left="720" w:firstLine="0"/>
        <w:rPr>
          <w:color w:val="000000"/>
          <w:szCs w:val="24"/>
        </w:rPr>
      </w:pPr>
    </w:p>
    <w:p w14:paraId="79CABA46" w14:textId="77777777" w:rsidR="000C6EEA" w:rsidRPr="00C767A0" w:rsidRDefault="000C6EEA" w:rsidP="002507F9">
      <w:pPr>
        <w:ind w:firstLine="708"/>
        <w:rPr>
          <w:szCs w:val="24"/>
        </w:rPr>
      </w:pPr>
      <w:r w:rsidRPr="00E87A90">
        <w:rPr>
          <w:szCs w:val="24"/>
        </w:rPr>
        <w:t xml:space="preserve">Na Obrázku </w:t>
      </w:r>
      <w:r w:rsidR="002507F9">
        <w:rPr>
          <w:szCs w:val="24"/>
        </w:rPr>
        <w:t>7.</w:t>
      </w:r>
      <w:r w:rsidRPr="00E87A90">
        <w:rPr>
          <w:szCs w:val="24"/>
        </w:rPr>
        <w:t>5.</w:t>
      </w:r>
      <w:r w:rsidR="006B5167">
        <w:rPr>
          <w:szCs w:val="24"/>
        </w:rPr>
        <w:t>4</w:t>
      </w:r>
      <w:r w:rsidRPr="00E87A90">
        <w:rPr>
          <w:szCs w:val="24"/>
        </w:rPr>
        <w:t xml:space="preserve"> si</w:t>
      </w:r>
      <w:r>
        <w:rPr>
          <w:szCs w:val="24"/>
        </w:rPr>
        <w:t xml:space="preserve"> lze všimnout, že nejvíce bílých základních sídelních jednotek (takových, </w:t>
      </w:r>
      <w:r w:rsidRPr="00070093">
        <w:rPr>
          <w:color w:val="000000"/>
          <w:szCs w:val="24"/>
        </w:rPr>
        <w:t>kde má nebo do tří let bude mít méně než 50 % adresních míst přípojku NGA</w:t>
      </w:r>
      <w:r>
        <w:rPr>
          <w:color w:val="000000"/>
          <w:szCs w:val="24"/>
        </w:rPr>
        <w:t xml:space="preserve">) se nachází v regionech smíšených (23 %), méně v regionech převážně venkovských (18,2 %) a nejméně v převážně městských regionech (17,2 %). V převážně městských regionech je zároveň nejvíce černých základních sídelních jednotek, tedy takových, kde </w:t>
      </w:r>
      <w:r w:rsidRPr="00070093">
        <w:rPr>
          <w:color w:val="000000"/>
          <w:szCs w:val="24"/>
        </w:rPr>
        <w:t xml:space="preserve">je alespoň </w:t>
      </w:r>
      <w:proofErr w:type="gramStart"/>
      <w:r w:rsidRPr="00070093">
        <w:rPr>
          <w:color w:val="000000"/>
          <w:szCs w:val="24"/>
        </w:rPr>
        <w:t>50%</w:t>
      </w:r>
      <w:proofErr w:type="gramEnd"/>
      <w:r w:rsidRPr="00070093">
        <w:rPr>
          <w:color w:val="000000"/>
          <w:szCs w:val="24"/>
        </w:rPr>
        <w:t xml:space="preserve"> penetrace sítěmi NGA (nebo </w:t>
      </w:r>
      <w:r>
        <w:rPr>
          <w:color w:val="000000"/>
          <w:szCs w:val="24"/>
        </w:rPr>
        <w:t xml:space="preserve">existují </w:t>
      </w:r>
      <w:r w:rsidRPr="00070093">
        <w:rPr>
          <w:color w:val="000000"/>
          <w:szCs w:val="24"/>
        </w:rPr>
        <w:t>plány na takové pokrytí do tří let) a působí tam nejméně dva poskytovatelé NGA</w:t>
      </w:r>
      <w:r>
        <w:rPr>
          <w:color w:val="000000"/>
          <w:szCs w:val="24"/>
        </w:rPr>
        <w:t xml:space="preserve">. Hůře z pohledu identifikace NGA přípojek (umožňujících poskytování služeb přístupu k internetu o rychlosti 30 </w:t>
      </w:r>
      <w:proofErr w:type="spellStart"/>
      <w:r>
        <w:rPr>
          <w:color w:val="000000"/>
          <w:szCs w:val="24"/>
        </w:rPr>
        <w:t>Mbit</w:t>
      </w:r>
      <w:proofErr w:type="spellEnd"/>
      <w:r>
        <w:rPr>
          <w:color w:val="000000"/>
          <w:szCs w:val="24"/>
        </w:rPr>
        <w:t>/s a více) než regiony městské jsou na tom regiony převážně venkovské, nejhůře potom regiony smíšené.</w:t>
      </w:r>
    </w:p>
    <w:p w14:paraId="7158FB2D" w14:textId="77777777" w:rsidR="000C6EEA" w:rsidRPr="00240E36" w:rsidRDefault="000C6EEA" w:rsidP="000C6EEA">
      <w:pPr>
        <w:ind w:firstLine="0"/>
        <w:rPr>
          <w:sz w:val="22"/>
          <w:szCs w:val="22"/>
        </w:rPr>
      </w:pPr>
    </w:p>
    <w:p w14:paraId="7DA8CEFA" w14:textId="77777777" w:rsidR="00240E36" w:rsidRPr="00240E36" w:rsidRDefault="00240E36" w:rsidP="007B56F9">
      <w:pPr>
        <w:pStyle w:val="Titulek"/>
        <w:keepNext/>
        <w:spacing w:after="0"/>
        <w:ind w:firstLine="0"/>
        <w:rPr>
          <w:rFonts w:asciiTheme="majorHAnsi" w:hAnsiTheme="majorHAnsi" w:cstheme="majorHAnsi"/>
          <w:b/>
          <w:i w:val="0"/>
          <w:color w:val="000000" w:themeColor="text1"/>
          <w:sz w:val="22"/>
          <w:szCs w:val="22"/>
        </w:rPr>
      </w:pPr>
      <w:bookmarkStart w:id="220" w:name="_Toc525727670"/>
      <w:bookmarkStart w:id="221" w:name="_Toc525735957"/>
      <w:bookmarkStart w:id="222" w:name="_Toc525738254"/>
      <w:r w:rsidRPr="00240E36">
        <w:rPr>
          <w:rFonts w:asciiTheme="majorHAnsi" w:hAnsiTheme="majorHAnsi" w:cstheme="majorHAnsi"/>
          <w:b/>
          <w:i w:val="0"/>
          <w:color w:val="000000" w:themeColor="text1"/>
          <w:sz w:val="22"/>
          <w:szCs w:val="22"/>
        </w:rPr>
        <w:lastRenderedPageBreak/>
        <w:t xml:space="preserve">Obrázek </w:t>
      </w:r>
      <w:r w:rsidR="002507F9">
        <w:rPr>
          <w:rFonts w:asciiTheme="majorHAnsi" w:hAnsiTheme="majorHAnsi" w:cstheme="majorHAnsi"/>
          <w:b/>
          <w:i w:val="0"/>
          <w:color w:val="000000" w:themeColor="text1"/>
          <w:sz w:val="22"/>
          <w:szCs w:val="22"/>
        </w:rPr>
        <w:t>7.</w:t>
      </w:r>
      <w:r>
        <w:rPr>
          <w:rFonts w:asciiTheme="majorHAnsi" w:hAnsiTheme="majorHAnsi" w:cstheme="majorHAnsi"/>
          <w:b/>
          <w:i w:val="0"/>
          <w:color w:val="000000" w:themeColor="text1"/>
          <w:sz w:val="22"/>
          <w:szCs w:val="22"/>
        </w:rPr>
        <w:fldChar w:fldCharType="begin"/>
      </w:r>
      <w:r>
        <w:rPr>
          <w:rFonts w:asciiTheme="majorHAnsi" w:hAnsiTheme="majorHAnsi" w:cstheme="majorHAnsi"/>
          <w:b/>
          <w:i w:val="0"/>
          <w:color w:val="000000" w:themeColor="text1"/>
          <w:sz w:val="22"/>
          <w:szCs w:val="22"/>
        </w:rPr>
        <w:instrText xml:space="preserve"> STYLEREF 1 \s </w:instrText>
      </w:r>
      <w:r>
        <w:rPr>
          <w:rFonts w:asciiTheme="majorHAnsi" w:hAnsiTheme="majorHAnsi" w:cstheme="majorHAnsi"/>
          <w:b/>
          <w:i w:val="0"/>
          <w:color w:val="000000" w:themeColor="text1"/>
          <w:sz w:val="22"/>
          <w:szCs w:val="22"/>
        </w:rPr>
        <w:fldChar w:fldCharType="separate"/>
      </w:r>
      <w:r>
        <w:rPr>
          <w:rFonts w:asciiTheme="majorHAnsi" w:hAnsiTheme="majorHAnsi" w:cstheme="majorHAnsi"/>
          <w:b/>
          <w:i w:val="0"/>
          <w:noProof/>
          <w:color w:val="000000" w:themeColor="text1"/>
          <w:sz w:val="22"/>
          <w:szCs w:val="22"/>
        </w:rPr>
        <w:t>5</w:t>
      </w:r>
      <w:r>
        <w:rPr>
          <w:rFonts w:asciiTheme="majorHAnsi" w:hAnsiTheme="majorHAnsi" w:cstheme="majorHAnsi"/>
          <w:b/>
          <w:i w:val="0"/>
          <w:color w:val="000000" w:themeColor="text1"/>
          <w:sz w:val="22"/>
          <w:szCs w:val="22"/>
        </w:rPr>
        <w:fldChar w:fldCharType="end"/>
      </w:r>
      <w:r>
        <w:rPr>
          <w:rFonts w:asciiTheme="majorHAnsi" w:hAnsiTheme="majorHAnsi" w:cstheme="majorHAnsi"/>
          <w:b/>
          <w:i w:val="0"/>
          <w:color w:val="000000" w:themeColor="text1"/>
          <w:sz w:val="22"/>
          <w:szCs w:val="22"/>
        </w:rPr>
        <w:t>.</w:t>
      </w:r>
      <w:r w:rsidR="00776DDB">
        <w:rPr>
          <w:rFonts w:asciiTheme="majorHAnsi" w:hAnsiTheme="majorHAnsi" w:cstheme="majorHAnsi"/>
          <w:b/>
          <w:i w:val="0"/>
          <w:color w:val="000000" w:themeColor="text1"/>
          <w:sz w:val="22"/>
          <w:szCs w:val="22"/>
        </w:rPr>
        <w:t>3</w:t>
      </w:r>
      <w:r w:rsidRPr="00240E36">
        <w:rPr>
          <w:rFonts w:asciiTheme="majorHAnsi" w:hAnsiTheme="majorHAnsi" w:cstheme="majorHAnsi"/>
          <w:b/>
          <w:i w:val="0"/>
          <w:color w:val="000000" w:themeColor="text1"/>
          <w:sz w:val="22"/>
          <w:szCs w:val="22"/>
        </w:rPr>
        <w:t>: Podíl bílých, šedých a černých ZSJ na celkových ZSJ dle typologie městských a venkovských regionů (NUTS3) v roce 2017</w:t>
      </w:r>
      <w:bookmarkEnd w:id="220"/>
      <w:bookmarkEnd w:id="221"/>
      <w:bookmarkEnd w:id="222"/>
    </w:p>
    <w:p w14:paraId="501940BC" w14:textId="77777777" w:rsidR="000C6EEA" w:rsidRPr="008E46D8" w:rsidRDefault="000C6EEA" w:rsidP="007B56F9">
      <w:pPr>
        <w:spacing w:before="0" w:line="240" w:lineRule="auto"/>
        <w:ind w:firstLine="0"/>
        <w:rPr>
          <w:i/>
          <w:sz w:val="18"/>
          <w:szCs w:val="18"/>
        </w:rPr>
      </w:pPr>
      <w:r>
        <w:rPr>
          <w:noProof/>
        </w:rPr>
        <w:drawing>
          <wp:inline distT="0" distB="0" distL="0" distR="0" wp14:anchorId="1917F7E6" wp14:editId="478DE13C">
            <wp:extent cx="5429250" cy="2076450"/>
            <wp:effectExtent l="0" t="0" r="0" b="0"/>
            <wp:docPr id="66" name="Graf 66">
              <a:extLst xmlns:a="http://schemas.openxmlformats.org/drawingml/2006/main">
                <a:ext uri="{FF2B5EF4-FFF2-40B4-BE49-F238E27FC236}">
                  <a16:creationId xmlns:a16="http://schemas.microsoft.com/office/drawing/2014/main" id="{71317DDB-2242-4CA9-A54B-5B7D97F55B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Pr>
          <w:szCs w:val="24"/>
        </w:rPr>
        <w:br/>
      </w:r>
      <w:r w:rsidRPr="007B56F9">
        <w:rPr>
          <w:rFonts w:asciiTheme="majorHAnsi" w:hAnsiTheme="majorHAnsi" w:cstheme="majorHAnsi"/>
          <w:i/>
          <w:sz w:val="18"/>
          <w:szCs w:val="18"/>
        </w:rPr>
        <w:t>Zdroj: ČTÚ, 2018</w:t>
      </w:r>
    </w:p>
    <w:p w14:paraId="73D54622" w14:textId="77777777" w:rsidR="007B56F9" w:rsidRDefault="007B56F9" w:rsidP="000C6EEA">
      <w:pPr>
        <w:ind w:firstLine="708"/>
        <w:rPr>
          <w:szCs w:val="24"/>
        </w:rPr>
      </w:pPr>
    </w:p>
    <w:p w14:paraId="57F07E63" w14:textId="77777777" w:rsidR="000C6EEA" w:rsidRDefault="000C6EEA" w:rsidP="000C6EEA">
      <w:pPr>
        <w:ind w:firstLine="708"/>
        <w:rPr>
          <w:szCs w:val="24"/>
        </w:rPr>
      </w:pPr>
      <w:r>
        <w:rPr>
          <w:szCs w:val="24"/>
        </w:rPr>
        <w:t>Dle sběru dat ČTÚ (s</w:t>
      </w:r>
      <w:r w:rsidRPr="007D1FA7">
        <w:rPr>
          <w:szCs w:val="24"/>
        </w:rPr>
        <w:t>tav pokrytí ČR vysokorychlostními sítěmi příst</w:t>
      </w:r>
      <w:r>
        <w:rPr>
          <w:szCs w:val="24"/>
        </w:rPr>
        <w:t xml:space="preserve">upu k internetu), je nejméně ZSJ s pokrytím menším než 40/50 % v regionech převážně městských (2 273 jednotek), téměř dvojnásobné množství v regionech převážně venkovských (4 432) a nejvíce v regionech smíšených, s počtem 4 908 </w:t>
      </w:r>
      <w:r w:rsidRPr="00E87A90">
        <w:rPr>
          <w:szCs w:val="24"/>
        </w:rPr>
        <w:t xml:space="preserve">jednotek (Obrázek </w:t>
      </w:r>
      <w:r w:rsidR="007B56F9">
        <w:rPr>
          <w:szCs w:val="24"/>
        </w:rPr>
        <w:t>7.</w:t>
      </w:r>
      <w:r w:rsidRPr="00E87A90">
        <w:rPr>
          <w:szCs w:val="24"/>
        </w:rPr>
        <w:t>5.</w:t>
      </w:r>
      <w:r w:rsidR="00776DDB">
        <w:rPr>
          <w:szCs w:val="24"/>
        </w:rPr>
        <w:t>4</w:t>
      </w:r>
      <w:r w:rsidRPr="00E87A90">
        <w:rPr>
          <w:szCs w:val="24"/>
        </w:rPr>
        <w:t>).</w:t>
      </w:r>
    </w:p>
    <w:p w14:paraId="402D7581" w14:textId="77777777" w:rsidR="000C6EEA" w:rsidRPr="00240E36" w:rsidRDefault="000C6EEA" w:rsidP="000C6EEA">
      <w:pPr>
        <w:ind w:firstLine="0"/>
        <w:rPr>
          <w:rFonts w:asciiTheme="minorHAnsi" w:hAnsiTheme="minorHAnsi" w:cstheme="minorHAnsi"/>
          <w:b/>
          <w:color w:val="000000" w:themeColor="text1"/>
          <w:sz w:val="22"/>
          <w:szCs w:val="22"/>
        </w:rPr>
      </w:pPr>
    </w:p>
    <w:p w14:paraId="2B01B207" w14:textId="77777777" w:rsidR="00240E36" w:rsidRPr="00240E36" w:rsidRDefault="00240E36" w:rsidP="007B56F9">
      <w:pPr>
        <w:pStyle w:val="Titulek"/>
        <w:keepNext/>
        <w:spacing w:after="0"/>
        <w:ind w:firstLine="0"/>
        <w:rPr>
          <w:rFonts w:asciiTheme="majorHAnsi" w:hAnsiTheme="majorHAnsi" w:cstheme="majorHAnsi"/>
          <w:b/>
          <w:i w:val="0"/>
          <w:color w:val="000000" w:themeColor="text1"/>
          <w:sz w:val="22"/>
          <w:szCs w:val="22"/>
        </w:rPr>
      </w:pPr>
      <w:bookmarkStart w:id="223" w:name="_Toc525727671"/>
      <w:bookmarkStart w:id="224" w:name="_Toc525735958"/>
      <w:bookmarkStart w:id="225" w:name="_Toc525738255"/>
      <w:r w:rsidRPr="00240E36">
        <w:rPr>
          <w:rFonts w:asciiTheme="majorHAnsi" w:hAnsiTheme="majorHAnsi" w:cstheme="majorHAnsi"/>
          <w:b/>
          <w:i w:val="0"/>
          <w:color w:val="000000" w:themeColor="text1"/>
          <w:sz w:val="22"/>
          <w:szCs w:val="22"/>
        </w:rPr>
        <w:t xml:space="preserve">Obrázek </w:t>
      </w:r>
      <w:r w:rsidR="007B56F9">
        <w:rPr>
          <w:rFonts w:asciiTheme="majorHAnsi" w:hAnsiTheme="majorHAnsi" w:cstheme="majorHAnsi"/>
          <w:b/>
          <w:i w:val="0"/>
          <w:color w:val="000000" w:themeColor="text1"/>
          <w:sz w:val="22"/>
          <w:szCs w:val="22"/>
        </w:rPr>
        <w:t>7.</w:t>
      </w:r>
      <w:r w:rsidRPr="00240E36">
        <w:rPr>
          <w:rFonts w:asciiTheme="majorHAnsi" w:hAnsiTheme="majorHAnsi" w:cstheme="majorHAnsi"/>
          <w:b/>
          <w:i w:val="0"/>
          <w:color w:val="000000" w:themeColor="text1"/>
          <w:sz w:val="22"/>
          <w:szCs w:val="22"/>
        </w:rPr>
        <w:fldChar w:fldCharType="begin"/>
      </w:r>
      <w:r w:rsidRPr="00240E36">
        <w:rPr>
          <w:rFonts w:asciiTheme="majorHAnsi" w:hAnsiTheme="majorHAnsi" w:cstheme="majorHAnsi"/>
          <w:b/>
          <w:i w:val="0"/>
          <w:color w:val="000000" w:themeColor="text1"/>
          <w:sz w:val="22"/>
          <w:szCs w:val="22"/>
        </w:rPr>
        <w:instrText xml:space="preserve"> STYLEREF 1 \s </w:instrText>
      </w:r>
      <w:r w:rsidRPr="00240E36">
        <w:rPr>
          <w:rFonts w:asciiTheme="majorHAnsi" w:hAnsiTheme="majorHAnsi" w:cstheme="majorHAnsi"/>
          <w:b/>
          <w:i w:val="0"/>
          <w:color w:val="000000" w:themeColor="text1"/>
          <w:sz w:val="22"/>
          <w:szCs w:val="22"/>
        </w:rPr>
        <w:fldChar w:fldCharType="separate"/>
      </w:r>
      <w:r w:rsidRPr="00240E36">
        <w:rPr>
          <w:rFonts w:asciiTheme="majorHAnsi" w:hAnsiTheme="majorHAnsi" w:cstheme="majorHAnsi"/>
          <w:b/>
          <w:i w:val="0"/>
          <w:noProof/>
          <w:color w:val="000000" w:themeColor="text1"/>
          <w:sz w:val="22"/>
          <w:szCs w:val="22"/>
        </w:rPr>
        <w:t>5</w:t>
      </w:r>
      <w:r w:rsidRPr="00240E36">
        <w:rPr>
          <w:rFonts w:asciiTheme="majorHAnsi" w:hAnsiTheme="majorHAnsi" w:cstheme="majorHAnsi"/>
          <w:b/>
          <w:i w:val="0"/>
          <w:color w:val="000000" w:themeColor="text1"/>
          <w:sz w:val="22"/>
          <w:szCs w:val="22"/>
        </w:rPr>
        <w:fldChar w:fldCharType="end"/>
      </w:r>
      <w:r w:rsidRPr="00240E36">
        <w:rPr>
          <w:rFonts w:asciiTheme="majorHAnsi" w:hAnsiTheme="majorHAnsi" w:cstheme="majorHAnsi"/>
          <w:b/>
          <w:i w:val="0"/>
          <w:color w:val="000000" w:themeColor="text1"/>
          <w:sz w:val="22"/>
          <w:szCs w:val="22"/>
        </w:rPr>
        <w:t>.</w:t>
      </w:r>
      <w:r w:rsidR="00776DDB">
        <w:rPr>
          <w:rFonts w:asciiTheme="majorHAnsi" w:hAnsiTheme="majorHAnsi" w:cstheme="majorHAnsi"/>
          <w:b/>
          <w:i w:val="0"/>
          <w:color w:val="000000" w:themeColor="text1"/>
          <w:sz w:val="22"/>
          <w:szCs w:val="22"/>
        </w:rPr>
        <w:t>4</w:t>
      </w:r>
      <w:r w:rsidRPr="00240E36">
        <w:rPr>
          <w:rFonts w:asciiTheme="majorHAnsi" w:hAnsiTheme="majorHAnsi" w:cstheme="majorHAnsi"/>
          <w:b/>
          <w:i w:val="0"/>
          <w:color w:val="000000" w:themeColor="text1"/>
          <w:sz w:val="22"/>
          <w:szCs w:val="22"/>
        </w:rPr>
        <w:t>: Počet ZSJ s pokrytím NGA menším, než 40/50 % dle typologie městských a venkovských regionů (NUTS3) v roce 2016</w:t>
      </w:r>
      <w:bookmarkEnd w:id="223"/>
      <w:bookmarkEnd w:id="224"/>
      <w:bookmarkEnd w:id="225"/>
    </w:p>
    <w:p w14:paraId="7B177A0D" w14:textId="77777777" w:rsidR="005517C9" w:rsidRDefault="000C6EEA" w:rsidP="007B56F9">
      <w:pPr>
        <w:spacing w:before="0" w:line="240" w:lineRule="auto"/>
        <w:ind w:firstLine="0"/>
        <w:rPr>
          <w:rFonts w:asciiTheme="majorHAnsi" w:hAnsiTheme="majorHAnsi" w:cstheme="majorHAnsi"/>
          <w:i/>
          <w:sz w:val="18"/>
          <w:szCs w:val="18"/>
        </w:rPr>
      </w:pPr>
      <w:r>
        <w:rPr>
          <w:noProof/>
        </w:rPr>
        <w:drawing>
          <wp:inline distT="0" distB="0" distL="0" distR="0" wp14:anchorId="29069ADB" wp14:editId="7D6F9826">
            <wp:extent cx="4572000" cy="1933575"/>
            <wp:effectExtent l="0" t="0" r="0" b="9525"/>
            <wp:docPr id="67" name="Graf 67">
              <a:extLst xmlns:a="http://schemas.openxmlformats.org/drawingml/2006/main">
                <a:ext uri="{FF2B5EF4-FFF2-40B4-BE49-F238E27FC236}">
                  <a16:creationId xmlns:a16="http://schemas.microsoft.com/office/drawing/2014/main" id="{F9A135C4-15B3-4BC4-B6A0-F36E493841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szCs w:val="24"/>
        </w:rPr>
        <w:br/>
      </w:r>
      <w:r w:rsidRPr="007B56F9">
        <w:rPr>
          <w:rFonts w:asciiTheme="majorHAnsi" w:hAnsiTheme="majorHAnsi" w:cstheme="majorHAnsi"/>
          <w:i/>
          <w:sz w:val="18"/>
          <w:szCs w:val="18"/>
        </w:rPr>
        <w:t>Zdroj: MPO, 2016</w:t>
      </w:r>
    </w:p>
    <w:p w14:paraId="4EB237D0" w14:textId="77777777" w:rsidR="007B56F9" w:rsidRPr="007B56F9" w:rsidRDefault="007B56F9" w:rsidP="007B56F9">
      <w:pPr>
        <w:spacing w:before="0" w:line="240" w:lineRule="auto"/>
        <w:ind w:firstLine="0"/>
        <w:rPr>
          <w:rFonts w:asciiTheme="majorHAnsi" w:hAnsiTheme="majorHAnsi" w:cstheme="majorHAnsi"/>
        </w:rPr>
      </w:pPr>
    </w:p>
    <w:p w14:paraId="26140067" w14:textId="77777777" w:rsidR="00143820" w:rsidRPr="00C60205" w:rsidRDefault="00143820" w:rsidP="0060489F">
      <w:pPr>
        <w:pStyle w:val="Nadpis1"/>
        <w:numPr>
          <w:ilvl w:val="1"/>
          <w:numId w:val="60"/>
        </w:numPr>
      </w:pPr>
      <w:bookmarkStart w:id="226" w:name="_Toc525823171"/>
      <w:bookmarkStart w:id="227" w:name="_Toc525825210"/>
      <w:r w:rsidRPr="00C60205">
        <w:t>Reference</w:t>
      </w:r>
      <w:bookmarkEnd w:id="226"/>
      <w:bookmarkEnd w:id="227"/>
    </w:p>
    <w:p w14:paraId="68604116" w14:textId="77777777" w:rsidR="00454E1D" w:rsidRDefault="00454E1D" w:rsidP="007B56F9">
      <w:pPr>
        <w:spacing w:before="0" w:line="240" w:lineRule="auto"/>
      </w:pPr>
    </w:p>
    <w:p w14:paraId="4FADE8BF" w14:textId="77777777" w:rsidR="00143820" w:rsidRDefault="00143820" w:rsidP="007B56F9">
      <w:pPr>
        <w:spacing w:before="0" w:line="240" w:lineRule="auto"/>
        <w:ind w:left="567" w:hanging="567"/>
      </w:pPr>
      <w:r>
        <w:t>EKOTOXA, IREAS (2016). Ex post hodnocení Programu rozvoje venkova za období 2007-2013. Závěrečná zpráva.</w:t>
      </w:r>
    </w:p>
    <w:p w14:paraId="5DC6B59C" w14:textId="77777777" w:rsidR="00143820" w:rsidRDefault="00143820" w:rsidP="007B56F9">
      <w:pPr>
        <w:spacing w:before="0" w:line="240" w:lineRule="auto"/>
        <w:ind w:left="567" w:hanging="567"/>
      </w:pPr>
      <w:r>
        <w:t>NAVIGA 4, EVALUATION ADVISORY CE (2018). Průběžné hodnocení k 31. 12. 2017. Hodnocení Programu rozvoje venkova na období 2014-2020.</w:t>
      </w:r>
    </w:p>
    <w:p w14:paraId="2B3213CA" w14:textId="77777777" w:rsidR="00C2735F" w:rsidRDefault="00302A3C" w:rsidP="007B56F9">
      <w:pPr>
        <w:spacing w:before="0" w:line="240" w:lineRule="auto"/>
        <w:ind w:left="567" w:hanging="567"/>
      </w:pPr>
      <w:proofErr w:type="spellStart"/>
      <w:r>
        <w:t>MZe</w:t>
      </w:r>
      <w:proofErr w:type="spellEnd"/>
      <w:r w:rsidR="001063ED">
        <w:t xml:space="preserve"> (2017)</w:t>
      </w:r>
      <w:r w:rsidR="00FB44D0">
        <w:t>. Podpora obslužnosti venkova</w:t>
      </w:r>
    </w:p>
    <w:sectPr w:rsidR="00C2735F" w:rsidSect="00C150AD">
      <w:footerReference w:type="default" r:id="rId85"/>
      <w:headerReference w:type="first" r:id="rId86"/>
      <w:footerReference w:type="first" r:id="rId8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9E890" w14:textId="77777777" w:rsidR="00772ACE" w:rsidRDefault="00772ACE" w:rsidP="00E326BC">
      <w:pPr>
        <w:spacing w:before="0" w:line="240" w:lineRule="auto"/>
      </w:pPr>
      <w:r>
        <w:separator/>
      </w:r>
    </w:p>
  </w:endnote>
  <w:endnote w:type="continuationSeparator" w:id="0">
    <w:p w14:paraId="7BA75C03" w14:textId="77777777" w:rsidR="00772ACE" w:rsidRDefault="00772ACE" w:rsidP="00E326BC">
      <w:pPr>
        <w:spacing w:before="0" w:line="240" w:lineRule="auto"/>
      </w:pPr>
      <w:r>
        <w:continuationSeparator/>
      </w:r>
    </w:p>
  </w:endnote>
  <w:endnote w:type="continuationNotice" w:id="1">
    <w:p w14:paraId="35F0228C" w14:textId="77777777" w:rsidR="00772ACE" w:rsidRDefault="00772AC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8385344"/>
      <w:docPartObj>
        <w:docPartGallery w:val="Page Numbers (Bottom of Page)"/>
        <w:docPartUnique/>
      </w:docPartObj>
    </w:sdtPr>
    <w:sdtEndPr/>
    <w:sdtContent>
      <w:p w14:paraId="7C188000" w14:textId="77777777" w:rsidR="0060489F" w:rsidRDefault="0060489F">
        <w:pPr>
          <w:pStyle w:val="Zpat"/>
          <w:jc w:val="center"/>
        </w:pPr>
        <w:r>
          <w:fldChar w:fldCharType="begin"/>
        </w:r>
        <w:r>
          <w:instrText>PAGE   \* MERGEFORMAT</w:instrText>
        </w:r>
        <w:r>
          <w:fldChar w:fldCharType="separate"/>
        </w:r>
        <w:r>
          <w:rPr>
            <w:noProof/>
          </w:rPr>
          <w:t>32</w:t>
        </w:r>
        <w:r>
          <w:fldChar w:fldCharType="end"/>
        </w:r>
      </w:p>
    </w:sdtContent>
  </w:sdt>
  <w:p w14:paraId="52F368E6" w14:textId="77777777" w:rsidR="0060489F" w:rsidRDefault="0060489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4"/>
      <w:gridCol w:w="3024"/>
      <w:gridCol w:w="3024"/>
    </w:tblGrid>
    <w:tr w:rsidR="0060489F" w14:paraId="2D391A1F" w14:textId="77777777" w:rsidTr="56AE15A7">
      <w:tc>
        <w:tcPr>
          <w:tcW w:w="3024" w:type="dxa"/>
        </w:tcPr>
        <w:p w14:paraId="5933F15F" w14:textId="77777777" w:rsidR="0060489F" w:rsidRDefault="0060489F" w:rsidP="56AE15A7">
          <w:pPr>
            <w:pStyle w:val="Zhlav"/>
            <w:ind w:left="-115"/>
            <w:jc w:val="left"/>
          </w:pPr>
        </w:p>
      </w:tc>
      <w:tc>
        <w:tcPr>
          <w:tcW w:w="3024" w:type="dxa"/>
        </w:tcPr>
        <w:p w14:paraId="38BFA91F" w14:textId="77777777" w:rsidR="0060489F" w:rsidRDefault="0060489F" w:rsidP="56AE15A7">
          <w:pPr>
            <w:pStyle w:val="Zhlav"/>
            <w:jc w:val="center"/>
          </w:pPr>
        </w:p>
      </w:tc>
      <w:tc>
        <w:tcPr>
          <w:tcW w:w="3024" w:type="dxa"/>
        </w:tcPr>
        <w:p w14:paraId="2BC7DB69" w14:textId="77777777" w:rsidR="0060489F" w:rsidRDefault="0060489F" w:rsidP="56AE15A7">
          <w:pPr>
            <w:pStyle w:val="Zhlav"/>
            <w:ind w:right="-115"/>
            <w:jc w:val="right"/>
          </w:pPr>
        </w:p>
      </w:tc>
    </w:tr>
  </w:tbl>
  <w:p w14:paraId="02ABDBFA" w14:textId="77777777" w:rsidR="0060489F" w:rsidRDefault="0060489F" w:rsidP="56AE15A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CECC8" w14:textId="77777777" w:rsidR="00772ACE" w:rsidRDefault="00772ACE" w:rsidP="00E326BC">
      <w:pPr>
        <w:spacing w:before="0" w:line="240" w:lineRule="auto"/>
      </w:pPr>
      <w:r>
        <w:separator/>
      </w:r>
    </w:p>
  </w:footnote>
  <w:footnote w:type="continuationSeparator" w:id="0">
    <w:p w14:paraId="18871067" w14:textId="77777777" w:rsidR="00772ACE" w:rsidRDefault="00772ACE" w:rsidP="00E326BC">
      <w:pPr>
        <w:spacing w:before="0" w:line="240" w:lineRule="auto"/>
      </w:pPr>
      <w:r>
        <w:continuationSeparator/>
      </w:r>
    </w:p>
  </w:footnote>
  <w:footnote w:type="continuationNotice" w:id="1">
    <w:p w14:paraId="0AAB08BA" w14:textId="77777777" w:rsidR="00772ACE" w:rsidRDefault="00772ACE">
      <w:pPr>
        <w:spacing w:before="0" w:line="240" w:lineRule="auto"/>
      </w:pPr>
    </w:p>
  </w:footnote>
  <w:footnote w:id="2">
    <w:p w14:paraId="0642FEEF" w14:textId="77777777" w:rsidR="0060489F" w:rsidRDefault="0060489F">
      <w:pPr>
        <w:pStyle w:val="Textpoznpodarou"/>
      </w:pPr>
      <w:r w:rsidRPr="0060489F">
        <w:rPr>
          <w:rStyle w:val="Znakapoznpodarou"/>
        </w:rPr>
        <w:footnoteRef/>
      </w:r>
      <w:r w:rsidRPr="0060489F">
        <w:t xml:space="preserve"> CENIA (2016).</w:t>
      </w:r>
      <w:r w:rsidRPr="0060489F">
        <w:rPr>
          <w:iCs/>
        </w:rPr>
        <w:t xml:space="preserve"> Zpráva o životním prostředí České republiky.</w:t>
      </w:r>
      <w:r w:rsidRPr="0060489F">
        <w:t xml:space="preserve"> Praha: Ministerstvo životního prostředí ČR. Dostupné z: https://www.mzp.cz/C1257458002F0DC7/cz/zpravy_o_stavu_zivotniho_prostredi_publikace/$FILE/SOPSZP-Zprava_ZP_CR_2016-20171211.pdf</w:t>
      </w:r>
    </w:p>
  </w:footnote>
  <w:footnote w:id="3">
    <w:p w14:paraId="533AD52A" w14:textId="77777777" w:rsidR="0060489F" w:rsidRPr="0060489F" w:rsidRDefault="0060489F">
      <w:pPr>
        <w:pStyle w:val="Textpoznpodarou"/>
        <w:rPr>
          <w:rFonts w:asciiTheme="majorHAnsi" w:hAnsiTheme="majorHAnsi" w:cstheme="majorHAnsi"/>
        </w:rPr>
      </w:pPr>
      <w:r w:rsidRPr="0060489F">
        <w:rPr>
          <w:rStyle w:val="Znakapoznpodarou"/>
          <w:rFonts w:asciiTheme="majorHAnsi" w:hAnsiTheme="majorHAnsi" w:cstheme="majorHAnsi"/>
        </w:rPr>
        <w:footnoteRef/>
      </w:r>
      <w:r w:rsidRPr="0060489F">
        <w:rPr>
          <w:rFonts w:asciiTheme="majorHAnsi" w:hAnsiTheme="majorHAnsi" w:cstheme="majorHAnsi"/>
        </w:rPr>
        <w:t xml:space="preserve"> </w:t>
      </w:r>
      <w:hyperlink r:id="rId1" w:history="1">
        <w:r w:rsidRPr="0060489F">
          <w:rPr>
            <w:rStyle w:val="Hypertextovodkaz"/>
            <w:rFonts w:asciiTheme="majorHAnsi" w:hAnsiTheme="majorHAnsi" w:cstheme="majorHAnsi"/>
            <w:color w:val="auto"/>
          </w:rPr>
          <w:t>https://www.uur.cz/images/5-publikacni-cinnost-a-knihovna/casopis/2012/2012-06/03_zemedelske.pdf</w:t>
        </w:r>
      </w:hyperlink>
      <w:r w:rsidRPr="0060489F">
        <w:rPr>
          <w:rFonts w:asciiTheme="majorHAnsi" w:hAnsiTheme="majorHAnsi" w:cstheme="majorHAnsi"/>
        </w:rPr>
        <w:t>.</w:t>
      </w:r>
    </w:p>
  </w:footnote>
  <w:footnote w:id="4">
    <w:p w14:paraId="13108AE5" w14:textId="77777777" w:rsidR="0060489F" w:rsidRPr="0060489F" w:rsidRDefault="0060489F" w:rsidP="001D11EF">
      <w:pPr>
        <w:pStyle w:val="Textpoznpodarou"/>
        <w:rPr>
          <w:rFonts w:asciiTheme="majorHAnsi" w:hAnsiTheme="majorHAnsi" w:cstheme="majorHAnsi"/>
        </w:rPr>
      </w:pPr>
      <w:r w:rsidRPr="0060489F">
        <w:rPr>
          <w:rStyle w:val="Znakapoznpodarou"/>
          <w:rFonts w:asciiTheme="majorHAnsi" w:hAnsiTheme="majorHAnsi" w:cstheme="majorHAnsi"/>
        </w:rPr>
        <w:footnoteRef/>
      </w:r>
      <w:r w:rsidRPr="0060489F">
        <w:rPr>
          <w:rFonts w:asciiTheme="majorHAnsi" w:hAnsiTheme="majorHAnsi" w:cstheme="majorHAnsi"/>
        </w:rPr>
        <w:t xml:space="preserve"> </w:t>
      </w:r>
      <w:hyperlink r:id="rId2" w:history="1">
        <w:r w:rsidRPr="0060489F">
          <w:rPr>
            <w:rStyle w:val="Hypertextovodkaz"/>
            <w:rFonts w:asciiTheme="majorHAnsi" w:hAnsiTheme="majorHAnsi" w:cstheme="majorHAnsi"/>
            <w:color w:val="auto"/>
          </w:rPr>
          <w:t>https://www.czechinvest.org/cz/Sluzby-pro-municipality/Nemovitosti-pro-podnikatelske-ucely/Brownfieldy</w:t>
        </w:r>
      </w:hyperlink>
      <w:r w:rsidRPr="0060489F">
        <w:rPr>
          <w:rStyle w:val="Hypertextovodkaz"/>
          <w:rFonts w:asciiTheme="majorHAnsi" w:hAnsiTheme="majorHAnsi" w:cstheme="majorHAnsi"/>
          <w:color w:val="auto"/>
        </w:rPr>
        <w:t xml:space="preserve"> (září, 2018).</w:t>
      </w:r>
    </w:p>
  </w:footnote>
  <w:footnote w:id="5">
    <w:p w14:paraId="7CAD3679" w14:textId="77777777" w:rsidR="0060489F" w:rsidRPr="004B694B" w:rsidRDefault="0060489F">
      <w:pPr>
        <w:pStyle w:val="Textpoznpodarou"/>
        <w:rPr>
          <w:rFonts w:asciiTheme="majorHAnsi" w:eastAsiaTheme="majorEastAsia" w:hAnsiTheme="majorHAnsi" w:cstheme="majorBidi"/>
          <w:sz w:val="18"/>
          <w:szCs w:val="18"/>
        </w:rPr>
      </w:pPr>
      <w:r w:rsidRPr="0060489F">
        <w:rPr>
          <w:rStyle w:val="Znakapoznpodarou"/>
          <w:rFonts w:asciiTheme="majorHAnsi" w:eastAsiaTheme="majorEastAsia" w:hAnsiTheme="majorHAnsi" w:cstheme="majorHAnsi"/>
        </w:rPr>
        <w:footnoteRef/>
      </w:r>
      <w:r w:rsidRPr="0060489F">
        <w:rPr>
          <w:rFonts w:asciiTheme="majorHAnsi" w:eastAsiaTheme="majorEastAsia" w:hAnsiTheme="majorHAnsi" w:cstheme="majorHAnsi"/>
        </w:rPr>
        <w:t xml:space="preserve"> Čada, K. 2015. Analýza sociálně vyloučených lokalit ČR. GAC a spol.</w:t>
      </w:r>
    </w:p>
  </w:footnote>
  <w:footnote w:id="6">
    <w:p w14:paraId="1C0FC482" w14:textId="77777777" w:rsidR="0060489F" w:rsidRPr="00346853" w:rsidRDefault="0060489F" w:rsidP="00143820">
      <w:pPr>
        <w:pStyle w:val="Textpoznpodarou"/>
      </w:pPr>
      <w:r w:rsidRPr="00346853">
        <w:rPr>
          <w:rStyle w:val="Znakapoznpodarou"/>
        </w:rPr>
        <w:footnoteRef/>
      </w:r>
      <w:r w:rsidRPr="00346853">
        <w:t xml:space="preserve"> Nová typologie regionů NUTS 3: </w:t>
      </w:r>
      <w:hyperlink r:id="rId3" w:history="1">
        <w:r w:rsidRPr="00346853">
          <w:rPr>
            <w:rStyle w:val="Hypertextovodkaz"/>
          </w:rPr>
          <w:t>http://www.dvs.cz/clanek.asp?id=6485296</w:t>
        </w:r>
      </w:hyperlink>
    </w:p>
  </w:footnote>
  <w:footnote w:id="7">
    <w:p w14:paraId="23F26F24" w14:textId="77777777" w:rsidR="0060489F" w:rsidRPr="005208F1" w:rsidRDefault="0060489F">
      <w:pPr>
        <w:pStyle w:val="Textpoznpodarou"/>
      </w:pPr>
      <w:r w:rsidRPr="005208F1">
        <w:rPr>
          <w:rStyle w:val="Znakapoznpodarou"/>
        </w:rPr>
        <w:footnoteRef/>
      </w:r>
      <w:r w:rsidRPr="005208F1">
        <w:t xml:space="preserve"> </w:t>
      </w:r>
      <w:r w:rsidRPr="005208F1">
        <w:rPr>
          <w:rFonts w:ascii="Calibri" w:eastAsia="Calibri" w:hAnsi="Calibri" w:cs="Calibri"/>
        </w:rPr>
        <w:t>Za venkov počítáme regiony venkovské nebo přechodné.</w:t>
      </w:r>
    </w:p>
  </w:footnote>
  <w:footnote w:id="8">
    <w:p w14:paraId="269E8F99" w14:textId="77777777" w:rsidR="0060489F" w:rsidRPr="005208F1" w:rsidRDefault="0060489F" w:rsidP="00143820">
      <w:pPr>
        <w:pStyle w:val="Textpoznpodarou"/>
      </w:pPr>
      <w:r w:rsidRPr="005208F1">
        <w:rPr>
          <w:rStyle w:val="FootnoteCharacters"/>
        </w:rPr>
        <w:footnoteRef/>
      </w:r>
      <w:r w:rsidRPr="005208F1">
        <w:t xml:space="preserve"> Ukazatel počtu pracovních míst se vypočítá podle vzorce: zaměstnané osoby – vyjíždějící osoby za prací (mimo obec) + dojíždějící osoby za prací (mimo obec). Tento ukazatel lze spočítat pro různé regionální úrovně i odvětvové struktury. Z něho vychází i nově zkonstruovaný ukazatel míry zaměstnatelnosti vyjadřující kolik pracovních míst připadá na jednoho ekonomicky aktivního obyvatele.</w:t>
      </w:r>
    </w:p>
  </w:footnote>
  <w:footnote w:id="9">
    <w:p w14:paraId="2BF79A0E" w14:textId="77777777" w:rsidR="0060489F" w:rsidRPr="002507F9" w:rsidRDefault="0060489F" w:rsidP="004B694B">
      <w:pPr>
        <w:spacing w:before="0" w:line="240" w:lineRule="auto"/>
        <w:ind w:firstLine="0"/>
        <w:rPr>
          <w:rFonts w:asciiTheme="majorHAnsi" w:eastAsiaTheme="majorEastAsia" w:hAnsiTheme="majorHAnsi" w:cstheme="majorBidi"/>
          <w:sz w:val="20"/>
          <w:szCs w:val="20"/>
        </w:rPr>
      </w:pPr>
      <w:r w:rsidRPr="002507F9">
        <w:rPr>
          <w:rStyle w:val="Znakapoznpodarou"/>
          <w:rFonts w:asciiTheme="majorHAnsi" w:eastAsiaTheme="majorEastAsia" w:hAnsiTheme="majorHAnsi" w:cstheme="majorBidi"/>
          <w:sz w:val="20"/>
          <w:szCs w:val="20"/>
        </w:rPr>
        <w:footnoteRef/>
      </w:r>
      <w:r w:rsidRPr="002507F9">
        <w:rPr>
          <w:rFonts w:asciiTheme="majorHAnsi" w:eastAsiaTheme="majorEastAsia" w:hAnsiTheme="majorHAnsi" w:cstheme="majorBidi"/>
          <w:sz w:val="20"/>
          <w:szCs w:val="20"/>
        </w:rPr>
        <w:t xml:space="preserve"> Souhrnný ukazatel rizika chudoby nebo sociálního vyloučení je složen ze tří níže uvedených ukazatelů, každá osoba žijící v domácnosti, která spadá pod vymezenou hranici, byť v jediném z uvedených ukazatelů, je označena za ohroženou chudobou nebo sociálním vyloučením</w:t>
      </w:r>
    </w:p>
    <w:p w14:paraId="54DDCAC6" w14:textId="77777777" w:rsidR="0060489F" w:rsidRDefault="0060489F" w:rsidP="00143820">
      <w:pPr>
        <w:pStyle w:val="Textpoznpodarou"/>
      </w:pPr>
    </w:p>
  </w:footnote>
  <w:footnote w:id="10">
    <w:p w14:paraId="5BB8F6E7" w14:textId="77777777" w:rsidR="0060489F" w:rsidRPr="002507F9" w:rsidRDefault="0060489F" w:rsidP="004B694B">
      <w:pPr>
        <w:spacing w:before="0" w:line="240" w:lineRule="auto"/>
        <w:ind w:firstLine="0"/>
        <w:rPr>
          <w:rFonts w:asciiTheme="majorHAnsi" w:eastAsiaTheme="majorEastAsia" w:hAnsiTheme="majorHAnsi" w:cstheme="majorBidi"/>
          <w:sz w:val="20"/>
          <w:szCs w:val="20"/>
        </w:rPr>
      </w:pPr>
      <w:r w:rsidRPr="002507F9">
        <w:rPr>
          <w:rStyle w:val="Znakapoznpodarou"/>
          <w:rFonts w:asciiTheme="majorHAnsi" w:eastAsiaTheme="majorEastAsia" w:hAnsiTheme="majorHAnsi" w:cstheme="majorBidi"/>
          <w:sz w:val="20"/>
          <w:szCs w:val="20"/>
        </w:rPr>
        <w:footnoteRef/>
      </w:r>
      <w:r w:rsidRPr="002507F9">
        <w:rPr>
          <w:rFonts w:asciiTheme="majorHAnsi" w:eastAsiaTheme="majorEastAsia" w:hAnsiTheme="majorHAnsi" w:cstheme="majorBidi"/>
          <w:sz w:val="20"/>
          <w:szCs w:val="20"/>
        </w:rPr>
        <w:t xml:space="preserve"> Ohrožení příjmovou chudobou vychází z přepočtu různě velkých domácností na jeden společný základ tzv. ekvivalentních jednotek, kdy každé osobě v domácnosti je přiřazena váha; hranice ohrožení příjmovou chudobou je pak stanovena na 60 % národního mediánu přepočteného příjmu; relativní ukazatel</w:t>
      </w:r>
    </w:p>
    <w:p w14:paraId="61E4E81D" w14:textId="77777777" w:rsidR="0060489F" w:rsidRPr="002507F9" w:rsidRDefault="0060489F" w:rsidP="00143820">
      <w:pPr>
        <w:pStyle w:val="Textpoznpodarou"/>
      </w:pPr>
    </w:p>
  </w:footnote>
  <w:footnote w:id="11">
    <w:p w14:paraId="25A98577" w14:textId="77777777" w:rsidR="0060489F" w:rsidRPr="002507F9" w:rsidRDefault="0060489F" w:rsidP="004B694B">
      <w:pPr>
        <w:spacing w:before="0" w:line="240" w:lineRule="auto"/>
        <w:ind w:left="284" w:hanging="284"/>
        <w:rPr>
          <w:rFonts w:asciiTheme="majorHAnsi" w:eastAsiaTheme="majorEastAsia" w:hAnsiTheme="majorHAnsi" w:cstheme="majorBidi"/>
          <w:sz w:val="20"/>
          <w:szCs w:val="20"/>
        </w:rPr>
      </w:pPr>
      <w:r w:rsidRPr="002507F9">
        <w:rPr>
          <w:rStyle w:val="Znakapoznpodarou"/>
          <w:rFonts w:asciiTheme="majorHAnsi" w:eastAsiaTheme="majorEastAsia" w:hAnsiTheme="majorHAnsi" w:cstheme="majorBidi"/>
          <w:sz w:val="20"/>
          <w:szCs w:val="20"/>
        </w:rPr>
        <w:footnoteRef/>
      </w:r>
      <w:r w:rsidRPr="002507F9">
        <w:rPr>
          <w:rFonts w:asciiTheme="majorHAnsi" w:eastAsiaTheme="majorEastAsia" w:hAnsiTheme="majorHAnsi" w:cstheme="majorBidi"/>
          <w:sz w:val="20"/>
          <w:szCs w:val="20"/>
        </w:rPr>
        <w:t xml:space="preserve"> Míra materiální deprivace je podíl osob žijících v domácnostech, jež čelí nedostatku nejméně 4 z 9 stanovených položek, které si domácnost nemůže z finančních důvodů dovolit: </w:t>
      </w:r>
    </w:p>
    <w:p w14:paraId="7371F367" w14:textId="77777777" w:rsidR="0060489F" w:rsidRPr="002507F9" w:rsidRDefault="002507F9" w:rsidP="002507F9">
      <w:pPr>
        <w:pStyle w:val="Odstavecseseznamem"/>
        <w:spacing w:before="0" w:line="240" w:lineRule="auto"/>
        <w:ind w:left="284" w:firstLine="0"/>
        <w:jc w:val="left"/>
        <w:rPr>
          <w:rFonts w:asciiTheme="majorHAnsi" w:eastAsiaTheme="majorEastAsia" w:hAnsiTheme="majorHAnsi" w:cstheme="majorBidi"/>
          <w:sz w:val="20"/>
          <w:szCs w:val="20"/>
        </w:rPr>
      </w:pPr>
      <w:r>
        <w:rPr>
          <w:rFonts w:asciiTheme="majorHAnsi" w:eastAsiaTheme="majorEastAsia" w:hAnsiTheme="majorHAnsi" w:cstheme="majorBidi"/>
          <w:sz w:val="20"/>
          <w:szCs w:val="20"/>
        </w:rPr>
        <w:t xml:space="preserve">1. </w:t>
      </w:r>
      <w:r w:rsidR="0060489F" w:rsidRPr="002507F9">
        <w:rPr>
          <w:rFonts w:asciiTheme="majorHAnsi" w:eastAsiaTheme="majorEastAsia" w:hAnsiTheme="majorHAnsi" w:cstheme="majorBidi"/>
          <w:sz w:val="20"/>
          <w:szCs w:val="20"/>
        </w:rPr>
        <w:t>Zaplatit neočekávaný výdaj ve výši několika tisíc</w:t>
      </w:r>
      <w:r w:rsidRPr="002507F9">
        <w:rPr>
          <w:rFonts w:asciiTheme="majorHAnsi" w:eastAsiaTheme="majorEastAsia" w:hAnsiTheme="majorHAnsi" w:cstheme="majorBidi"/>
          <w:sz w:val="20"/>
          <w:szCs w:val="20"/>
        </w:rPr>
        <w:t xml:space="preserve">; 2. </w:t>
      </w:r>
      <w:r w:rsidR="0060489F" w:rsidRPr="002507F9">
        <w:rPr>
          <w:rFonts w:asciiTheme="majorHAnsi" w:eastAsiaTheme="majorEastAsia" w:hAnsiTheme="majorHAnsi" w:cstheme="majorBidi"/>
          <w:sz w:val="20"/>
          <w:szCs w:val="20"/>
        </w:rPr>
        <w:t>Jíst maso, drůbež nebo ryby (nebo vegetariánské</w:t>
      </w:r>
      <w:r w:rsidRPr="002507F9">
        <w:rPr>
          <w:rFonts w:asciiTheme="majorHAnsi" w:eastAsiaTheme="majorEastAsia" w:hAnsiTheme="majorHAnsi" w:cstheme="majorBidi"/>
          <w:sz w:val="20"/>
          <w:szCs w:val="20"/>
        </w:rPr>
        <w:t xml:space="preserve"> </w:t>
      </w:r>
      <w:r w:rsidR="0060489F" w:rsidRPr="002507F9">
        <w:rPr>
          <w:rFonts w:asciiTheme="majorHAnsi" w:eastAsiaTheme="majorEastAsia" w:hAnsiTheme="majorHAnsi" w:cstheme="majorBidi"/>
          <w:sz w:val="20"/>
          <w:szCs w:val="20"/>
        </w:rPr>
        <w:t>náhražky) každý druhý den</w:t>
      </w:r>
      <w:r w:rsidRPr="002507F9">
        <w:rPr>
          <w:rFonts w:asciiTheme="majorHAnsi" w:eastAsiaTheme="majorEastAsia" w:hAnsiTheme="majorHAnsi" w:cstheme="majorBidi"/>
          <w:sz w:val="20"/>
          <w:szCs w:val="20"/>
        </w:rPr>
        <w:t xml:space="preserve">; 3. </w:t>
      </w:r>
      <w:r w:rsidR="0060489F" w:rsidRPr="002507F9">
        <w:rPr>
          <w:rFonts w:asciiTheme="majorHAnsi" w:eastAsiaTheme="majorEastAsia" w:hAnsiTheme="majorHAnsi" w:cstheme="majorBidi"/>
          <w:sz w:val="20"/>
          <w:szCs w:val="20"/>
        </w:rPr>
        <w:t>Dostatečně vytápět byt</w:t>
      </w:r>
      <w:r w:rsidRPr="002507F9">
        <w:rPr>
          <w:rFonts w:asciiTheme="majorHAnsi" w:eastAsiaTheme="majorEastAsia" w:hAnsiTheme="majorHAnsi" w:cstheme="majorBidi"/>
          <w:sz w:val="20"/>
          <w:szCs w:val="20"/>
        </w:rPr>
        <w:t xml:space="preserve">; 4. </w:t>
      </w:r>
      <w:r w:rsidR="0060489F" w:rsidRPr="002507F9">
        <w:rPr>
          <w:rFonts w:asciiTheme="majorHAnsi" w:eastAsiaTheme="majorEastAsia" w:hAnsiTheme="majorHAnsi" w:cstheme="majorBidi"/>
          <w:sz w:val="20"/>
          <w:szCs w:val="20"/>
        </w:rPr>
        <w:t>Zaplatit ročně všem členům domácnosti alespoň týdenní dovolenou mimo domov</w:t>
      </w:r>
      <w:r w:rsidRPr="002507F9">
        <w:rPr>
          <w:rFonts w:asciiTheme="majorHAnsi" w:eastAsiaTheme="majorEastAsia" w:hAnsiTheme="majorHAnsi" w:cstheme="majorBidi"/>
          <w:sz w:val="20"/>
          <w:szCs w:val="20"/>
        </w:rPr>
        <w:t xml:space="preserve">; 5. </w:t>
      </w:r>
      <w:r w:rsidR="0060489F" w:rsidRPr="002507F9">
        <w:rPr>
          <w:rFonts w:asciiTheme="majorHAnsi" w:eastAsiaTheme="majorEastAsia" w:hAnsiTheme="majorHAnsi" w:cstheme="majorBidi"/>
          <w:sz w:val="20"/>
          <w:szCs w:val="20"/>
        </w:rPr>
        <w:t>Mít pračku</w:t>
      </w:r>
      <w:r w:rsidRPr="002507F9">
        <w:rPr>
          <w:rFonts w:asciiTheme="majorHAnsi" w:eastAsiaTheme="majorEastAsia" w:hAnsiTheme="majorHAnsi" w:cstheme="majorBidi"/>
          <w:sz w:val="20"/>
          <w:szCs w:val="20"/>
        </w:rPr>
        <w:t xml:space="preserve">; 6. </w:t>
      </w:r>
      <w:r w:rsidR="0060489F" w:rsidRPr="002507F9">
        <w:rPr>
          <w:rFonts w:asciiTheme="majorHAnsi" w:eastAsiaTheme="majorEastAsia" w:hAnsiTheme="majorHAnsi" w:cstheme="majorBidi"/>
          <w:sz w:val="20"/>
          <w:szCs w:val="20"/>
        </w:rPr>
        <w:t>Mít barevnou televizi</w:t>
      </w:r>
      <w:r w:rsidRPr="002507F9">
        <w:rPr>
          <w:rFonts w:asciiTheme="majorHAnsi" w:eastAsiaTheme="majorEastAsia" w:hAnsiTheme="majorHAnsi" w:cstheme="majorBidi"/>
          <w:sz w:val="20"/>
          <w:szCs w:val="20"/>
        </w:rPr>
        <w:t xml:space="preserve">; 7. </w:t>
      </w:r>
      <w:r w:rsidR="0060489F" w:rsidRPr="002507F9">
        <w:rPr>
          <w:rFonts w:asciiTheme="majorHAnsi" w:eastAsiaTheme="majorEastAsia" w:hAnsiTheme="majorHAnsi" w:cstheme="majorBidi"/>
          <w:sz w:val="20"/>
          <w:szCs w:val="20"/>
        </w:rPr>
        <w:t>Mít telefon</w:t>
      </w:r>
      <w:r w:rsidRPr="002507F9">
        <w:rPr>
          <w:rFonts w:asciiTheme="majorHAnsi" w:eastAsiaTheme="majorEastAsia" w:hAnsiTheme="majorHAnsi" w:cstheme="majorBidi"/>
          <w:sz w:val="20"/>
          <w:szCs w:val="20"/>
        </w:rPr>
        <w:t xml:space="preserve">; 8. </w:t>
      </w:r>
      <w:r w:rsidR="0060489F" w:rsidRPr="002507F9">
        <w:rPr>
          <w:rFonts w:asciiTheme="majorHAnsi" w:eastAsiaTheme="majorEastAsia" w:hAnsiTheme="majorHAnsi" w:cstheme="majorBidi"/>
          <w:sz w:val="20"/>
          <w:szCs w:val="20"/>
        </w:rPr>
        <w:t>Používat osobní automobil</w:t>
      </w:r>
      <w:r>
        <w:rPr>
          <w:rFonts w:asciiTheme="majorHAnsi" w:eastAsiaTheme="majorEastAsia" w:hAnsiTheme="majorHAnsi" w:cstheme="majorBidi"/>
          <w:sz w:val="20"/>
          <w:szCs w:val="20"/>
        </w:rPr>
        <w:t xml:space="preserve">; 9. </w:t>
      </w:r>
      <w:r w:rsidR="0060489F" w:rsidRPr="002507F9">
        <w:rPr>
          <w:rFonts w:asciiTheme="majorHAnsi" w:eastAsiaTheme="majorEastAsia" w:hAnsiTheme="majorHAnsi" w:cstheme="majorBidi"/>
          <w:sz w:val="20"/>
          <w:szCs w:val="20"/>
        </w:rPr>
        <w:t>Hradit náklady spojené s bydlením – nájemné, splátky hypotéky, platby na energie, ostatní půjčky</w:t>
      </w:r>
    </w:p>
    <w:p w14:paraId="7593BA10" w14:textId="77777777" w:rsidR="0060489F" w:rsidRDefault="0060489F" w:rsidP="00143820">
      <w:pPr>
        <w:pStyle w:val="Textpoznpodarou"/>
      </w:pPr>
    </w:p>
  </w:footnote>
  <w:footnote w:id="12">
    <w:p w14:paraId="3F55FD8F" w14:textId="77777777" w:rsidR="0060489F" w:rsidRPr="002507F9" w:rsidRDefault="0060489F" w:rsidP="004B694B">
      <w:pPr>
        <w:spacing w:before="0" w:line="240" w:lineRule="auto"/>
        <w:ind w:firstLine="0"/>
        <w:rPr>
          <w:rFonts w:asciiTheme="majorHAnsi" w:eastAsiaTheme="majorEastAsia" w:hAnsiTheme="majorHAnsi" w:cstheme="majorBidi"/>
          <w:sz w:val="20"/>
          <w:szCs w:val="20"/>
        </w:rPr>
      </w:pPr>
      <w:r w:rsidRPr="002507F9">
        <w:rPr>
          <w:rStyle w:val="Znakapoznpodarou"/>
          <w:rFonts w:asciiTheme="majorHAnsi" w:eastAsiaTheme="majorEastAsia" w:hAnsiTheme="majorHAnsi" w:cstheme="majorBidi"/>
          <w:sz w:val="20"/>
          <w:szCs w:val="20"/>
        </w:rPr>
        <w:footnoteRef/>
      </w:r>
      <w:r w:rsidRPr="002507F9">
        <w:rPr>
          <w:rFonts w:asciiTheme="majorHAnsi" w:eastAsiaTheme="majorEastAsia" w:hAnsiTheme="majorHAnsi" w:cstheme="majorBidi"/>
          <w:sz w:val="20"/>
          <w:szCs w:val="20"/>
        </w:rPr>
        <w:t xml:space="preserve"> Míra nízké pracovní intenzity je ekonomická aktivita členů domácnosti v jednotlivých měsících roku odpovídající období ročního příjmu, osoby 18–59 let, počet měsíců, kdy tito členové domácnosti pracovali, je vydělen počtem měsíců, kdy pracovat mohli </w:t>
      </w:r>
    </w:p>
    <w:p w14:paraId="60ED39A1" w14:textId="77777777" w:rsidR="0060489F" w:rsidRDefault="0060489F" w:rsidP="00143820">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4"/>
      <w:gridCol w:w="3024"/>
      <w:gridCol w:w="3024"/>
    </w:tblGrid>
    <w:tr w:rsidR="0060489F" w14:paraId="5E0F6D1D" w14:textId="77777777" w:rsidTr="56AE15A7">
      <w:tc>
        <w:tcPr>
          <w:tcW w:w="3024" w:type="dxa"/>
        </w:tcPr>
        <w:p w14:paraId="6FEBF5B4" w14:textId="77777777" w:rsidR="0060489F" w:rsidRDefault="0060489F" w:rsidP="56AE15A7">
          <w:pPr>
            <w:pStyle w:val="Zhlav"/>
            <w:ind w:left="-115"/>
            <w:jc w:val="left"/>
          </w:pPr>
        </w:p>
      </w:tc>
      <w:tc>
        <w:tcPr>
          <w:tcW w:w="3024" w:type="dxa"/>
        </w:tcPr>
        <w:p w14:paraId="4A3DED8E" w14:textId="77777777" w:rsidR="0060489F" w:rsidRDefault="0060489F" w:rsidP="56AE15A7">
          <w:pPr>
            <w:pStyle w:val="Zhlav"/>
            <w:jc w:val="center"/>
          </w:pPr>
        </w:p>
      </w:tc>
      <w:tc>
        <w:tcPr>
          <w:tcW w:w="3024" w:type="dxa"/>
        </w:tcPr>
        <w:p w14:paraId="44CF4178" w14:textId="77777777" w:rsidR="0060489F" w:rsidRDefault="0060489F" w:rsidP="56AE15A7">
          <w:pPr>
            <w:pStyle w:val="Zhlav"/>
            <w:ind w:right="-115"/>
            <w:jc w:val="right"/>
          </w:pPr>
        </w:p>
      </w:tc>
    </w:tr>
  </w:tbl>
  <w:p w14:paraId="10D9C72E" w14:textId="77777777" w:rsidR="0060489F" w:rsidRDefault="0060489F" w:rsidP="56AE15A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A0E36"/>
    <w:multiLevelType w:val="multilevel"/>
    <w:tmpl w:val="B2700CC4"/>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1402D58"/>
    <w:multiLevelType w:val="hybridMultilevel"/>
    <w:tmpl w:val="169CBE52"/>
    <w:lvl w:ilvl="0" w:tplc="C632F448">
      <w:start w:val="1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17A52DB"/>
    <w:multiLevelType w:val="hybridMultilevel"/>
    <w:tmpl w:val="4ED2591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02EA6F89"/>
    <w:multiLevelType w:val="hybridMultilevel"/>
    <w:tmpl w:val="933265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3655CAB"/>
    <w:multiLevelType w:val="hybridMultilevel"/>
    <w:tmpl w:val="AB346BA2"/>
    <w:lvl w:ilvl="0" w:tplc="7C4AA7E0">
      <w:numFmt w:val="bullet"/>
      <w:lvlText w:val="-"/>
      <w:lvlJc w:val="left"/>
      <w:pPr>
        <w:ind w:left="405" w:hanging="360"/>
      </w:pPr>
      <w:rPr>
        <w:rFonts w:ascii="Calibri" w:eastAsiaTheme="minorHAnsi" w:hAnsi="Calibri" w:cs="Calibri"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5" w15:restartNumberingAfterBreak="0">
    <w:nsid w:val="04416D7A"/>
    <w:multiLevelType w:val="hybridMultilevel"/>
    <w:tmpl w:val="5DD422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4654F19"/>
    <w:multiLevelType w:val="hybridMultilevel"/>
    <w:tmpl w:val="98FC9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676EB5"/>
    <w:multiLevelType w:val="hybridMultilevel"/>
    <w:tmpl w:val="DABCD6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70A4932"/>
    <w:multiLevelType w:val="hybridMultilevel"/>
    <w:tmpl w:val="DCD20F0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A214351"/>
    <w:multiLevelType w:val="multilevel"/>
    <w:tmpl w:val="6A42E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6B6241"/>
    <w:multiLevelType w:val="hybridMultilevel"/>
    <w:tmpl w:val="34BCA1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A922380"/>
    <w:multiLevelType w:val="hybridMultilevel"/>
    <w:tmpl w:val="7632FAE0"/>
    <w:lvl w:ilvl="0" w:tplc="54F4832A">
      <w:start w:val="1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DCB4D9E"/>
    <w:multiLevelType w:val="hybridMultilevel"/>
    <w:tmpl w:val="B51ECF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EE11219"/>
    <w:multiLevelType w:val="hybridMultilevel"/>
    <w:tmpl w:val="1334F3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103D2E37"/>
    <w:multiLevelType w:val="multilevel"/>
    <w:tmpl w:val="73D42682"/>
    <w:lvl w:ilvl="0">
      <w:start w:val="1"/>
      <w:numFmt w:val="decimal"/>
      <w:lvlText w:val="%1."/>
      <w:lvlJc w:val="left"/>
      <w:pPr>
        <w:ind w:left="4613" w:hanging="360"/>
      </w:pPr>
      <w:rPr>
        <w:rFonts w:ascii="Arial" w:hAnsi="Arial" w:cs="Arial" w:hint="default"/>
        <w:b/>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19866BF1"/>
    <w:multiLevelType w:val="hybridMultilevel"/>
    <w:tmpl w:val="A190A8CC"/>
    <w:lvl w:ilvl="0" w:tplc="875C6630">
      <w:start w:val="1"/>
      <w:numFmt w:val="lowerLetter"/>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16" w15:restartNumberingAfterBreak="0">
    <w:nsid w:val="1C452CAC"/>
    <w:multiLevelType w:val="multilevel"/>
    <w:tmpl w:val="F6244D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E903C8D"/>
    <w:multiLevelType w:val="hybridMultilevel"/>
    <w:tmpl w:val="733884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EC64117"/>
    <w:multiLevelType w:val="hybridMultilevel"/>
    <w:tmpl w:val="B7D61E00"/>
    <w:lvl w:ilvl="0" w:tplc="B190718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0256201"/>
    <w:multiLevelType w:val="hybridMultilevel"/>
    <w:tmpl w:val="2FCA9E5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2ED22FD"/>
    <w:multiLevelType w:val="hybridMultilevel"/>
    <w:tmpl w:val="E1BCA934"/>
    <w:lvl w:ilvl="0" w:tplc="A3627E8C">
      <w:start w:val="1"/>
      <w:numFmt w:val="bullet"/>
      <w:lvlText w:val=""/>
      <w:lvlJc w:val="left"/>
      <w:pPr>
        <w:ind w:left="720" w:hanging="360"/>
      </w:pPr>
      <w:rPr>
        <w:rFonts w:ascii="Symbol" w:hAnsi="Symbol" w:hint="default"/>
      </w:rPr>
    </w:lvl>
    <w:lvl w:ilvl="1" w:tplc="206E9A24">
      <w:start w:val="1"/>
      <w:numFmt w:val="bullet"/>
      <w:lvlText w:val="o"/>
      <w:lvlJc w:val="left"/>
      <w:pPr>
        <w:ind w:left="1440" w:hanging="360"/>
      </w:pPr>
      <w:rPr>
        <w:rFonts w:ascii="Courier New" w:hAnsi="Courier New" w:hint="default"/>
      </w:rPr>
    </w:lvl>
    <w:lvl w:ilvl="2" w:tplc="E608405E">
      <w:start w:val="1"/>
      <w:numFmt w:val="bullet"/>
      <w:lvlText w:val=""/>
      <w:lvlJc w:val="left"/>
      <w:pPr>
        <w:ind w:left="2160" w:hanging="360"/>
      </w:pPr>
      <w:rPr>
        <w:rFonts w:ascii="Wingdings" w:hAnsi="Wingdings" w:hint="default"/>
      </w:rPr>
    </w:lvl>
    <w:lvl w:ilvl="3" w:tplc="C35075D8">
      <w:start w:val="1"/>
      <w:numFmt w:val="bullet"/>
      <w:lvlText w:val=""/>
      <w:lvlJc w:val="left"/>
      <w:pPr>
        <w:ind w:left="2880" w:hanging="360"/>
      </w:pPr>
      <w:rPr>
        <w:rFonts w:ascii="Symbol" w:hAnsi="Symbol" w:hint="default"/>
      </w:rPr>
    </w:lvl>
    <w:lvl w:ilvl="4" w:tplc="7F1615EC">
      <w:start w:val="1"/>
      <w:numFmt w:val="bullet"/>
      <w:lvlText w:val="o"/>
      <w:lvlJc w:val="left"/>
      <w:pPr>
        <w:ind w:left="3600" w:hanging="360"/>
      </w:pPr>
      <w:rPr>
        <w:rFonts w:ascii="Courier New" w:hAnsi="Courier New" w:hint="default"/>
      </w:rPr>
    </w:lvl>
    <w:lvl w:ilvl="5" w:tplc="5DA4F23A">
      <w:start w:val="1"/>
      <w:numFmt w:val="bullet"/>
      <w:lvlText w:val=""/>
      <w:lvlJc w:val="left"/>
      <w:pPr>
        <w:ind w:left="4320" w:hanging="360"/>
      </w:pPr>
      <w:rPr>
        <w:rFonts w:ascii="Wingdings" w:hAnsi="Wingdings" w:hint="default"/>
      </w:rPr>
    </w:lvl>
    <w:lvl w:ilvl="6" w:tplc="24C88A6E">
      <w:start w:val="1"/>
      <w:numFmt w:val="bullet"/>
      <w:lvlText w:val=""/>
      <w:lvlJc w:val="left"/>
      <w:pPr>
        <w:ind w:left="5040" w:hanging="360"/>
      </w:pPr>
      <w:rPr>
        <w:rFonts w:ascii="Symbol" w:hAnsi="Symbol" w:hint="default"/>
      </w:rPr>
    </w:lvl>
    <w:lvl w:ilvl="7" w:tplc="05D8AF5C">
      <w:start w:val="1"/>
      <w:numFmt w:val="bullet"/>
      <w:lvlText w:val="o"/>
      <w:lvlJc w:val="left"/>
      <w:pPr>
        <w:ind w:left="5760" w:hanging="360"/>
      </w:pPr>
      <w:rPr>
        <w:rFonts w:ascii="Courier New" w:hAnsi="Courier New" w:hint="default"/>
      </w:rPr>
    </w:lvl>
    <w:lvl w:ilvl="8" w:tplc="F526783E">
      <w:start w:val="1"/>
      <w:numFmt w:val="bullet"/>
      <w:lvlText w:val=""/>
      <w:lvlJc w:val="left"/>
      <w:pPr>
        <w:ind w:left="6480" w:hanging="360"/>
      </w:pPr>
      <w:rPr>
        <w:rFonts w:ascii="Wingdings" w:hAnsi="Wingdings" w:hint="default"/>
      </w:rPr>
    </w:lvl>
  </w:abstractNum>
  <w:abstractNum w:abstractNumId="21" w15:restartNumberingAfterBreak="0">
    <w:nsid w:val="2F311592"/>
    <w:multiLevelType w:val="hybridMultilevel"/>
    <w:tmpl w:val="5F1C4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0057D76"/>
    <w:multiLevelType w:val="hybridMultilevel"/>
    <w:tmpl w:val="BFD6EAC4"/>
    <w:lvl w:ilvl="0" w:tplc="97A4FA8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0F02DCC"/>
    <w:multiLevelType w:val="hybridMultilevel"/>
    <w:tmpl w:val="47D415EC"/>
    <w:lvl w:ilvl="0" w:tplc="6218B858">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15:restartNumberingAfterBreak="0">
    <w:nsid w:val="356B0458"/>
    <w:multiLevelType w:val="hybridMultilevel"/>
    <w:tmpl w:val="9394156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 w15:restartNumberingAfterBreak="0">
    <w:nsid w:val="373C35F4"/>
    <w:multiLevelType w:val="hybridMultilevel"/>
    <w:tmpl w:val="712E50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A2E284D"/>
    <w:multiLevelType w:val="multilevel"/>
    <w:tmpl w:val="8E5CC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58409F"/>
    <w:multiLevelType w:val="hybridMultilevel"/>
    <w:tmpl w:val="B5C61192"/>
    <w:lvl w:ilvl="0" w:tplc="939C5790">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3C7F0C48"/>
    <w:multiLevelType w:val="hybridMultilevel"/>
    <w:tmpl w:val="AFCCB1CE"/>
    <w:lvl w:ilvl="0" w:tplc="8D129794">
      <w:start w:val="2"/>
      <w:numFmt w:val="bullet"/>
      <w:lvlText w:val="-"/>
      <w:lvlJc w:val="left"/>
      <w:pPr>
        <w:ind w:left="1146" w:hanging="360"/>
      </w:pPr>
      <w:rPr>
        <w:rFonts w:ascii="Book Antiqua" w:eastAsia="Calibri" w:hAnsi="Book Antiqua" w:cs="Times New Roman"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9" w15:restartNumberingAfterBreak="0">
    <w:nsid w:val="3D92565D"/>
    <w:multiLevelType w:val="hybridMultilevel"/>
    <w:tmpl w:val="F43EA6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D9A0296"/>
    <w:multiLevelType w:val="hybridMultilevel"/>
    <w:tmpl w:val="7DDCE630"/>
    <w:lvl w:ilvl="0" w:tplc="6218B858">
      <w:start w:val="1"/>
      <w:numFmt w:val="bullet"/>
      <w:lvlText w:val=""/>
      <w:lvlJc w:val="left"/>
      <w:pPr>
        <w:ind w:left="720" w:hanging="360"/>
      </w:pPr>
      <w:rPr>
        <w:rFonts w:ascii="Symbol" w:hAnsi="Symbol" w:hint="default"/>
      </w:rPr>
    </w:lvl>
    <w:lvl w:ilvl="1" w:tplc="75F0FB3A">
      <w:start w:val="105"/>
      <w:numFmt w:val="bullet"/>
      <w:lvlText w:val="-"/>
      <w:lvlJc w:val="left"/>
      <w:pPr>
        <w:ind w:left="1440" w:hanging="360"/>
      </w:pPr>
      <w:rPr>
        <w:rFonts w:ascii="Arial" w:eastAsiaTheme="minorHAnsi" w:hAnsi="Arial" w:cs="Arial"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1" w15:restartNumberingAfterBreak="0">
    <w:nsid w:val="3EAD251E"/>
    <w:multiLevelType w:val="hybridMultilevel"/>
    <w:tmpl w:val="4DBA38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15651E4"/>
    <w:multiLevelType w:val="multilevel"/>
    <w:tmpl w:val="DB0E3D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41AA4D43"/>
    <w:multiLevelType w:val="hybridMultilevel"/>
    <w:tmpl w:val="9ECEE3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53E1011"/>
    <w:multiLevelType w:val="hybridMultilevel"/>
    <w:tmpl w:val="2AF6AE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5F926E9"/>
    <w:multiLevelType w:val="hybridMultilevel"/>
    <w:tmpl w:val="8C4CCF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6200794"/>
    <w:multiLevelType w:val="hybridMultilevel"/>
    <w:tmpl w:val="F3221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7824C6"/>
    <w:multiLevelType w:val="hybridMultilevel"/>
    <w:tmpl w:val="27BCD7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AE57229"/>
    <w:multiLevelType w:val="hybridMultilevel"/>
    <w:tmpl w:val="BCEC47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B204862"/>
    <w:multiLevelType w:val="multilevel"/>
    <w:tmpl w:val="42E6BFE0"/>
    <w:lvl w:ilvl="0">
      <w:start w:val="1"/>
      <w:numFmt w:val="decimal"/>
      <w:lvlText w:val="%1"/>
      <w:lvlJc w:val="left"/>
      <w:pPr>
        <w:ind w:left="570" w:hanging="5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4E2F1B11"/>
    <w:multiLevelType w:val="multilevel"/>
    <w:tmpl w:val="0078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3430702"/>
    <w:multiLevelType w:val="hybridMultilevel"/>
    <w:tmpl w:val="1BACD40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2" w15:restartNumberingAfterBreak="0">
    <w:nsid w:val="53507AEB"/>
    <w:multiLevelType w:val="hybridMultilevel"/>
    <w:tmpl w:val="2F4AAD48"/>
    <w:lvl w:ilvl="0" w:tplc="3C8890C4">
      <w:start w:val="1"/>
      <w:numFmt w:val="lowerLetter"/>
      <w:lvlText w:val="%1)"/>
      <w:lvlJc w:val="left"/>
      <w:pPr>
        <w:ind w:left="785" w:hanging="360"/>
      </w:pPr>
      <w:rPr>
        <w:rFonts w:hint="default"/>
        <w:u w:val="none"/>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43" w15:restartNumberingAfterBreak="0">
    <w:nsid w:val="561A729D"/>
    <w:multiLevelType w:val="hybridMultilevel"/>
    <w:tmpl w:val="2E9C92AA"/>
    <w:lvl w:ilvl="0" w:tplc="8D129794">
      <w:start w:val="2"/>
      <w:numFmt w:val="bullet"/>
      <w:lvlText w:val="-"/>
      <w:lvlJc w:val="left"/>
      <w:pPr>
        <w:ind w:left="1080" w:hanging="360"/>
      </w:pPr>
      <w:rPr>
        <w:rFonts w:ascii="Book Antiqua" w:eastAsia="Calibri" w:hAnsi="Book Antiqua"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4" w15:restartNumberingAfterBreak="0">
    <w:nsid w:val="59682B61"/>
    <w:multiLevelType w:val="hybridMultilevel"/>
    <w:tmpl w:val="3EB29F0A"/>
    <w:lvl w:ilvl="0" w:tplc="8D129794">
      <w:start w:val="2"/>
      <w:numFmt w:val="bullet"/>
      <w:lvlText w:val="-"/>
      <w:lvlJc w:val="left"/>
      <w:pPr>
        <w:ind w:left="720" w:hanging="360"/>
      </w:pPr>
      <w:rPr>
        <w:rFonts w:ascii="Book Antiqua" w:eastAsia="Calibri"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0E3E00"/>
    <w:multiLevelType w:val="hybridMultilevel"/>
    <w:tmpl w:val="909AE8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5C43302D"/>
    <w:multiLevelType w:val="hybridMultilevel"/>
    <w:tmpl w:val="D932F9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67212FA8"/>
    <w:multiLevelType w:val="hybridMultilevel"/>
    <w:tmpl w:val="057497DE"/>
    <w:lvl w:ilvl="0" w:tplc="04050017">
      <w:start w:val="1"/>
      <w:numFmt w:val="lowerLetter"/>
      <w:lvlText w:val="%1)"/>
      <w:lvlJc w:val="left"/>
      <w:pPr>
        <w:ind w:left="1570" w:hanging="360"/>
      </w:pPr>
    </w:lvl>
    <w:lvl w:ilvl="1" w:tplc="04050019" w:tentative="1">
      <w:start w:val="1"/>
      <w:numFmt w:val="lowerLetter"/>
      <w:lvlText w:val="%2."/>
      <w:lvlJc w:val="left"/>
      <w:pPr>
        <w:ind w:left="2290" w:hanging="360"/>
      </w:pPr>
    </w:lvl>
    <w:lvl w:ilvl="2" w:tplc="0405001B" w:tentative="1">
      <w:start w:val="1"/>
      <w:numFmt w:val="lowerRoman"/>
      <w:lvlText w:val="%3."/>
      <w:lvlJc w:val="right"/>
      <w:pPr>
        <w:ind w:left="3010" w:hanging="180"/>
      </w:pPr>
    </w:lvl>
    <w:lvl w:ilvl="3" w:tplc="0405000F" w:tentative="1">
      <w:start w:val="1"/>
      <w:numFmt w:val="decimal"/>
      <w:lvlText w:val="%4."/>
      <w:lvlJc w:val="left"/>
      <w:pPr>
        <w:ind w:left="3730" w:hanging="360"/>
      </w:pPr>
    </w:lvl>
    <w:lvl w:ilvl="4" w:tplc="04050019" w:tentative="1">
      <w:start w:val="1"/>
      <w:numFmt w:val="lowerLetter"/>
      <w:lvlText w:val="%5."/>
      <w:lvlJc w:val="left"/>
      <w:pPr>
        <w:ind w:left="4450" w:hanging="360"/>
      </w:pPr>
    </w:lvl>
    <w:lvl w:ilvl="5" w:tplc="0405001B" w:tentative="1">
      <w:start w:val="1"/>
      <w:numFmt w:val="lowerRoman"/>
      <w:lvlText w:val="%6."/>
      <w:lvlJc w:val="right"/>
      <w:pPr>
        <w:ind w:left="5170" w:hanging="180"/>
      </w:pPr>
    </w:lvl>
    <w:lvl w:ilvl="6" w:tplc="0405000F" w:tentative="1">
      <w:start w:val="1"/>
      <w:numFmt w:val="decimal"/>
      <w:lvlText w:val="%7."/>
      <w:lvlJc w:val="left"/>
      <w:pPr>
        <w:ind w:left="5890" w:hanging="360"/>
      </w:pPr>
    </w:lvl>
    <w:lvl w:ilvl="7" w:tplc="04050019" w:tentative="1">
      <w:start w:val="1"/>
      <w:numFmt w:val="lowerLetter"/>
      <w:lvlText w:val="%8."/>
      <w:lvlJc w:val="left"/>
      <w:pPr>
        <w:ind w:left="6610" w:hanging="360"/>
      </w:pPr>
    </w:lvl>
    <w:lvl w:ilvl="8" w:tplc="0405001B" w:tentative="1">
      <w:start w:val="1"/>
      <w:numFmt w:val="lowerRoman"/>
      <w:lvlText w:val="%9."/>
      <w:lvlJc w:val="right"/>
      <w:pPr>
        <w:ind w:left="7330" w:hanging="180"/>
      </w:pPr>
    </w:lvl>
  </w:abstractNum>
  <w:abstractNum w:abstractNumId="48" w15:restartNumberingAfterBreak="0">
    <w:nsid w:val="673C2330"/>
    <w:multiLevelType w:val="hybridMultilevel"/>
    <w:tmpl w:val="1E60C642"/>
    <w:lvl w:ilvl="0" w:tplc="31643AFC">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9" w15:restartNumberingAfterBreak="0">
    <w:nsid w:val="689159FD"/>
    <w:multiLevelType w:val="hybridMultilevel"/>
    <w:tmpl w:val="F8126C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4982E33"/>
    <w:multiLevelType w:val="hybridMultilevel"/>
    <w:tmpl w:val="146CFA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76474BE7"/>
    <w:multiLevelType w:val="hybridMultilevel"/>
    <w:tmpl w:val="5E9AD46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52" w15:restartNumberingAfterBreak="0">
    <w:nsid w:val="7B3C7B93"/>
    <w:multiLevelType w:val="hybridMultilevel"/>
    <w:tmpl w:val="8E887060"/>
    <w:lvl w:ilvl="0" w:tplc="BBEC021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7B5D5FCE"/>
    <w:multiLevelType w:val="hybridMultilevel"/>
    <w:tmpl w:val="8A649B5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7B77510D"/>
    <w:multiLevelType w:val="hybridMultilevel"/>
    <w:tmpl w:val="AF18C3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7BED1470"/>
    <w:multiLevelType w:val="hybridMultilevel"/>
    <w:tmpl w:val="C9F43C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44"/>
  </w:num>
  <w:num w:numId="4">
    <w:abstractNumId w:val="26"/>
  </w:num>
  <w:num w:numId="5">
    <w:abstractNumId w:val="42"/>
  </w:num>
  <w:num w:numId="6">
    <w:abstractNumId w:val="25"/>
  </w:num>
  <w:num w:numId="7">
    <w:abstractNumId w:val="19"/>
  </w:num>
  <w:num w:numId="8">
    <w:abstractNumId w:val="43"/>
  </w:num>
  <w:num w:numId="9">
    <w:abstractNumId w:val="10"/>
  </w:num>
  <w:num w:numId="10">
    <w:abstractNumId w:val="21"/>
  </w:num>
  <w:num w:numId="11">
    <w:abstractNumId w:val="5"/>
  </w:num>
  <w:num w:numId="12">
    <w:abstractNumId w:val="3"/>
  </w:num>
  <w:num w:numId="13">
    <w:abstractNumId w:val="28"/>
  </w:num>
  <w:num w:numId="14">
    <w:abstractNumId w:val="48"/>
  </w:num>
  <w:num w:numId="15">
    <w:abstractNumId w:val="18"/>
  </w:num>
  <w:num w:numId="16">
    <w:abstractNumId w:val="15"/>
  </w:num>
  <w:num w:numId="17">
    <w:abstractNumId w:val="7"/>
  </w:num>
  <w:num w:numId="18">
    <w:abstractNumId w:val="40"/>
  </w:num>
  <w:num w:numId="19">
    <w:abstractNumId w:val="45"/>
  </w:num>
  <w:num w:numId="20">
    <w:abstractNumId w:val="8"/>
  </w:num>
  <w:num w:numId="21">
    <w:abstractNumId w:val="53"/>
  </w:num>
  <w:num w:numId="22">
    <w:abstractNumId w:val="17"/>
  </w:num>
  <w:num w:numId="23">
    <w:abstractNumId w:val="35"/>
  </w:num>
  <w:num w:numId="24">
    <w:abstractNumId w:val="39"/>
  </w:num>
  <w:num w:numId="25">
    <w:abstractNumId w:val="46"/>
  </w:num>
  <w:num w:numId="26">
    <w:abstractNumId w:val="36"/>
  </w:num>
  <w:num w:numId="27">
    <w:abstractNumId w:val="6"/>
  </w:num>
  <w:num w:numId="28">
    <w:abstractNumId w:val="13"/>
  </w:num>
  <w:num w:numId="29">
    <w:abstractNumId w:val="30"/>
  </w:num>
  <w:num w:numId="30">
    <w:abstractNumId w:val="23"/>
  </w:num>
  <w:num w:numId="31">
    <w:abstractNumId w:val="27"/>
  </w:num>
  <w:num w:numId="32">
    <w:abstractNumId w:val="51"/>
  </w:num>
  <w:num w:numId="33">
    <w:abstractNumId w:val="9"/>
  </w:num>
  <w:num w:numId="34">
    <w:abstractNumId w:val="55"/>
  </w:num>
  <w:num w:numId="35">
    <w:abstractNumId w:val="33"/>
  </w:num>
  <w:num w:numId="36">
    <w:abstractNumId w:val="12"/>
  </w:num>
  <w:num w:numId="37">
    <w:abstractNumId w:val="49"/>
  </w:num>
  <w:num w:numId="38">
    <w:abstractNumId w:val="31"/>
  </w:num>
  <w:num w:numId="39">
    <w:abstractNumId w:val="29"/>
  </w:num>
  <w:num w:numId="40">
    <w:abstractNumId w:val="24"/>
  </w:num>
  <w:num w:numId="41">
    <w:abstractNumId w:val="37"/>
  </w:num>
  <w:num w:numId="42">
    <w:abstractNumId w:val="52"/>
  </w:num>
  <w:num w:numId="43">
    <w:abstractNumId w:val="34"/>
  </w:num>
  <w:num w:numId="44">
    <w:abstractNumId w:val="50"/>
  </w:num>
  <w:num w:numId="45">
    <w:abstractNumId w:val="41"/>
  </w:num>
  <w:num w:numId="46">
    <w:abstractNumId w:val="2"/>
  </w:num>
  <w:num w:numId="47">
    <w:abstractNumId w:val="1"/>
  </w:num>
  <w:num w:numId="48">
    <w:abstractNumId w:val="54"/>
  </w:num>
  <w:num w:numId="49">
    <w:abstractNumId w:val="11"/>
  </w:num>
  <w:num w:numId="50">
    <w:abstractNumId w:val="38"/>
  </w:num>
  <w:num w:numId="51">
    <w:abstractNumId w:val="4"/>
  </w:num>
  <w:num w:numId="52">
    <w:abstractNumId w:val="22"/>
  </w:num>
  <w:num w:numId="53">
    <w:abstractNumId w:val="32"/>
  </w:num>
  <w:num w:numId="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num>
  <w:num w:numId="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num>
  <w:num w:numId="60">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O0NDYxMzYytzAzsbBU0lEKTi0uzszPAykwrQUAucgMtCwAAAA="/>
  </w:docVars>
  <w:rsids>
    <w:rsidRoot w:val="00E4113A"/>
    <w:rsid w:val="00013338"/>
    <w:rsid w:val="000159BD"/>
    <w:rsid w:val="00017460"/>
    <w:rsid w:val="00025A50"/>
    <w:rsid w:val="0003178A"/>
    <w:rsid w:val="0003620D"/>
    <w:rsid w:val="00036558"/>
    <w:rsid w:val="00040D89"/>
    <w:rsid w:val="00041A1B"/>
    <w:rsid w:val="000420FE"/>
    <w:rsid w:val="000421F8"/>
    <w:rsid w:val="000426BF"/>
    <w:rsid w:val="00055440"/>
    <w:rsid w:val="00055CB7"/>
    <w:rsid w:val="0006043E"/>
    <w:rsid w:val="000632AD"/>
    <w:rsid w:val="00063338"/>
    <w:rsid w:val="0006385D"/>
    <w:rsid w:val="00066727"/>
    <w:rsid w:val="000752C0"/>
    <w:rsid w:val="00080476"/>
    <w:rsid w:val="0008407F"/>
    <w:rsid w:val="000A2A71"/>
    <w:rsid w:val="000A4B9B"/>
    <w:rsid w:val="000B11C5"/>
    <w:rsid w:val="000C3891"/>
    <w:rsid w:val="000C645B"/>
    <w:rsid w:val="000C6EEA"/>
    <w:rsid w:val="000C7277"/>
    <w:rsid w:val="000D08EE"/>
    <w:rsid w:val="000E3348"/>
    <w:rsid w:val="000F5DBC"/>
    <w:rsid w:val="000F7B92"/>
    <w:rsid w:val="00101A51"/>
    <w:rsid w:val="001031F4"/>
    <w:rsid w:val="0010509C"/>
    <w:rsid w:val="001063ED"/>
    <w:rsid w:val="00106569"/>
    <w:rsid w:val="00111C13"/>
    <w:rsid w:val="00112D56"/>
    <w:rsid w:val="00122209"/>
    <w:rsid w:val="00123C8D"/>
    <w:rsid w:val="00124CF2"/>
    <w:rsid w:val="00125623"/>
    <w:rsid w:val="001260DB"/>
    <w:rsid w:val="00143820"/>
    <w:rsid w:val="00145A02"/>
    <w:rsid w:val="0014651D"/>
    <w:rsid w:val="00147081"/>
    <w:rsid w:val="00151BE0"/>
    <w:rsid w:val="0015433A"/>
    <w:rsid w:val="00154C93"/>
    <w:rsid w:val="0016153D"/>
    <w:rsid w:val="00162B79"/>
    <w:rsid w:val="00163592"/>
    <w:rsid w:val="001636D4"/>
    <w:rsid w:val="00166272"/>
    <w:rsid w:val="001665F7"/>
    <w:rsid w:val="00167A54"/>
    <w:rsid w:val="00170039"/>
    <w:rsid w:val="00170915"/>
    <w:rsid w:val="00174EEC"/>
    <w:rsid w:val="00185551"/>
    <w:rsid w:val="001874EC"/>
    <w:rsid w:val="00194C69"/>
    <w:rsid w:val="001970F0"/>
    <w:rsid w:val="00197AD0"/>
    <w:rsid w:val="001A461C"/>
    <w:rsid w:val="001A58C8"/>
    <w:rsid w:val="001B6D80"/>
    <w:rsid w:val="001C38D5"/>
    <w:rsid w:val="001C4A00"/>
    <w:rsid w:val="001D11EF"/>
    <w:rsid w:val="001D4333"/>
    <w:rsid w:val="001E245D"/>
    <w:rsid w:val="001E3953"/>
    <w:rsid w:val="001E45D8"/>
    <w:rsid w:val="001F05DD"/>
    <w:rsid w:val="001F49D3"/>
    <w:rsid w:val="001F602E"/>
    <w:rsid w:val="00201CB1"/>
    <w:rsid w:val="0020516D"/>
    <w:rsid w:val="00215834"/>
    <w:rsid w:val="00215E5D"/>
    <w:rsid w:val="00215EC9"/>
    <w:rsid w:val="00231739"/>
    <w:rsid w:val="00232179"/>
    <w:rsid w:val="00234E80"/>
    <w:rsid w:val="00236E1A"/>
    <w:rsid w:val="00236FDB"/>
    <w:rsid w:val="00240D32"/>
    <w:rsid w:val="00240E36"/>
    <w:rsid w:val="00244B23"/>
    <w:rsid w:val="002507F9"/>
    <w:rsid w:val="002517A3"/>
    <w:rsid w:val="002544C9"/>
    <w:rsid w:val="002633DB"/>
    <w:rsid w:val="002643ED"/>
    <w:rsid w:val="002743E6"/>
    <w:rsid w:val="0028349B"/>
    <w:rsid w:val="00283837"/>
    <w:rsid w:val="00286262"/>
    <w:rsid w:val="00290805"/>
    <w:rsid w:val="00292D1A"/>
    <w:rsid w:val="002942AE"/>
    <w:rsid w:val="0029782E"/>
    <w:rsid w:val="002A21CC"/>
    <w:rsid w:val="002A3A93"/>
    <w:rsid w:val="002A6619"/>
    <w:rsid w:val="002A7E6D"/>
    <w:rsid w:val="002B39EF"/>
    <w:rsid w:val="002B4E19"/>
    <w:rsid w:val="002B74A6"/>
    <w:rsid w:val="002C5C5F"/>
    <w:rsid w:val="002D0E56"/>
    <w:rsid w:val="002D4820"/>
    <w:rsid w:val="002D4FDC"/>
    <w:rsid w:val="002E0C50"/>
    <w:rsid w:val="002E0E7E"/>
    <w:rsid w:val="002E0EDB"/>
    <w:rsid w:val="002F1086"/>
    <w:rsid w:val="002F3739"/>
    <w:rsid w:val="00302A3C"/>
    <w:rsid w:val="0030747C"/>
    <w:rsid w:val="00314FCB"/>
    <w:rsid w:val="00322D9E"/>
    <w:rsid w:val="00323AEE"/>
    <w:rsid w:val="00323ED7"/>
    <w:rsid w:val="0032585D"/>
    <w:rsid w:val="00326DB4"/>
    <w:rsid w:val="00332A8D"/>
    <w:rsid w:val="00333B6D"/>
    <w:rsid w:val="00334C9B"/>
    <w:rsid w:val="00334D56"/>
    <w:rsid w:val="00335D85"/>
    <w:rsid w:val="00336D8F"/>
    <w:rsid w:val="00337F26"/>
    <w:rsid w:val="00341FA2"/>
    <w:rsid w:val="003459CE"/>
    <w:rsid w:val="00345EEA"/>
    <w:rsid w:val="00346853"/>
    <w:rsid w:val="003503F4"/>
    <w:rsid w:val="00356FC6"/>
    <w:rsid w:val="003605E3"/>
    <w:rsid w:val="00364ED5"/>
    <w:rsid w:val="00372580"/>
    <w:rsid w:val="00372883"/>
    <w:rsid w:val="00377BA0"/>
    <w:rsid w:val="00386EEB"/>
    <w:rsid w:val="003925CB"/>
    <w:rsid w:val="003A4DE5"/>
    <w:rsid w:val="003A7CB7"/>
    <w:rsid w:val="003B46B3"/>
    <w:rsid w:val="003B7500"/>
    <w:rsid w:val="003C2F58"/>
    <w:rsid w:val="003C3192"/>
    <w:rsid w:val="003C3335"/>
    <w:rsid w:val="003C39AA"/>
    <w:rsid w:val="003D0BDA"/>
    <w:rsid w:val="003D6D98"/>
    <w:rsid w:val="003D729E"/>
    <w:rsid w:val="003D76D1"/>
    <w:rsid w:val="003D7B60"/>
    <w:rsid w:val="003E37D9"/>
    <w:rsid w:val="003F393B"/>
    <w:rsid w:val="003F4377"/>
    <w:rsid w:val="003F4EF7"/>
    <w:rsid w:val="003F68C7"/>
    <w:rsid w:val="003F6A22"/>
    <w:rsid w:val="004018E0"/>
    <w:rsid w:val="004030E7"/>
    <w:rsid w:val="00405822"/>
    <w:rsid w:val="00405ECD"/>
    <w:rsid w:val="00406502"/>
    <w:rsid w:val="004114DF"/>
    <w:rsid w:val="004118D1"/>
    <w:rsid w:val="00415987"/>
    <w:rsid w:val="00416338"/>
    <w:rsid w:val="00420A8B"/>
    <w:rsid w:val="004334E0"/>
    <w:rsid w:val="004342A6"/>
    <w:rsid w:val="00435882"/>
    <w:rsid w:val="00435FC6"/>
    <w:rsid w:val="00436703"/>
    <w:rsid w:val="00436934"/>
    <w:rsid w:val="00436ED3"/>
    <w:rsid w:val="0043761F"/>
    <w:rsid w:val="00447EC8"/>
    <w:rsid w:val="00450C0C"/>
    <w:rsid w:val="00451674"/>
    <w:rsid w:val="00454E1D"/>
    <w:rsid w:val="00455053"/>
    <w:rsid w:val="00457B18"/>
    <w:rsid w:val="0046140D"/>
    <w:rsid w:val="00461CCA"/>
    <w:rsid w:val="00471777"/>
    <w:rsid w:val="0047291E"/>
    <w:rsid w:val="0047300E"/>
    <w:rsid w:val="004739EB"/>
    <w:rsid w:val="00483727"/>
    <w:rsid w:val="004858FF"/>
    <w:rsid w:val="004868A6"/>
    <w:rsid w:val="00486D91"/>
    <w:rsid w:val="00487EB1"/>
    <w:rsid w:val="0049131E"/>
    <w:rsid w:val="00491858"/>
    <w:rsid w:val="004A2A86"/>
    <w:rsid w:val="004A5277"/>
    <w:rsid w:val="004A56A2"/>
    <w:rsid w:val="004B0FA1"/>
    <w:rsid w:val="004B1E0D"/>
    <w:rsid w:val="004B32B7"/>
    <w:rsid w:val="004B394B"/>
    <w:rsid w:val="004B4747"/>
    <w:rsid w:val="004B694B"/>
    <w:rsid w:val="004B6D80"/>
    <w:rsid w:val="004C224D"/>
    <w:rsid w:val="004C5521"/>
    <w:rsid w:val="004C6077"/>
    <w:rsid w:val="004C6485"/>
    <w:rsid w:val="004C6637"/>
    <w:rsid w:val="004C672D"/>
    <w:rsid w:val="004D4083"/>
    <w:rsid w:val="004D513D"/>
    <w:rsid w:val="004E07F7"/>
    <w:rsid w:val="004E18A9"/>
    <w:rsid w:val="004E296E"/>
    <w:rsid w:val="004E4B1D"/>
    <w:rsid w:val="004F675C"/>
    <w:rsid w:val="005019D2"/>
    <w:rsid w:val="005065D4"/>
    <w:rsid w:val="00507030"/>
    <w:rsid w:val="00512890"/>
    <w:rsid w:val="00517B14"/>
    <w:rsid w:val="00520092"/>
    <w:rsid w:val="005208F1"/>
    <w:rsid w:val="00522EA0"/>
    <w:rsid w:val="0052539F"/>
    <w:rsid w:val="0052707D"/>
    <w:rsid w:val="00530916"/>
    <w:rsid w:val="00533144"/>
    <w:rsid w:val="00545AED"/>
    <w:rsid w:val="00547097"/>
    <w:rsid w:val="005517C9"/>
    <w:rsid w:val="005614DC"/>
    <w:rsid w:val="0057390C"/>
    <w:rsid w:val="00575A6A"/>
    <w:rsid w:val="00577593"/>
    <w:rsid w:val="005855F2"/>
    <w:rsid w:val="00587E7C"/>
    <w:rsid w:val="00592A51"/>
    <w:rsid w:val="00592EFB"/>
    <w:rsid w:val="005958A6"/>
    <w:rsid w:val="00597EB4"/>
    <w:rsid w:val="005A0EB1"/>
    <w:rsid w:val="005A16D8"/>
    <w:rsid w:val="005A2306"/>
    <w:rsid w:val="005A2B50"/>
    <w:rsid w:val="005B1961"/>
    <w:rsid w:val="005B2F8F"/>
    <w:rsid w:val="005B79B8"/>
    <w:rsid w:val="005C06C0"/>
    <w:rsid w:val="005C72D5"/>
    <w:rsid w:val="005D1CD2"/>
    <w:rsid w:val="005D54CB"/>
    <w:rsid w:val="005D5910"/>
    <w:rsid w:val="005D6DF6"/>
    <w:rsid w:val="005D749A"/>
    <w:rsid w:val="005E6C4F"/>
    <w:rsid w:val="005E6E65"/>
    <w:rsid w:val="005E7E02"/>
    <w:rsid w:val="005F471C"/>
    <w:rsid w:val="00601B0B"/>
    <w:rsid w:val="0060300B"/>
    <w:rsid w:val="0060327E"/>
    <w:rsid w:val="0060489F"/>
    <w:rsid w:val="00615782"/>
    <w:rsid w:val="00624AEF"/>
    <w:rsid w:val="006302D7"/>
    <w:rsid w:val="00633379"/>
    <w:rsid w:val="00642752"/>
    <w:rsid w:val="00644E0E"/>
    <w:rsid w:val="006524DC"/>
    <w:rsid w:val="006534E6"/>
    <w:rsid w:val="006624CF"/>
    <w:rsid w:val="006661B8"/>
    <w:rsid w:val="00683075"/>
    <w:rsid w:val="006879DE"/>
    <w:rsid w:val="0069480F"/>
    <w:rsid w:val="006952F4"/>
    <w:rsid w:val="00695E8A"/>
    <w:rsid w:val="00697295"/>
    <w:rsid w:val="006A025A"/>
    <w:rsid w:val="006A1BA8"/>
    <w:rsid w:val="006A3485"/>
    <w:rsid w:val="006A6167"/>
    <w:rsid w:val="006B380F"/>
    <w:rsid w:val="006B3F5F"/>
    <w:rsid w:val="006B5167"/>
    <w:rsid w:val="006B7910"/>
    <w:rsid w:val="006C382F"/>
    <w:rsid w:val="006C3EA1"/>
    <w:rsid w:val="006C4575"/>
    <w:rsid w:val="006C5A5B"/>
    <w:rsid w:val="006C650C"/>
    <w:rsid w:val="006D4F82"/>
    <w:rsid w:val="006E3E51"/>
    <w:rsid w:val="006E657A"/>
    <w:rsid w:val="006E7197"/>
    <w:rsid w:val="006F013F"/>
    <w:rsid w:val="006F53C6"/>
    <w:rsid w:val="006F5FDF"/>
    <w:rsid w:val="006F6BA1"/>
    <w:rsid w:val="00700AD6"/>
    <w:rsid w:val="007105EA"/>
    <w:rsid w:val="00716F16"/>
    <w:rsid w:val="00724F0B"/>
    <w:rsid w:val="00724F1A"/>
    <w:rsid w:val="00726548"/>
    <w:rsid w:val="00730AE1"/>
    <w:rsid w:val="007311E3"/>
    <w:rsid w:val="00735CFD"/>
    <w:rsid w:val="0073756F"/>
    <w:rsid w:val="00740149"/>
    <w:rsid w:val="00744776"/>
    <w:rsid w:val="0074772D"/>
    <w:rsid w:val="00754E76"/>
    <w:rsid w:val="00761D20"/>
    <w:rsid w:val="0076349E"/>
    <w:rsid w:val="00772479"/>
    <w:rsid w:val="00772ACE"/>
    <w:rsid w:val="00774B50"/>
    <w:rsid w:val="00776DDB"/>
    <w:rsid w:val="007809B6"/>
    <w:rsid w:val="007850C3"/>
    <w:rsid w:val="007944AB"/>
    <w:rsid w:val="00796864"/>
    <w:rsid w:val="007A0449"/>
    <w:rsid w:val="007A2D02"/>
    <w:rsid w:val="007A508A"/>
    <w:rsid w:val="007A5724"/>
    <w:rsid w:val="007A7059"/>
    <w:rsid w:val="007B1487"/>
    <w:rsid w:val="007B458F"/>
    <w:rsid w:val="007B56F9"/>
    <w:rsid w:val="007B6ED4"/>
    <w:rsid w:val="007E1303"/>
    <w:rsid w:val="007E41C6"/>
    <w:rsid w:val="007E41D5"/>
    <w:rsid w:val="007E6095"/>
    <w:rsid w:val="00802ABE"/>
    <w:rsid w:val="00806D01"/>
    <w:rsid w:val="008072F9"/>
    <w:rsid w:val="0081245E"/>
    <w:rsid w:val="0081343C"/>
    <w:rsid w:val="008177DC"/>
    <w:rsid w:val="008221C9"/>
    <w:rsid w:val="00825558"/>
    <w:rsid w:val="00830A34"/>
    <w:rsid w:val="00832800"/>
    <w:rsid w:val="0083337E"/>
    <w:rsid w:val="0083453E"/>
    <w:rsid w:val="0083466F"/>
    <w:rsid w:val="00841BEA"/>
    <w:rsid w:val="0084624C"/>
    <w:rsid w:val="00850B91"/>
    <w:rsid w:val="00851FC9"/>
    <w:rsid w:val="008534BF"/>
    <w:rsid w:val="008547D4"/>
    <w:rsid w:val="008547EC"/>
    <w:rsid w:val="00856210"/>
    <w:rsid w:val="00857548"/>
    <w:rsid w:val="00864A74"/>
    <w:rsid w:val="00864AAC"/>
    <w:rsid w:val="00867AB5"/>
    <w:rsid w:val="00874C36"/>
    <w:rsid w:val="0087567C"/>
    <w:rsid w:val="008815BD"/>
    <w:rsid w:val="00884A5E"/>
    <w:rsid w:val="00884B79"/>
    <w:rsid w:val="0088533F"/>
    <w:rsid w:val="00887D8F"/>
    <w:rsid w:val="008919D8"/>
    <w:rsid w:val="008978FF"/>
    <w:rsid w:val="008A34FF"/>
    <w:rsid w:val="008A6E9B"/>
    <w:rsid w:val="008B60C3"/>
    <w:rsid w:val="008C2BAA"/>
    <w:rsid w:val="008C49E7"/>
    <w:rsid w:val="008D35FD"/>
    <w:rsid w:val="008D720B"/>
    <w:rsid w:val="008E06C7"/>
    <w:rsid w:val="008E1CBB"/>
    <w:rsid w:val="008E1D84"/>
    <w:rsid w:val="008E69CA"/>
    <w:rsid w:val="008E76D6"/>
    <w:rsid w:val="008F1B2B"/>
    <w:rsid w:val="008F23EB"/>
    <w:rsid w:val="008F4A9E"/>
    <w:rsid w:val="009001F9"/>
    <w:rsid w:val="00903EDE"/>
    <w:rsid w:val="009103AD"/>
    <w:rsid w:val="00912C59"/>
    <w:rsid w:val="00915206"/>
    <w:rsid w:val="00917CCD"/>
    <w:rsid w:val="00925194"/>
    <w:rsid w:val="009258F5"/>
    <w:rsid w:val="009329FE"/>
    <w:rsid w:val="00935B5B"/>
    <w:rsid w:val="009467E5"/>
    <w:rsid w:val="00960D5B"/>
    <w:rsid w:val="009616D5"/>
    <w:rsid w:val="0096380F"/>
    <w:rsid w:val="00963AEB"/>
    <w:rsid w:val="009663F1"/>
    <w:rsid w:val="00971BA1"/>
    <w:rsid w:val="00975B21"/>
    <w:rsid w:val="00990618"/>
    <w:rsid w:val="009914E1"/>
    <w:rsid w:val="00992CDC"/>
    <w:rsid w:val="00993BEC"/>
    <w:rsid w:val="00997A27"/>
    <w:rsid w:val="009A41F5"/>
    <w:rsid w:val="009B0FE7"/>
    <w:rsid w:val="009B10FF"/>
    <w:rsid w:val="009B183C"/>
    <w:rsid w:val="009B291D"/>
    <w:rsid w:val="009C0877"/>
    <w:rsid w:val="009C3A02"/>
    <w:rsid w:val="009C5CAF"/>
    <w:rsid w:val="009C7431"/>
    <w:rsid w:val="009D5787"/>
    <w:rsid w:val="009D677F"/>
    <w:rsid w:val="009D74D3"/>
    <w:rsid w:val="009E2E85"/>
    <w:rsid w:val="009E369D"/>
    <w:rsid w:val="009F2866"/>
    <w:rsid w:val="009F59C4"/>
    <w:rsid w:val="009F6667"/>
    <w:rsid w:val="00A04E60"/>
    <w:rsid w:val="00A062D0"/>
    <w:rsid w:val="00A110CA"/>
    <w:rsid w:val="00A11EFF"/>
    <w:rsid w:val="00A124FC"/>
    <w:rsid w:val="00A1482C"/>
    <w:rsid w:val="00A20B3A"/>
    <w:rsid w:val="00A22F62"/>
    <w:rsid w:val="00A40663"/>
    <w:rsid w:val="00A50F36"/>
    <w:rsid w:val="00A563BC"/>
    <w:rsid w:val="00A57385"/>
    <w:rsid w:val="00A63986"/>
    <w:rsid w:val="00A65202"/>
    <w:rsid w:val="00A6737E"/>
    <w:rsid w:val="00A67962"/>
    <w:rsid w:val="00A71F21"/>
    <w:rsid w:val="00AA1268"/>
    <w:rsid w:val="00AA2805"/>
    <w:rsid w:val="00AB29CE"/>
    <w:rsid w:val="00AB4E19"/>
    <w:rsid w:val="00AB66BD"/>
    <w:rsid w:val="00AC1F19"/>
    <w:rsid w:val="00AC2FB9"/>
    <w:rsid w:val="00AC5AA3"/>
    <w:rsid w:val="00AC6A71"/>
    <w:rsid w:val="00AC79AA"/>
    <w:rsid w:val="00AD0CB5"/>
    <w:rsid w:val="00AD22CC"/>
    <w:rsid w:val="00AD2674"/>
    <w:rsid w:val="00AD3D0C"/>
    <w:rsid w:val="00AD4CFB"/>
    <w:rsid w:val="00AE3043"/>
    <w:rsid w:val="00AE32D7"/>
    <w:rsid w:val="00AE360F"/>
    <w:rsid w:val="00AE4766"/>
    <w:rsid w:val="00AE48D6"/>
    <w:rsid w:val="00AE51A7"/>
    <w:rsid w:val="00AF156D"/>
    <w:rsid w:val="00AF4329"/>
    <w:rsid w:val="00B00FE3"/>
    <w:rsid w:val="00B02004"/>
    <w:rsid w:val="00B12CC8"/>
    <w:rsid w:val="00B22E7F"/>
    <w:rsid w:val="00B23202"/>
    <w:rsid w:val="00B23679"/>
    <w:rsid w:val="00B24D23"/>
    <w:rsid w:val="00B2535A"/>
    <w:rsid w:val="00B2618B"/>
    <w:rsid w:val="00B26F0E"/>
    <w:rsid w:val="00B35EA2"/>
    <w:rsid w:val="00B37B63"/>
    <w:rsid w:val="00B41081"/>
    <w:rsid w:val="00B4185A"/>
    <w:rsid w:val="00B526E9"/>
    <w:rsid w:val="00B5430A"/>
    <w:rsid w:val="00B55954"/>
    <w:rsid w:val="00B60FE8"/>
    <w:rsid w:val="00B65BCD"/>
    <w:rsid w:val="00B70950"/>
    <w:rsid w:val="00B73F83"/>
    <w:rsid w:val="00B80B85"/>
    <w:rsid w:val="00B87F3D"/>
    <w:rsid w:val="00B92014"/>
    <w:rsid w:val="00B97DC5"/>
    <w:rsid w:val="00B97FA6"/>
    <w:rsid w:val="00BA0242"/>
    <w:rsid w:val="00BA1F1C"/>
    <w:rsid w:val="00BA45B9"/>
    <w:rsid w:val="00BB261D"/>
    <w:rsid w:val="00BC2079"/>
    <w:rsid w:val="00BC232B"/>
    <w:rsid w:val="00BC3C6B"/>
    <w:rsid w:val="00BD0FED"/>
    <w:rsid w:val="00BD58D1"/>
    <w:rsid w:val="00BD6B13"/>
    <w:rsid w:val="00BE1360"/>
    <w:rsid w:val="00BE5AD4"/>
    <w:rsid w:val="00BF0E02"/>
    <w:rsid w:val="00BF2B1D"/>
    <w:rsid w:val="00BF61FE"/>
    <w:rsid w:val="00BF7DF0"/>
    <w:rsid w:val="00BF7F8D"/>
    <w:rsid w:val="00C008E6"/>
    <w:rsid w:val="00C031C5"/>
    <w:rsid w:val="00C101A1"/>
    <w:rsid w:val="00C12BBB"/>
    <w:rsid w:val="00C14DF7"/>
    <w:rsid w:val="00C150AD"/>
    <w:rsid w:val="00C25356"/>
    <w:rsid w:val="00C2735F"/>
    <w:rsid w:val="00C31C1C"/>
    <w:rsid w:val="00C3447D"/>
    <w:rsid w:val="00C43AFB"/>
    <w:rsid w:val="00C52624"/>
    <w:rsid w:val="00C53D0F"/>
    <w:rsid w:val="00C57317"/>
    <w:rsid w:val="00C6075E"/>
    <w:rsid w:val="00C646EA"/>
    <w:rsid w:val="00C64991"/>
    <w:rsid w:val="00C7205A"/>
    <w:rsid w:val="00C752F8"/>
    <w:rsid w:val="00C7633A"/>
    <w:rsid w:val="00C81F13"/>
    <w:rsid w:val="00C84471"/>
    <w:rsid w:val="00C93DE6"/>
    <w:rsid w:val="00C96A3A"/>
    <w:rsid w:val="00C97D62"/>
    <w:rsid w:val="00CA306C"/>
    <w:rsid w:val="00CA39D4"/>
    <w:rsid w:val="00CB00E4"/>
    <w:rsid w:val="00CB08CD"/>
    <w:rsid w:val="00CB0FC0"/>
    <w:rsid w:val="00CB3FE4"/>
    <w:rsid w:val="00CB5278"/>
    <w:rsid w:val="00CC06DD"/>
    <w:rsid w:val="00CC1599"/>
    <w:rsid w:val="00CC23CF"/>
    <w:rsid w:val="00CC4CC3"/>
    <w:rsid w:val="00CC6BB3"/>
    <w:rsid w:val="00CE4233"/>
    <w:rsid w:val="00CE4731"/>
    <w:rsid w:val="00CF3088"/>
    <w:rsid w:val="00CF5E82"/>
    <w:rsid w:val="00CF6296"/>
    <w:rsid w:val="00D049C4"/>
    <w:rsid w:val="00D079DF"/>
    <w:rsid w:val="00D121AA"/>
    <w:rsid w:val="00D14E4E"/>
    <w:rsid w:val="00D24D9A"/>
    <w:rsid w:val="00D25D54"/>
    <w:rsid w:val="00D2662A"/>
    <w:rsid w:val="00D413A1"/>
    <w:rsid w:val="00D43149"/>
    <w:rsid w:val="00D462CE"/>
    <w:rsid w:val="00D52685"/>
    <w:rsid w:val="00D641EB"/>
    <w:rsid w:val="00D664C7"/>
    <w:rsid w:val="00D67731"/>
    <w:rsid w:val="00D72DE4"/>
    <w:rsid w:val="00D73B52"/>
    <w:rsid w:val="00D75C8E"/>
    <w:rsid w:val="00D81667"/>
    <w:rsid w:val="00D81F94"/>
    <w:rsid w:val="00D82DD2"/>
    <w:rsid w:val="00D840E3"/>
    <w:rsid w:val="00D853D4"/>
    <w:rsid w:val="00D86091"/>
    <w:rsid w:val="00D90FC8"/>
    <w:rsid w:val="00D9676E"/>
    <w:rsid w:val="00D971AA"/>
    <w:rsid w:val="00DA018A"/>
    <w:rsid w:val="00DA0FFE"/>
    <w:rsid w:val="00DA3A14"/>
    <w:rsid w:val="00DA42F4"/>
    <w:rsid w:val="00DA7B9E"/>
    <w:rsid w:val="00DB2533"/>
    <w:rsid w:val="00DB4AFB"/>
    <w:rsid w:val="00DB7157"/>
    <w:rsid w:val="00DC0530"/>
    <w:rsid w:val="00DC1FE2"/>
    <w:rsid w:val="00DC21D4"/>
    <w:rsid w:val="00DD1E21"/>
    <w:rsid w:val="00DD1EB6"/>
    <w:rsid w:val="00DD2A84"/>
    <w:rsid w:val="00DD3F04"/>
    <w:rsid w:val="00DD4C6B"/>
    <w:rsid w:val="00DD4D00"/>
    <w:rsid w:val="00DD4D78"/>
    <w:rsid w:val="00DD56AD"/>
    <w:rsid w:val="00DD5A8B"/>
    <w:rsid w:val="00DD7469"/>
    <w:rsid w:val="00DD7D51"/>
    <w:rsid w:val="00DE38BF"/>
    <w:rsid w:val="00DE5DFF"/>
    <w:rsid w:val="00DE6895"/>
    <w:rsid w:val="00DE754C"/>
    <w:rsid w:val="00DF7832"/>
    <w:rsid w:val="00E015D8"/>
    <w:rsid w:val="00E040A2"/>
    <w:rsid w:val="00E12C2A"/>
    <w:rsid w:val="00E1578A"/>
    <w:rsid w:val="00E15D33"/>
    <w:rsid w:val="00E205C7"/>
    <w:rsid w:val="00E21BAF"/>
    <w:rsid w:val="00E23550"/>
    <w:rsid w:val="00E23688"/>
    <w:rsid w:val="00E24474"/>
    <w:rsid w:val="00E326BC"/>
    <w:rsid w:val="00E33207"/>
    <w:rsid w:val="00E34D45"/>
    <w:rsid w:val="00E36B36"/>
    <w:rsid w:val="00E4113A"/>
    <w:rsid w:val="00E52E19"/>
    <w:rsid w:val="00E52F4C"/>
    <w:rsid w:val="00E5539C"/>
    <w:rsid w:val="00E701ED"/>
    <w:rsid w:val="00E71A6E"/>
    <w:rsid w:val="00E77B24"/>
    <w:rsid w:val="00E81BE5"/>
    <w:rsid w:val="00E86167"/>
    <w:rsid w:val="00E87A90"/>
    <w:rsid w:val="00E90757"/>
    <w:rsid w:val="00E911F7"/>
    <w:rsid w:val="00E91561"/>
    <w:rsid w:val="00E92FF8"/>
    <w:rsid w:val="00E934F5"/>
    <w:rsid w:val="00E936A1"/>
    <w:rsid w:val="00E94433"/>
    <w:rsid w:val="00E96382"/>
    <w:rsid w:val="00EA0302"/>
    <w:rsid w:val="00EA27F4"/>
    <w:rsid w:val="00EA419D"/>
    <w:rsid w:val="00EA5AF2"/>
    <w:rsid w:val="00EA5B93"/>
    <w:rsid w:val="00EA654B"/>
    <w:rsid w:val="00EA70F9"/>
    <w:rsid w:val="00EB0B2C"/>
    <w:rsid w:val="00EB258C"/>
    <w:rsid w:val="00EB33F6"/>
    <w:rsid w:val="00EB51F5"/>
    <w:rsid w:val="00EB5B81"/>
    <w:rsid w:val="00EB720B"/>
    <w:rsid w:val="00EB7D65"/>
    <w:rsid w:val="00EC06F4"/>
    <w:rsid w:val="00EC25E2"/>
    <w:rsid w:val="00EC315A"/>
    <w:rsid w:val="00EC40CF"/>
    <w:rsid w:val="00EC60A9"/>
    <w:rsid w:val="00ED380F"/>
    <w:rsid w:val="00EE2100"/>
    <w:rsid w:val="00EE3C77"/>
    <w:rsid w:val="00EE6419"/>
    <w:rsid w:val="00EF0533"/>
    <w:rsid w:val="00EF462E"/>
    <w:rsid w:val="00EF4E00"/>
    <w:rsid w:val="00F042C1"/>
    <w:rsid w:val="00F05CCB"/>
    <w:rsid w:val="00F07D5D"/>
    <w:rsid w:val="00F103F0"/>
    <w:rsid w:val="00F10BD0"/>
    <w:rsid w:val="00F125AA"/>
    <w:rsid w:val="00F1285C"/>
    <w:rsid w:val="00F15DED"/>
    <w:rsid w:val="00F15F1A"/>
    <w:rsid w:val="00F16F77"/>
    <w:rsid w:val="00F20809"/>
    <w:rsid w:val="00F221E0"/>
    <w:rsid w:val="00F22EF3"/>
    <w:rsid w:val="00F237E7"/>
    <w:rsid w:val="00F245B1"/>
    <w:rsid w:val="00F27AB2"/>
    <w:rsid w:val="00F30B9A"/>
    <w:rsid w:val="00F339F0"/>
    <w:rsid w:val="00F36EBB"/>
    <w:rsid w:val="00F4375F"/>
    <w:rsid w:val="00F46B0F"/>
    <w:rsid w:val="00F51E88"/>
    <w:rsid w:val="00F525AE"/>
    <w:rsid w:val="00F52745"/>
    <w:rsid w:val="00F53BE1"/>
    <w:rsid w:val="00F54E1C"/>
    <w:rsid w:val="00F579E6"/>
    <w:rsid w:val="00F6080A"/>
    <w:rsid w:val="00F62332"/>
    <w:rsid w:val="00F62C20"/>
    <w:rsid w:val="00F6533F"/>
    <w:rsid w:val="00F65D39"/>
    <w:rsid w:val="00F671E2"/>
    <w:rsid w:val="00F67B0E"/>
    <w:rsid w:val="00F70388"/>
    <w:rsid w:val="00F73CD6"/>
    <w:rsid w:val="00F800F2"/>
    <w:rsid w:val="00F80863"/>
    <w:rsid w:val="00F83661"/>
    <w:rsid w:val="00F84EBF"/>
    <w:rsid w:val="00F856D3"/>
    <w:rsid w:val="00F93034"/>
    <w:rsid w:val="00FA2C00"/>
    <w:rsid w:val="00FA2CED"/>
    <w:rsid w:val="00FA62D0"/>
    <w:rsid w:val="00FA6FC4"/>
    <w:rsid w:val="00FB2343"/>
    <w:rsid w:val="00FB4434"/>
    <w:rsid w:val="00FB44D0"/>
    <w:rsid w:val="00FB5035"/>
    <w:rsid w:val="00FB7739"/>
    <w:rsid w:val="00FC1BD8"/>
    <w:rsid w:val="00FC4F51"/>
    <w:rsid w:val="00FC6AC3"/>
    <w:rsid w:val="00FD12B1"/>
    <w:rsid w:val="00FD2B01"/>
    <w:rsid w:val="00FD2C98"/>
    <w:rsid w:val="00FD30CD"/>
    <w:rsid w:val="00FD385E"/>
    <w:rsid w:val="00FD5FFA"/>
    <w:rsid w:val="00FD7556"/>
    <w:rsid w:val="00FE31DF"/>
    <w:rsid w:val="00FE3CB1"/>
    <w:rsid w:val="00FE68D3"/>
    <w:rsid w:val="00FE78EC"/>
    <w:rsid w:val="00FF04CB"/>
    <w:rsid w:val="00FF1321"/>
    <w:rsid w:val="00FF52AC"/>
    <w:rsid w:val="04D3BA9E"/>
    <w:rsid w:val="07001A17"/>
    <w:rsid w:val="14030A02"/>
    <w:rsid w:val="18E256C9"/>
    <w:rsid w:val="1967F0E7"/>
    <w:rsid w:val="1998DD82"/>
    <w:rsid w:val="19F1A31B"/>
    <w:rsid w:val="2126B66E"/>
    <w:rsid w:val="218D7AEA"/>
    <w:rsid w:val="274FFAB6"/>
    <w:rsid w:val="2AE42E5E"/>
    <w:rsid w:val="2DF3DADF"/>
    <w:rsid w:val="2F704437"/>
    <w:rsid w:val="2FB10D41"/>
    <w:rsid w:val="2FB543FF"/>
    <w:rsid w:val="31BE6ECF"/>
    <w:rsid w:val="3D805DE4"/>
    <w:rsid w:val="3E091498"/>
    <w:rsid w:val="3EF06211"/>
    <w:rsid w:val="41F2194E"/>
    <w:rsid w:val="446B1DCF"/>
    <w:rsid w:val="4696C687"/>
    <w:rsid w:val="4CDB0A3D"/>
    <w:rsid w:val="4E40B44F"/>
    <w:rsid w:val="4EF27D89"/>
    <w:rsid w:val="514E2A8A"/>
    <w:rsid w:val="519AA2E2"/>
    <w:rsid w:val="536F3C03"/>
    <w:rsid w:val="5630C8BA"/>
    <w:rsid w:val="56AE15A7"/>
    <w:rsid w:val="584CCF4A"/>
    <w:rsid w:val="5ADD241F"/>
    <w:rsid w:val="5BC84B22"/>
    <w:rsid w:val="610F5457"/>
    <w:rsid w:val="61EFE852"/>
    <w:rsid w:val="66EDEA62"/>
    <w:rsid w:val="66F7F923"/>
    <w:rsid w:val="68ED4599"/>
    <w:rsid w:val="6975EB48"/>
    <w:rsid w:val="6AEFCB65"/>
    <w:rsid w:val="6F74F766"/>
    <w:rsid w:val="70322985"/>
    <w:rsid w:val="716A9908"/>
    <w:rsid w:val="756F9080"/>
    <w:rsid w:val="782BA009"/>
    <w:rsid w:val="78CB3B82"/>
    <w:rsid w:val="7A3224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FC229"/>
  <w15:docId w15:val="{89352E14-35BC-4C34-9ACF-3E7DA77F0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E4113A"/>
    <w:pPr>
      <w:spacing w:before="60" w:after="0" w:line="360" w:lineRule="atLeast"/>
      <w:ind w:firstLine="567"/>
      <w:jc w:val="both"/>
    </w:pPr>
    <w:rPr>
      <w:rFonts w:ascii="Times New Roman" w:eastAsia="Times New Roman" w:hAnsi="Times New Roman" w:cs="Times New Roman"/>
      <w:sz w:val="24"/>
      <w:szCs w:val="23"/>
      <w:lang w:eastAsia="cs-CZ"/>
    </w:rPr>
  </w:style>
  <w:style w:type="paragraph" w:styleId="Nadpis1">
    <w:name w:val="heading 1"/>
    <w:basedOn w:val="Normln"/>
    <w:next w:val="Normln"/>
    <w:link w:val="Nadpis1Char"/>
    <w:uiPriority w:val="9"/>
    <w:qFormat/>
    <w:rsid w:val="00E4113A"/>
    <w:pPr>
      <w:keepNext/>
      <w:spacing w:before="480"/>
      <w:ind w:left="567" w:hanging="567"/>
      <w:jc w:val="left"/>
      <w:outlineLvl w:val="0"/>
    </w:pPr>
    <w:rPr>
      <w:rFonts w:ascii="Arial" w:hAnsi="Arial"/>
      <w:b/>
      <w:caps/>
      <w:kern w:val="28"/>
      <w:sz w:val="28"/>
      <w:szCs w:val="20"/>
      <w:lang w:val="x-none" w:eastAsia="x-none"/>
    </w:rPr>
  </w:style>
  <w:style w:type="paragraph" w:styleId="Nadpis2">
    <w:name w:val="heading 2"/>
    <w:basedOn w:val="Normln"/>
    <w:next w:val="Normln"/>
    <w:link w:val="Nadpis2Char"/>
    <w:uiPriority w:val="9"/>
    <w:unhideWhenUsed/>
    <w:qFormat/>
    <w:rsid w:val="00F245B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143820"/>
    <w:pPr>
      <w:keepNext/>
      <w:keepLines/>
      <w:spacing w:before="40" w:line="259" w:lineRule="auto"/>
      <w:ind w:firstLine="0"/>
      <w:jc w:val="left"/>
      <w:outlineLvl w:val="2"/>
    </w:pPr>
    <w:rPr>
      <w:rFonts w:asciiTheme="majorHAnsi" w:eastAsiaTheme="majorEastAsia" w:hAnsiTheme="majorHAnsi" w:cstheme="majorBidi"/>
      <w:color w:val="1F4D78" w:themeColor="accent1" w:themeShade="7F"/>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nazev">
    <w:name w:val="st-nazev"/>
    <w:basedOn w:val="Normln"/>
    <w:next w:val="Normln"/>
    <w:rsid w:val="00E4113A"/>
    <w:pPr>
      <w:spacing w:before="5640" w:line="240" w:lineRule="auto"/>
      <w:ind w:firstLine="0"/>
      <w:jc w:val="center"/>
    </w:pPr>
    <w:rPr>
      <w:rFonts w:ascii="Arial" w:hAnsi="Arial"/>
      <w:b/>
      <w:sz w:val="32"/>
    </w:rPr>
  </w:style>
  <w:style w:type="paragraph" w:customStyle="1" w:styleId="st-rok">
    <w:name w:val="st-rok"/>
    <w:basedOn w:val="Normln"/>
    <w:rsid w:val="00E4113A"/>
    <w:pPr>
      <w:spacing w:before="6000" w:line="240" w:lineRule="auto"/>
      <w:ind w:firstLine="0"/>
      <w:jc w:val="center"/>
    </w:pPr>
    <w:rPr>
      <w:b/>
    </w:rPr>
  </w:style>
  <w:style w:type="paragraph" w:customStyle="1" w:styleId="UZEI">
    <w:name w:val="UZEI"/>
    <w:basedOn w:val="Normln"/>
    <w:next w:val="Normln"/>
    <w:qFormat/>
    <w:rsid w:val="00E4113A"/>
    <w:pPr>
      <w:keepNext/>
      <w:spacing w:before="120" w:line="240" w:lineRule="auto"/>
      <w:ind w:firstLine="0"/>
      <w:jc w:val="center"/>
    </w:pPr>
    <w:rPr>
      <w:rFonts w:ascii="Arial" w:hAnsi="Arial"/>
      <w:b/>
      <w:caps/>
      <w:kern w:val="28"/>
      <w:szCs w:val="24"/>
      <w:lang w:val="x-none" w:eastAsia="x-none"/>
    </w:rPr>
  </w:style>
  <w:style w:type="paragraph" w:customStyle="1" w:styleId="logo">
    <w:name w:val="logo"/>
    <w:basedOn w:val="Normln"/>
    <w:rsid w:val="00E4113A"/>
    <w:pPr>
      <w:keepNext/>
      <w:spacing w:before="0" w:line="240" w:lineRule="auto"/>
      <w:ind w:firstLine="0"/>
      <w:jc w:val="center"/>
    </w:pPr>
    <w:rPr>
      <w:rFonts w:ascii="Arial" w:hAnsi="Arial"/>
      <w:b/>
      <w:bCs/>
      <w:caps/>
      <w:kern w:val="28"/>
      <w:sz w:val="28"/>
      <w:szCs w:val="20"/>
      <w:lang w:val="x-none" w:eastAsia="x-none"/>
    </w:rPr>
  </w:style>
  <w:style w:type="character" w:customStyle="1" w:styleId="Nadpis1Char">
    <w:name w:val="Nadpis 1 Char"/>
    <w:basedOn w:val="Standardnpsmoodstavce"/>
    <w:link w:val="Nadpis1"/>
    <w:uiPriority w:val="9"/>
    <w:rsid w:val="00E4113A"/>
    <w:rPr>
      <w:rFonts w:ascii="Arial" w:eastAsia="Times New Roman" w:hAnsi="Arial" w:cs="Times New Roman"/>
      <w:b/>
      <w:caps/>
      <w:kern w:val="28"/>
      <w:sz w:val="28"/>
      <w:szCs w:val="20"/>
      <w:lang w:val="x-none" w:eastAsia="x-none"/>
    </w:rPr>
  </w:style>
  <w:style w:type="paragraph" w:customStyle="1" w:styleId="Tabulka">
    <w:name w:val="Tabulka"/>
    <w:basedOn w:val="Normln"/>
    <w:rsid w:val="00E4113A"/>
    <w:pPr>
      <w:spacing w:line="300" w:lineRule="atLeast"/>
      <w:ind w:firstLine="0"/>
      <w:jc w:val="left"/>
    </w:pPr>
  </w:style>
  <w:style w:type="paragraph" w:styleId="Odstavecseseznamem">
    <w:name w:val="List Paragraph"/>
    <w:aliases w:val="Nad,Odstavec_muj,Odstavec cíl se seznamem,Odstavec se seznamem5,_Odstavec se seznamem,Seznam - odrážky,Conclusion de partie,List Paragraph (Czech Tourism),List Paragraph"/>
    <w:basedOn w:val="Normln"/>
    <w:link w:val="OdstavecseseznamemChar"/>
    <w:uiPriority w:val="34"/>
    <w:qFormat/>
    <w:rsid w:val="00E4113A"/>
    <w:pPr>
      <w:ind w:left="720"/>
      <w:contextualSpacing/>
    </w:pPr>
  </w:style>
  <w:style w:type="character" w:customStyle="1" w:styleId="Nadpis2Char">
    <w:name w:val="Nadpis 2 Char"/>
    <w:basedOn w:val="Standardnpsmoodstavce"/>
    <w:link w:val="Nadpis2"/>
    <w:uiPriority w:val="9"/>
    <w:rsid w:val="00F245B1"/>
    <w:rPr>
      <w:rFonts w:asciiTheme="majorHAnsi" w:eastAsiaTheme="majorEastAsia" w:hAnsiTheme="majorHAnsi" w:cstheme="majorBidi"/>
      <w:color w:val="2E74B5" w:themeColor="accent1" w:themeShade="BF"/>
      <w:sz w:val="26"/>
      <w:szCs w:val="26"/>
      <w:lang w:eastAsia="cs-CZ"/>
    </w:rPr>
  </w:style>
  <w:style w:type="table" w:styleId="Mkatabulky">
    <w:name w:val="Table Grid"/>
    <w:basedOn w:val="Normlntabulka"/>
    <w:uiPriority w:val="39"/>
    <w:rsid w:val="00F24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aliases w:val="Titulek Obr.,Beschriftung_tab,tab_überschrift Char"/>
    <w:basedOn w:val="Normln"/>
    <w:next w:val="Normln"/>
    <w:uiPriority w:val="35"/>
    <w:unhideWhenUsed/>
    <w:qFormat/>
    <w:rsid w:val="00F245B1"/>
    <w:pPr>
      <w:spacing w:before="0" w:after="200" w:line="240" w:lineRule="auto"/>
    </w:pPr>
    <w:rPr>
      <w:i/>
      <w:iCs/>
      <w:color w:val="44546A" w:themeColor="text2"/>
      <w:sz w:val="18"/>
      <w:szCs w:val="18"/>
    </w:rPr>
  </w:style>
  <w:style w:type="paragraph" w:styleId="Textbubliny">
    <w:name w:val="Balloon Text"/>
    <w:basedOn w:val="Normln"/>
    <w:link w:val="TextbublinyChar"/>
    <w:uiPriority w:val="99"/>
    <w:semiHidden/>
    <w:unhideWhenUsed/>
    <w:rsid w:val="00F245B1"/>
    <w:pPr>
      <w:spacing w:before="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245B1"/>
    <w:rPr>
      <w:rFonts w:ascii="Segoe UI" w:eastAsia="Times New Roman" w:hAnsi="Segoe UI" w:cs="Segoe UI"/>
      <w:sz w:val="18"/>
      <w:szCs w:val="18"/>
      <w:lang w:eastAsia="cs-CZ"/>
    </w:rPr>
  </w:style>
  <w:style w:type="table" w:customStyle="1" w:styleId="Tabulkasmkou21">
    <w:name w:val="Tabulka s mřížkou 21"/>
    <w:basedOn w:val="Normlntabulka"/>
    <w:uiPriority w:val="47"/>
    <w:rsid w:val="00F245B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Barevntabulkasmkou61">
    <w:name w:val="Barevná tabulka s mřížkou 61"/>
    <w:basedOn w:val="Normlntabulka"/>
    <w:uiPriority w:val="51"/>
    <w:rsid w:val="00F245B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Zhlav">
    <w:name w:val="header"/>
    <w:basedOn w:val="Normln"/>
    <w:link w:val="ZhlavChar"/>
    <w:uiPriority w:val="99"/>
    <w:unhideWhenUsed/>
    <w:rsid w:val="00E326BC"/>
    <w:pPr>
      <w:tabs>
        <w:tab w:val="center" w:pos="4703"/>
        <w:tab w:val="right" w:pos="9406"/>
      </w:tabs>
      <w:spacing w:before="0" w:line="240" w:lineRule="auto"/>
    </w:pPr>
  </w:style>
  <w:style w:type="character" w:customStyle="1" w:styleId="ZhlavChar">
    <w:name w:val="Záhlaví Char"/>
    <w:basedOn w:val="Standardnpsmoodstavce"/>
    <w:link w:val="Zhlav"/>
    <w:uiPriority w:val="99"/>
    <w:rsid w:val="00E326BC"/>
    <w:rPr>
      <w:rFonts w:ascii="Times New Roman" w:eastAsia="Times New Roman" w:hAnsi="Times New Roman" w:cs="Times New Roman"/>
      <w:sz w:val="24"/>
      <w:szCs w:val="23"/>
      <w:lang w:eastAsia="cs-CZ"/>
    </w:rPr>
  </w:style>
  <w:style w:type="paragraph" w:styleId="Zpat">
    <w:name w:val="footer"/>
    <w:basedOn w:val="Normln"/>
    <w:link w:val="ZpatChar"/>
    <w:uiPriority w:val="99"/>
    <w:unhideWhenUsed/>
    <w:rsid w:val="00E326BC"/>
    <w:pPr>
      <w:tabs>
        <w:tab w:val="center" w:pos="4703"/>
        <w:tab w:val="right" w:pos="9406"/>
      </w:tabs>
      <w:spacing w:before="0" w:line="240" w:lineRule="auto"/>
    </w:pPr>
  </w:style>
  <w:style w:type="character" w:customStyle="1" w:styleId="ZpatChar">
    <w:name w:val="Zápatí Char"/>
    <w:basedOn w:val="Standardnpsmoodstavce"/>
    <w:link w:val="Zpat"/>
    <w:uiPriority w:val="99"/>
    <w:rsid w:val="00E326BC"/>
    <w:rPr>
      <w:rFonts w:ascii="Times New Roman" w:eastAsia="Times New Roman" w:hAnsi="Times New Roman" w:cs="Times New Roman"/>
      <w:sz w:val="24"/>
      <w:szCs w:val="23"/>
      <w:lang w:eastAsia="cs-CZ"/>
    </w:rPr>
  </w:style>
  <w:style w:type="character" w:styleId="Odkaznakoment">
    <w:name w:val="annotation reference"/>
    <w:basedOn w:val="Standardnpsmoodstavce"/>
    <w:uiPriority w:val="99"/>
    <w:semiHidden/>
    <w:unhideWhenUsed/>
    <w:rsid w:val="001E45D8"/>
    <w:rPr>
      <w:sz w:val="16"/>
      <w:szCs w:val="16"/>
    </w:rPr>
  </w:style>
  <w:style w:type="paragraph" w:styleId="Textkomente">
    <w:name w:val="annotation text"/>
    <w:basedOn w:val="Normln"/>
    <w:link w:val="TextkomenteChar"/>
    <w:uiPriority w:val="99"/>
    <w:semiHidden/>
    <w:unhideWhenUsed/>
    <w:rsid w:val="001E45D8"/>
    <w:pPr>
      <w:spacing w:line="240" w:lineRule="auto"/>
    </w:pPr>
    <w:rPr>
      <w:sz w:val="20"/>
      <w:szCs w:val="20"/>
    </w:rPr>
  </w:style>
  <w:style w:type="character" w:customStyle="1" w:styleId="TextkomenteChar">
    <w:name w:val="Text komentáře Char"/>
    <w:basedOn w:val="Standardnpsmoodstavce"/>
    <w:link w:val="Textkomente"/>
    <w:uiPriority w:val="99"/>
    <w:semiHidden/>
    <w:rsid w:val="001E45D8"/>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E45D8"/>
    <w:rPr>
      <w:b/>
      <w:bCs/>
    </w:rPr>
  </w:style>
  <w:style w:type="character" w:customStyle="1" w:styleId="PedmtkomenteChar">
    <w:name w:val="Předmět komentáře Char"/>
    <w:basedOn w:val="TextkomenteChar"/>
    <w:link w:val="Pedmtkomente"/>
    <w:uiPriority w:val="99"/>
    <w:semiHidden/>
    <w:rsid w:val="001E45D8"/>
    <w:rPr>
      <w:rFonts w:ascii="Times New Roman" w:eastAsia="Times New Roman" w:hAnsi="Times New Roman" w:cs="Times New Roman"/>
      <w:b/>
      <w:bCs/>
      <w:sz w:val="20"/>
      <w:szCs w:val="20"/>
      <w:lang w:eastAsia="cs-CZ"/>
    </w:rPr>
  </w:style>
  <w:style w:type="paragraph" w:styleId="Normlnweb">
    <w:name w:val="Normal (Web)"/>
    <w:basedOn w:val="Normln"/>
    <w:uiPriority w:val="99"/>
    <w:unhideWhenUsed/>
    <w:rsid w:val="001E45D8"/>
    <w:pPr>
      <w:spacing w:before="100" w:beforeAutospacing="1" w:after="100" w:afterAutospacing="1" w:line="240" w:lineRule="auto"/>
      <w:ind w:firstLine="0"/>
      <w:jc w:val="left"/>
    </w:pPr>
    <w:rPr>
      <w:szCs w:val="24"/>
    </w:rPr>
  </w:style>
  <w:style w:type="paragraph" w:styleId="Textpoznpodarou">
    <w:name w:val="footnote text"/>
    <w:aliases w:val="Text pozn. pod čarou_martin_ang,Footnote,Text poznámky pod čiarou 007,pozn. pod čarou,Schriftart: 9 pt,Schriftart: 10 pt,Schriftart: 8 pt,Podrozdział,Podrozdzia3,Footnote Text Char1,Footnote Text Char Char,Footnote Text Char"/>
    <w:basedOn w:val="Normln"/>
    <w:link w:val="TextpoznpodarouChar"/>
    <w:unhideWhenUsed/>
    <w:rsid w:val="001E45D8"/>
    <w:pPr>
      <w:spacing w:before="0" w:line="240" w:lineRule="auto"/>
      <w:ind w:firstLine="0"/>
      <w:jc w:val="left"/>
    </w:pPr>
    <w:rPr>
      <w:rFonts w:asciiTheme="minorHAnsi" w:eastAsiaTheme="minorHAnsi" w:hAnsiTheme="minorHAnsi" w:cstheme="minorBidi"/>
      <w:sz w:val="20"/>
      <w:szCs w:val="20"/>
      <w:lang w:eastAsia="en-US"/>
    </w:rPr>
  </w:style>
  <w:style w:type="character" w:customStyle="1" w:styleId="TextpoznpodarouChar">
    <w:name w:val="Text pozn. pod čarou Char"/>
    <w:aliases w:val="Text pozn. pod čarou_martin_ang Char,Footnote Char,Text poznámky pod čiarou 007 Char,pozn. pod čarou Char,Schriftart: 9 pt Char,Schriftart: 10 pt Char,Schriftart: 8 pt Char,Podrozdział Char,Podrozdzia3 Char"/>
    <w:basedOn w:val="Standardnpsmoodstavce"/>
    <w:link w:val="Textpoznpodarou"/>
    <w:rsid w:val="001E45D8"/>
    <w:rPr>
      <w:sz w:val="20"/>
      <w:szCs w:val="20"/>
    </w:rPr>
  </w:style>
  <w:style w:type="character" w:styleId="Znakapoznpodarou">
    <w:name w:val="footnote reference"/>
    <w:aliases w:val="PGI Fußnote Ziffer"/>
    <w:basedOn w:val="Standardnpsmoodstavce"/>
    <w:uiPriority w:val="99"/>
    <w:unhideWhenUsed/>
    <w:rsid w:val="001E45D8"/>
    <w:rPr>
      <w:vertAlign w:val="superscript"/>
    </w:rPr>
  </w:style>
  <w:style w:type="character" w:customStyle="1" w:styleId="OdstavecseseznamemChar">
    <w:name w:val="Odstavec se seznamem Char"/>
    <w:aliases w:val="Nad Char,Odstavec_muj Char,Odstavec cíl se seznamem Char,Odstavec se seznamem5 Char,_Odstavec se seznamem Char,Seznam - odrážky Char,Conclusion de partie Char,List Paragraph (Czech Tourism) Char,List Paragraph Char"/>
    <w:basedOn w:val="Standardnpsmoodstavce"/>
    <w:link w:val="Odstavecseseznamem"/>
    <w:uiPriority w:val="34"/>
    <w:locked/>
    <w:rsid w:val="001E45D8"/>
    <w:rPr>
      <w:rFonts w:ascii="Times New Roman" w:eastAsia="Times New Roman" w:hAnsi="Times New Roman" w:cs="Times New Roman"/>
      <w:sz w:val="24"/>
      <w:szCs w:val="23"/>
      <w:lang w:eastAsia="cs-CZ"/>
    </w:rPr>
  </w:style>
  <w:style w:type="paragraph" w:styleId="Nadpisobsahu">
    <w:name w:val="TOC Heading"/>
    <w:basedOn w:val="Nadpis1"/>
    <w:next w:val="Normln"/>
    <w:uiPriority w:val="39"/>
    <w:unhideWhenUsed/>
    <w:qFormat/>
    <w:rsid w:val="00C7633A"/>
    <w:pPr>
      <w:keepLines/>
      <w:spacing w:before="240" w:line="259" w:lineRule="auto"/>
      <w:ind w:left="0" w:firstLine="0"/>
      <w:outlineLvl w:val="9"/>
    </w:pPr>
    <w:rPr>
      <w:rFonts w:asciiTheme="majorHAnsi" w:eastAsiaTheme="majorEastAsia" w:hAnsiTheme="majorHAnsi" w:cstheme="majorBidi"/>
      <w:b w:val="0"/>
      <w:caps w:val="0"/>
      <w:color w:val="2E74B5" w:themeColor="accent1" w:themeShade="BF"/>
      <w:kern w:val="0"/>
      <w:sz w:val="32"/>
      <w:szCs w:val="32"/>
      <w:lang w:val="cs-CZ" w:eastAsia="cs-CZ"/>
    </w:rPr>
  </w:style>
  <w:style w:type="paragraph" w:styleId="Obsah1">
    <w:name w:val="toc 1"/>
    <w:basedOn w:val="Normln"/>
    <w:next w:val="Normln"/>
    <w:autoRedefine/>
    <w:uiPriority w:val="39"/>
    <w:unhideWhenUsed/>
    <w:rsid w:val="00346853"/>
    <w:pPr>
      <w:tabs>
        <w:tab w:val="left" w:pos="426"/>
        <w:tab w:val="left" w:pos="567"/>
        <w:tab w:val="right" w:leader="dot" w:pos="9062"/>
      </w:tabs>
      <w:spacing w:before="0" w:line="360" w:lineRule="auto"/>
      <w:ind w:left="567" w:hanging="425"/>
      <w:jc w:val="left"/>
    </w:pPr>
  </w:style>
  <w:style w:type="paragraph" w:styleId="Obsah2">
    <w:name w:val="toc 2"/>
    <w:basedOn w:val="Normln"/>
    <w:next w:val="Normln"/>
    <w:autoRedefine/>
    <w:uiPriority w:val="39"/>
    <w:unhideWhenUsed/>
    <w:rsid w:val="00040D89"/>
    <w:pPr>
      <w:tabs>
        <w:tab w:val="left" w:pos="880"/>
        <w:tab w:val="left" w:pos="1540"/>
        <w:tab w:val="left" w:pos="1998"/>
        <w:tab w:val="right" w:leader="dot" w:pos="9062"/>
      </w:tabs>
      <w:spacing w:before="0" w:line="360" w:lineRule="auto"/>
      <w:ind w:left="240" w:firstLine="1178"/>
      <w:jc w:val="left"/>
    </w:pPr>
    <w:rPr>
      <w:b/>
      <w:bCs/>
      <w:noProof/>
    </w:rPr>
  </w:style>
  <w:style w:type="character" w:styleId="Hypertextovodkaz">
    <w:name w:val="Hyperlink"/>
    <w:basedOn w:val="Standardnpsmoodstavce"/>
    <w:uiPriority w:val="99"/>
    <w:unhideWhenUsed/>
    <w:rsid w:val="00C7633A"/>
    <w:rPr>
      <w:color w:val="0563C1" w:themeColor="hyperlink"/>
      <w:u w:val="single"/>
    </w:rPr>
  </w:style>
  <w:style w:type="paragraph" w:customStyle="1" w:styleId="Default">
    <w:name w:val="Default"/>
    <w:rsid w:val="00364ED5"/>
    <w:pPr>
      <w:autoSpaceDE w:val="0"/>
      <w:autoSpaceDN w:val="0"/>
      <w:adjustRightInd w:val="0"/>
      <w:spacing w:after="0" w:line="240" w:lineRule="auto"/>
    </w:pPr>
    <w:rPr>
      <w:rFonts w:ascii="Arial" w:hAnsi="Arial" w:cs="Arial"/>
      <w:color w:val="000000"/>
      <w:sz w:val="24"/>
      <w:szCs w:val="24"/>
    </w:rPr>
  </w:style>
  <w:style w:type="character" w:customStyle="1" w:styleId="Nadpis3Char">
    <w:name w:val="Nadpis 3 Char"/>
    <w:basedOn w:val="Standardnpsmoodstavce"/>
    <w:link w:val="Nadpis3"/>
    <w:uiPriority w:val="9"/>
    <w:semiHidden/>
    <w:rsid w:val="00143820"/>
    <w:rPr>
      <w:rFonts w:asciiTheme="majorHAnsi" w:eastAsiaTheme="majorEastAsia" w:hAnsiTheme="majorHAnsi" w:cstheme="majorBidi"/>
      <w:color w:val="1F4D78" w:themeColor="accent1" w:themeShade="7F"/>
      <w:sz w:val="24"/>
      <w:szCs w:val="24"/>
    </w:rPr>
  </w:style>
  <w:style w:type="paragraph" w:styleId="Zkladntextodsazen2">
    <w:name w:val="Body Text Indent 2"/>
    <w:basedOn w:val="Normln"/>
    <w:link w:val="Zkladntextodsazen2Char"/>
    <w:unhideWhenUsed/>
    <w:rsid w:val="00143820"/>
    <w:pPr>
      <w:spacing w:before="0" w:line="240" w:lineRule="auto"/>
      <w:ind w:firstLine="708"/>
    </w:pPr>
    <w:rPr>
      <w:i/>
      <w:szCs w:val="20"/>
    </w:rPr>
  </w:style>
  <w:style w:type="character" w:customStyle="1" w:styleId="Zkladntextodsazen2Char">
    <w:name w:val="Základní text odsazený 2 Char"/>
    <w:basedOn w:val="Standardnpsmoodstavce"/>
    <w:link w:val="Zkladntextodsazen2"/>
    <w:rsid w:val="00143820"/>
    <w:rPr>
      <w:rFonts w:ascii="Times New Roman" w:eastAsia="Times New Roman" w:hAnsi="Times New Roman" w:cs="Times New Roman"/>
      <w:i/>
      <w:sz w:val="24"/>
      <w:szCs w:val="20"/>
      <w:lang w:eastAsia="cs-CZ"/>
    </w:rPr>
  </w:style>
  <w:style w:type="character" w:styleId="Siln">
    <w:name w:val="Strong"/>
    <w:basedOn w:val="Standardnpsmoodstavce"/>
    <w:uiPriority w:val="22"/>
    <w:qFormat/>
    <w:rsid w:val="00143820"/>
    <w:rPr>
      <w:b/>
      <w:bCs/>
    </w:rPr>
  </w:style>
  <w:style w:type="paragraph" w:customStyle="1" w:styleId="poznmkatabulka">
    <w:name w:val="poznámka tabulka"/>
    <w:basedOn w:val="Normln"/>
    <w:next w:val="Normln"/>
    <w:qFormat/>
    <w:rsid w:val="00143820"/>
    <w:pPr>
      <w:keepNext/>
      <w:spacing w:before="0" w:line="240" w:lineRule="auto"/>
      <w:ind w:firstLine="0"/>
    </w:pPr>
    <w:rPr>
      <w:rFonts w:ascii="Calibri" w:eastAsia="Calibri" w:hAnsi="Calibri"/>
      <w:i/>
      <w:sz w:val="20"/>
      <w:szCs w:val="22"/>
    </w:rPr>
  </w:style>
  <w:style w:type="paragraph" w:customStyle="1" w:styleId="AnalyzaSituace1">
    <w:name w:val="Analyza_Situace_1"/>
    <w:basedOn w:val="Normln"/>
    <w:qFormat/>
    <w:rsid w:val="00143820"/>
    <w:pPr>
      <w:spacing w:before="0" w:after="160" w:line="259" w:lineRule="auto"/>
      <w:ind w:firstLine="0"/>
      <w:jc w:val="left"/>
    </w:pPr>
    <w:rPr>
      <w:rFonts w:asciiTheme="minorHAnsi" w:eastAsiaTheme="minorHAnsi" w:hAnsiTheme="minorHAnsi" w:cstheme="minorBidi"/>
      <w:b/>
      <w:sz w:val="28"/>
      <w:szCs w:val="28"/>
      <w:lang w:eastAsia="en-US"/>
    </w:rPr>
  </w:style>
  <w:style w:type="table" w:customStyle="1" w:styleId="Barevntabulkasmkou6zvraznn31">
    <w:name w:val="Barevná tabulka s mřížkou 6 – zvýraznění 31"/>
    <w:basedOn w:val="Normlntabulka"/>
    <w:uiPriority w:val="51"/>
    <w:rsid w:val="0014382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itulek1">
    <w:name w:val="Titulek1"/>
    <w:basedOn w:val="Normln"/>
    <w:next w:val="Normln"/>
    <w:rsid w:val="00143820"/>
    <w:pPr>
      <w:suppressAutoHyphens/>
      <w:spacing w:before="0" w:after="200" w:line="276" w:lineRule="auto"/>
      <w:ind w:firstLine="0"/>
      <w:jc w:val="left"/>
    </w:pPr>
    <w:rPr>
      <w:b/>
      <w:bCs/>
      <w:sz w:val="20"/>
      <w:szCs w:val="20"/>
      <w:lang w:eastAsia="zh-CN"/>
    </w:rPr>
  </w:style>
  <w:style w:type="character" w:customStyle="1" w:styleId="FootnoteCharacters">
    <w:name w:val="Footnote Characters"/>
    <w:rsid w:val="00143820"/>
    <w:rPr>
      <w:rFonts w:cs="Times New Roman"/>
      <w:vertAlign w:val="superscript"/>
    </w:rPr>
  </w:style>
  <w:style w:type="paragraph" w:styleId="Seznamobrzk">
    <w:name w:val="table of figures"/>
    <w:basedOn w:val="Normln"/>
    <w:next w:val="Normln"/>
    <w:uiPriority w:val="99"/>
    <w:unhideWhenUsed/>
    <w:rsid w:val="00C2735F"/>
  </w:style>
  <w:style w:type="table" w:customStyle="1" w:styleId="Tabulkasmkou210">
    <w:name w:val="Tabulka s mřížkou 21"/>
    <w:basedOn w:val="Normlntabulka"/>
    <w:uiPriority w:val="47"/>
    <w:rsid w:val="0083280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Barevntabulkasmkou610">
    <w:name w:val="Barevná tabulka s mřížkou 61"/>
    <w:basedOn w:val="Normlntabulka"/>
    <w:uiPriority w:val="51"/>
    <w:rsid w:val="0083280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Barevntabulkasmkou6zvraznn310">
    <w:name w:val="Barevná tabulka s mřížkou 6 – zvýraznění 31"/>
    <w:basedOn w:val="Normlntabulka"/>
    <w:uiPriority w:val="51"/>
    <w:rsid w:val="0083280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ze">
    <w:name w:val="Revision"/>
    <w:hidden/>
    <w:uiPriority w:val="99"/>
    <w:semiHidden/>
    <w:rsid w:val="00832800"/>
    <w:pPr>
      <w:spacing w:after="0" w:line="240" w:lineRule="auto"/>
    </w:pPr>
    <w:rPr>
      <w:rFonts w:ascii="Times New Roman" w:eastAsia="Times New Roman" w:hAnsi="Times New Roman" w:cs="Times New Roman"/>
      <w:sz w:val="24"/>
      <w:szCs w:val="23"/>
      <w:lang w:eastAsia="cs-CZ"/>
    </w:rPr>
  </w:style>
  <w:style w:type="table" w:customStyle="1" w:styleId="Svtltabulkasmkou1zvraznn11">
    <w:name w:val="Světlá tabulka s mřížkou 1 – zvýraznění 11"/>
    <w:basedOn w:val="Normlntabulka"/>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Sledovanodkaz">
    <w:name w:val="FollowedHyperlink"/>
    <w:basedOn w:val="Standardnpsmoodstavce"/>
    <w:uiPriority w:val="99"/>
    <w:semiHidden/>
    <w:unhideWhenUsed/>
    <w:rsid w:val="008978FF"/>
    <w:rPr>
      <w:color w:val="954F72" w:themeColor="followedHyperlink"/>
      <w:u w:val="single"/>
    </w:rPr>
  </w:style>
  <w:style w:type="character" w:styleId="Nevyeenzmnka">
    <w:name w:val="Unresolved Mention"/>
    <w:basedOn w:val="Standardnpsmoodstavce"/>
    <w:uiPriority w:val="99"/>
    <w:semiHidden/>
    <w:unhideWhenUsed/>
    <w:rsid w:val="008978FF"/>
    <w:rPr>
      <w:color w:val="808080"/>
      <w:shd w:val="clear" w:color="auto" w:fill="E6E6E6"/>
    </w:rPr>
  </w:style>
  <w:style w:type="paragraph" w:styleId="Textvysvtlivek">
    <w:name w:val="endnote text"/>
    <w:basedOn w:val="Normln"/>
    <w:link w:val="TextvysvtlivekChar"/>
    <w:uiPriority w:val="99"/>
    <w:semiHidden/>
    <w:unhideWhenUsed/>
    <w:rsid w:val="00055CB7"/>
    <w:pPr>
      <w:spacing w:before="0" w:line="240" w:lineRule="auto"/>
    </w:pPr>
    <w:rPr>
      <w:sz w:val="20"/>
      <w:szCs w:val="20"/>
    </w:rPr>
  </w:style>
  <w:style w:type="character" w:customStyle="1" w:styleId="TextvysvtlivekChar">
    <w:name w:val="Text vysvětlivek Char"/>
    <w:basedOn w:val="Standardnpsmoodstavce"/>
    <w:link w:val="Textvysvtlivek"/>
    <w:uiPriority w:val="99"/>
    <w:semiHidden/>
    <w:rsid w:val="00055CB7"/>
    <w:rPr>
      <w:rFonts w:ascii="Times New Roman" w:eastAsia="Times New Roman" w:hAnsi="Times New Roman" w:cs="Times New Roman"/>
      <w:sz w:val="20"/>
      <w:szCs w:val="20"/>
      <w:lang w:eastAsia="cs-CZ"/>
    </w:rPr>
  </w:style>
  <w:style w:type="character" w:styleId="Odkaznavysvtlivky">
    <w:name w:val="endnote reference"/>
    <w:basedOn w:val="Standardnpsmoodstavce"/>
    <w:uiPriority w:val="99"/>
    <w:semiHidden/>
    <w:unhideWhenUsed/>
    <w:rsid w:val="00055CB7"/>
    <w:rPr>
      <w:vertAlign w:val="superscript"/>
    </w:rPr>
  </w:style>
  <w:style w:type="paragraph" w:styleId="z-Zatekformule">
    <w:name w:val="HTML Top of Form"/>
    <w:basedOn w:val="Normln"/>
    <w:next w:val="Normln"/>
    <w:link w:val="z-ZatekformuleChar"/>
    <w:hidden/>
    <w:uiPriority w:val="99"/>
    <w:semiHidden/>
    <w:unhideWhenUsed/>
    <w:rsid w:val="00055CB7"/>
    <w:pPr>
      <w:pBdr>
        <w:bottom w:val="single" w:sz="6" w:space="1" w:color="auto"/>
      </w:pBdr>
      <w:spacing w:before="0" w:line="240" w:lineRule="auto"/>
      <w:ind w:firstLine="0"/>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055CB7"/>
    <w:rPr>
      <w:rFonts w:ascii="Arial" w:eastAsia="Times New Roman" w:hAnsi="Arial" w:cs="Arial"/>
      <w:vanish/>
      <w:sz w:val="16"/>
      <w:szCs w:val="16"/>
      <w:lang w:eastAsia="cs-CZ"/>
    </w:rPr>
  </w:style>
  <w:style w:type="paragraph" w:customStyle="1" w:styleId="Point1">
    <w:name w:val="Point 1"/>
    <w:basedOn w:val="Normln"/>
    <w:rsid w:val="004114DF"/>
    <w:pPr>
      <w:spacing w:before="120" w:after="120" w:line="240" w:lineRule="auto"/>
      <w:ind w:left="1417" w:hanging="567"/>
    </w:pPr>
    <w:rPr>
      <w:rFonts w:eastAsiaTheme="minorHAnsi"/>
      <w:szCs w:val="22"/>
      <w:lang w:eastAsia="en-US"/>
    </w:rPr>
  </w:style>
  <w:style w:type="paragraph" w:customStyle="1" w:styleId="ManualNumPar1">
    <w:name w:val="Manual NumPar 1"/>
    <w:basedOn w:val="Normln"/>
    <w:next w:val="Normln"/>
    <w:rsid w:val="004114DF"/>
    <w:pPr>
      <w:spacing w:before="120" w:after="120" w:line="240" w:lineRule="auto"/>
      <w:ind w:left="850" w:hanging="850"/>
    </w:pPr>
    <w:rPr>
      <w:rFonts w:eastAsiaTheme="minorHAns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782437">
      <w:bodyDiv w:val="1"/>
      <w:marLeft w:val="0"/>
      <w:marRight w:val="0"/>
      <w:marTop w:val="0"/>
      <w:marBottom w:val="0"/>
      <w:divBdr>
        <w:top w:val="none" w:sz="0" w:space="0" w:color="auto"/>
        <w:left w:val="none" w:sz="0" w:space="0" w:color="auto"/>
        <w:bottom w:val="none" w:sz="0" w:space="0" w:color="auto"/>
        <w:right w:val="none" w:sz="0" w:space="0" w:color="auto"/>
      </w:divBdr>
      <w:divsChild>
        <w:div w:id="742534658">
          <w:marLeft w:val="0"/>
          <w:marRight w:val="0"/>
          <w:marTop w:val="0"/>
          <w:marBottom w:val="0"/>
          <w:divBdr>
            <w:top w:val="none" w:sz="0" w:space="0" w:color="auto"/>
            <w:left w:val="none" w:sz="0" w:space="0" w:color="auto"/>
            <w:bottom w:val="none" w:sz="0" w:space="0" w:color="auto"/>
            <w:right w:val="none" w:sz="0" w:space="0" w:color="auto"/>
          </w:divBdr>
        </w:div>
        <w:div w:id="1357850634">
          <w:marLeft w:val="0"/>
          <w:marRight w:val="0"/>
          <w:marTop w:val="0"/>
          <w:marBottom w:val="0"/>
          <w:divBdr>
            <w:top w:val="none" w:sz="0" w:space="0" w:color="auto"/>
            <w:left w:val="none" w:sz="0" w:space="0" w:color="auto"/>
            <w:bottom w:val="none" w:sz="0" w:space="0" w:color="auto"/>
            <w:right w:val="none" w:sz="0" w:space="0" w:color="auto"/>
          </w:divBdr>
        </w:div>
      </w:divsChild>
    </w:div>
    <w:div w:id="532429262">
      <w:bodyDiv w:val="1"/>
      <w:marLeft w:val="0"/>
      <w:marRight w:val="0"/>
      <w:marTop w:val="0"/>
      <w:marBottom w:val="0"/>
      <w:divBdr>
        <w:top w:val="none" w:sz="0" w:space="0" w:color="auto"/>
        <w:left w:val="none" w:sz="0" w:space="0" w:color="auto"/>
        <w:bottom w:val="none" w:sz="0" w:space="0" w:color="auto"/>
        <w:right w:val="none" w:sz="0" w:space="0" w:color="auto"/>
      </w:divBdr>
    </w:div>
    <w:div w:id="588196671">
      <w:bodyDiv w:val="1"/>
      <w:marLeft w:val="0"/>
      <w:marRight w:val="0"/>
      <w:marTop w:val="0"/>
      <w:marBottom w:val="0"/>
      <w:divBdr>
        <w:top w:val="none" w:sz="0" w:space="0" w:color="auto"/>
        <w:left w:val="none" w:sz="0" w:space="0" w:color="auto"/>
        <w:bottom w:val="none" w:sz="0" w:space="0" w:color="auto"/>
        <w:right w:val="none" w:sz="0" w:space="0" w:color="auto"/>
      </w:divBdr>
    </w:div>
    <w:div w:id="1004627251">
      <w:bodyDiv w:val="1"/>
      <w:marLeft w:val="0"/>
      <w:marRight w:val="0"/>
      <w:marTop w:val="0"/>
      <w:marBottom w:val="0"/>
      <w:divBdr>
        <w:top w:val="none" w:sz="0" w:space="0" w:color="auto"/>
        <w:left w:val="none" w:sz="0" w:space="0" w:color="auto"/>
        <w:bottom w:val="none" w:sz="0" w:space="0" w:color="auto"/>
        <w:right w:val="none" w:sz="0" w:space="0" w:color="auto"/>
      </w:divBdr>
    </w:div>
    <w:div w:id="1065491095">
      <w:bodyDiv w:val="1"/>
      <w:marLeft w:val="0"/>
      <w:marRight w:val="0"/>
      <w:marTop w:val="0"/>
      <w:marBottom w:val="0"/>
      <w:divBdr>
        <w:top w:val="none" w:sz="0" w:space="0" w:color="auto"/>
        <w:left w:val="none" w:sz="0" w:space="0" w:color="auto"/>
        <w:bottom w:val="none" w:sz="0" w:space="0" w:color="auto"/>
        <w:right w:val="none" w:sz="0" w:space="0" w:color="auto"/>
      </w:divBdr>
    </w:div>
    <w:div w:id="1280797028">
      <w:bodyDiv w:val="1"/>
      <w:marLeft w:val="0"/>
      <w:marRight w:val="0"/>
      <w:marTop w:val="0"/>
      <w:marBottom w:val="0"/>
      <w:divBdr>
        <w:top w:val="none" w:sz="0" w:space="0" w:color="auto"/>
        <w:left w:val="none" w:sz="0" w:space="0" w:color="auto"/>
        <w:bottom w:val="none" w:sz="0" w:space="0" w:color="auto"/>
        <w:right w:val="none" w:sz="0" w:space="0" w:color="auto"/>
      </w:divBdr>
    </w:div>
    <w:div w:id="205535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zechinvest.org/cz/Sluzby-pro-municipality/Nemovitosti-pro" TargetMode="External"/><Relationship Id="rId18" Type="http://schemas.openxmlformats.org/officeDocument/2006/relationships/chart" Target="charts/chart2.xml"/><Relationship Id="rId26" Type="http://schemas.openxmlformats.org/officeDocument/2006/relationships/image" Target="media/image4.png"/><Relationship Id="rId39" Type="http://schemas.openxmlformats.org/officeDocument/2006/relationships/image" Target="media/image10.png"/><Relationship Id="rId21" Type="http://schemas.openxmlformats.org/officeDocument/2006/relationships/image" Target="media/image3.png"/><Relationship Id="rId34" Type="http://schemas.openxmlformats.org/officeDocument/2006/relationships/image" Target="media/image9.emf"/><Relationship Id="rId42" Type="http://schemas.openxmlformats.org/officeDocument/2006/relationships/chart" Target="charts/chart18.xml"/><Relationship Id="rId47" Type="http://schemas.openxmlformats.org/officeDocument/2006/relationships/image" Target="media/image11.emf"/><Relationship Id="rId50" Type="http://schemas.openxmlformats.org/officeDocument/2006/relationships/image" Target="media/image14.emf"/><Relationship Id="rId55" Type="http://schemas.openxmlformats.org/officeDocument/2006/relationships/chart" Target="charts/chart26.xml"/><Relationship Id="rId63" Type="http://schemas.openxmlformats.org/officeDocument/2006/relationships/chart" Target="charts/chart33.xml"/><Relationship Id="rId68" Type="http://schemas.openxmlformats.org/officeDocument/2006/relationships/chart" Target="charts/chart38.xml"/><Relationship Id="rId76" Type="http://schemas.openxmlformats.org/officeDocument/2006/relationships/image" Target="media/image19.emf"/><Relationship Id="rId84" Type="http://schemas.openxmlformats.org/officeDocument/2006/relationships/chart" Target="charts/chart46.xml"/><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chart" Target="charts/chart41.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chart" Target="charts/chart9.xml"/><Relationship Id="rId11" Type="http://schemas.openxmlformats.org/officeDocument/2006/relationships/endnotes" Target="endnotes.xml"/><Relationship Id="rId24" Type="http://schemas.openxmlformats.org/officeDocument/2006/relationships/chart" Target="charts/chart7.xml"/><Relationship Id="rId32" Type="http://schemas.openxmlformats.org/officeDocument/2006/relationships/image" Target="media/image8.emf"/><Relationship Id="rId37" Type="http://schemas.openxmlformats.org/officeDocument/2006/relationships/chart" Target="charts/chart14.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chart" Target="charts/chart25.xml"/><Relationship Id="rId58" Type="http://schemas.openxmlformats.org/officeDocument/2006/relationships/image" Target="media/image16.emf"/><Relationship Id="rId66" Type="http://schemas.openxmlformats.org/officeDocument/2006/relationships/chart" Target="charts/chart36.xml"/><Relationship Id="rId74" Type="http://schemas.openxmlformats.org/officeDocument/2006/relationships/image" Target="media/image17.png"/><Relationship Id="rId79" Type="http://schemas.openxmlformats.org/officeDocument/2006/relationships/image" Target="media/image22.emf"/><Relationship Id="rId87"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chart" Target="charts/chart31.xml"/><Relationship Id="rId82" Type="http://schemas.openxmlformats.org/officeDocument/2006/relationships/image" Target="media/image24.emf"/><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zp.cz/C1257458002F0DC7/cz/zpravy_o_stavu_zivotniho_" TargetMode="External"/><Relationship Id="rId22" Type="http://schemas.openxmlformats.org/officeDocument/2006/relationships/chart" Target="charts/chart5.xml"/><Relationship Id="rId27" Type="http://schemas.openxmlformats.org/officeDocument/2006/relationships/image" Target="media/image5.emf"/><Relationship Id="rId30" Type="http://schemas.openxmlformats.org/officeDocument/2006/relationships/image" Target="media/image7.emf"/><Relationship Id="rId35" Type="http://schemas.openxmlformats.org/officeDocument/2006/relationships/chart" Target="charts/chart12.xml"/><Relationship Id="rId43" Type="http://schemas.openxmlformats.org/officeDocument/2006/relationships/chart" Target="charts/chart19.xml"/><Relationship Id="rId48" Type="http://schemas.openxmlformats.org/officeDocument/2006/relationships/image" Target="media/image12.emf"/><Relationship Id="rId56" Type="http://schemas.openxmlformats.org/officeDocument/2006/relationships/chart" Target="charts/chart27.xml"/><Relationship Id="rId64" Type="http://schemas.openxmlformats.org/officeDocument/2006/relationships/chart" Target="charts/chart34.xml"/><Relationship Id="rId69" Type="http://schemas.openxmlformats.org/officeDocument/2006/relationships/chart" Target="charts/chart39.xml"/><Relationship Id="rId77" Type="http://schemas.openxmlformats.org/officeDocument/2006/relationships/image" Target="media/image20.emf"/><Relationship Id="rId8" Type="http://schemas.openxmlformats.org/officeDocument/2006/relationships/settings" Target="settings.xml"/><Relationship Id="rId51" Type="http://schemas.openxmlformats.org/officeDocument/2006/relationships/chart" Target="charts/chart23.xml"/><Relationship Id="rId72" Type="http://schemas.openxmlformats.org/officeDocument/2006/relationships/chart" Target="charts/chart42.xml"/><Relationship Id="rId80" Type="http://schemas.openxmlformats.org/officeDocument/2006/relationships/image" Target="media/image23.emf"/><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chart" Target="charts/chart11.xml"/><Relationship Id="rId38" Type="http://schemas.openxmlformats.org/officeDocument/2006/relationships/chart" Target="charts/chart15.xml"/><Relationship Id="rId46" Type="http://schemas.openxmlformats.org/officeDocument/2006/relationships/chart" Target="charts/chart22.xml"/><Relationship Id="rId59" Type="http://schemas.openxmlformats.org/officeDocument/2006/relationships/chart" Target="charts/chart29.xml"/><Relationship Id="rId67" Type="http://schemas.openxmlformats.org/officeDocument/2006/relationships/chart" Target="charts/chart37.xml"/><Relationship Id="rId20" Type="http://schemas.openxmlformats.org/officeDocument/2006/relationships/chart" Target="charts/chart4.xml"/><Relationship Id="rId41" Type="http://schemas.openxmlformats.org/officeDocument/2006/relationships/chart" Target="charts/chart17.xml"/><Relationship Id="rId54" Type="http://schemas.openxmlformats.org/officeDocument/2006/relationships/image" Target="media/image15.png"/><Relationship Id="rId62" Type="http://schemas.openxmlformats.org/officeDocument/2006/relationships/chart" Target="charts/chart32.xml"/><Relationship Id="rId70" Type="http://schemas.openxmlformats.org/officeDocument/2006/relationships/chart" Target="charts/chart40.xml"/><Relationship Id="rId75" Type="http://schemas.openxmlformats.org/officeDocument/2006/relationships/image" Target="media/image18.png"/><Relationship Id="rId83" Type="http://schemas.openxmlformats.org/officeDocument/2006/relationships/chart" Target="charts/chart45.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uur.cz/images/5-publikacni-cinnost-a-knihovna/casopis/2012/2012-06/03_zemedelske.pdf" TargetMode="External"/><Relationship Id="rId23" Type="http://schemas.openxmlformats.org/officeDocument/2006/relationships/chart" Target="charts/chart6.xml"/><Relationship Id="rId28" Type="http://schemas.openxmlformats.org/officeDocument/2006/relationships/image" Target="media/image6.emf"/><Relationship Id="rId36" Type="http://schemas.openxmlformats.org/officeDocument/2006/relationships/chart" Target="charts/chart13.xml"/><Relationship Id="rId49" Type="http://schemas.openxmlformats.org/officeDocument/2006/relationships/image" Target="media/image13.emf"/><Relationship Id="rId57" Type="http://schemas.openxmlformats.org/officeDocument/2006/relationships/chart" Target="charts/chart28.xml"/><Relationship Id="rId10" Type="http://schemas.openxmlformats.org/officeDocument/2006/relationships/footnotes" Target="footnotes.xml"/><Relationship Id="rId31" Type="http://schemas.openxmlformats.org/officeDocument/2006/relationships/chart" Target="charts/chart10.xml"/><Relationship Id="rId44" Type="http://schemas.openxmlformats.org/officeDocument/2006/relationships/chart" Target="charts/chart20.xml"/><Relationship Id="rId52" Type="http://schemas.openxmlformats.org/officeDocument/2006/relationships/chart" Target="charts/chart24.xml"/><Relationship Id="rId60" Type="http://schemas.openxmlformats.org/officeDocument/2006/relationships/chart" Target="charts/chart30.xml"/><Relationship Id="rId65" Type="http://schemas.openxmlformats.org/officeDocument/2006/relationships/chart" Target="charts/chart35.xml"/><Relationship Id="rId73" Type="http://schemas.openxmlformats.org/officeDocument/2006/relationships/chart" Target="charts/chart43.xml"/><Relationship Id="rId78" Type="http://schemas.openxmlformats.org/officeDocument/2006/relationships/image" Target="media/image21.emf"/><Relationship Id="rId81" Type="http://schemas.openxmlformats.org/officeDocument/2006/relationships/chart" Target="charts/chart44.xml"/><Relationship Id="rId86"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dvs.cz/clanek.asp?id=6485296" TargetMode="External"/><Relationship Id="rId2" Type="http://schemas.openxmlformats.org/officeDocument/2006/relationships/hyperlink" Target="https://www.czechinvest.org/cz/Sluzby-pro-municipality/Nemovitosti-pro-podnikatelske-ucely/Brownfieldy" TargetMode="External"/><Relationship Id="rId1" Type="http://schemas.openxmlformats.org/officeDocument/2006/relationships/hyperlink" Target="https://www.uur.cz/images/5-publikacni-cinnost-a-knihovna/casopis/2012/2012-06/03_zemedelske.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vobodova\Documents\Koncepce%20SZP%202020+\Indik&#225;tory%20demo%20SZP.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aras\Desktop\Venkov.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aras\Desktop\SZ&#2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aras\Desktop\MIKROPO%20ZZ.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aras\Desktop\MIKROPO%20ZZ.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karas\Desktop\MIKROPO%20ZZ.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karas\Desktop\Diverzifikace%20(&#268;S&#218;,%20FADN,%20EUROSTA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karas\Desktop\DVZ%20Hlavsa%20aktualizov&#225;no\vyvojcelkem.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hlavsa\AppData\Local\Temp\F16_C_A.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hlavsa\Documents\&#268;l&#225;nky\ERDN2017\vyvojLF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hlavsa\Documents\&#268;l&#225;nky\ERDN2017\vyvojLF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vobodova\Documents\ZZ\ZZ%202018\Obce%20&#268;R%20ZZ%20k%201.1.2017%20&#8211;%20verze%20pond&#283;l&#237;.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Users\TomasHlavsa\Desktop\H_Venkov\Analyza%20situace\FADN_standardni_vystup2015_201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Users\TomasHlavsa\Desktop\H_Venkov\Analyza%20situace\FADN_standardni_vystup2015_2016.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svobodova\AppData\Local\Microsoft\Windows\INetCache\Content.Outlook\0YRFS861\MUled18.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svobodova\AppData\Local\Microsoft\Windows\INetCache\Content.Outlook\0YRFS861\Drl&#237;k%20prac%20ku%20prac%20m&#237;st&#367;m.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svobodova\AppData\Local\Microsoft\Windows\INetCache\Content.Outlook\0YRFS861\Drl&#237;k%20prac%20ku%20prac%20m&#237;st&#367;m.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svobodova\Documents\TU%202015\Nezamestnanost\Nezam&#283;stnanost%20do%20ZZ%20a%20TU%202017.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svobodova\Documents\ZZ\ZZ%202016\Nezamestnanost%202016%20do%20ZZ.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svobodova\AppData\Roaming\Microsoft\Excel\Nezamestnanost%202016%20do%20ZZ%20(version%201).xlsb"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svobodova\Documents\ZZ\ZZ%202018\Nezam&#283;stnanost%20do%20ZZ%20a%20TU%202017.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svobodova\AppData\Local\Microsoft\Windows\INetCache\Content.Outlook\0YRFS861\PRV18V.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vobodova\Documents\ZZ\ZZ%202018\Obce%20&#268;R%20ZZ%20k%201.1.2017%20&#8211;%20verze%20pond&#283;l&#237;.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karas\AppData\Local\Microsoft\Windows\INetCache\Content.Outlook\6ZB3TW3I\MzdyOdvKr.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karas\AppData\Local\Microsoft\Windows\INetCache\Content.Outlook\6ZB3TW3I\MzdyOdvKr.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karas\AppData\Local\Microsoft\Windows\INetCache\Content.Outlook\6ZB3TW3I\MzdyOdvKr.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karas\AppData\Local\Microsoft\Windows\INetCache\Content.Outlook\6ZB3TW3I\MzdyOdvKr.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karas\AppData\Local\Microsoft\Windows\INetCache\Content.Outlook\6ZB3TW3I\MzdyOdvKr.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karas\AppData\Local\Microsoft\Windows\INetCache\Content.Outlook\6ZB3TW3I\MzdyOdvKr.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podzemna\Desktop\rozvoj%20venkova\indik&#225;tor%20chudoba\ilc_peps11.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podzemna\Desktop\rozvoj%20venkova\indik&#225;tor%20chudoba\ilc_peps11.xls"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odzemna\Desktop\rozvoj%20venkova\indik&#225;tor%20chudoba\ilc_peps11.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podzemna\Desktop\rozvoj%20venkova\indik&#225;tor%20chudoba\ilc_peps1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vobodova\Documents\Koncepce%20SZP%202020+\Obce%20&#268;R%20ZZ%20k%201.1%20(version%202).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podzemna\Desktop\rozvoj%20venkova\indik&#225;tor%20chudoba\ilc_peps11.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podzemna\Desktop\rozvoj%20venkova\indik&#225;tor%20chudoba\ilc_peps11.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podzemna\Desktop\rozvoj%20venkova\indik&#225;tor%20chudoba\ilc_peps11.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podzemna\Desktop\rozvoj%20venkova\indik&#225;tor%20chudoba\ilc_peps11.xls" TargetMode="External"/></Relationships>
</file>

<file path=word/charts/_rels/chart44.xml.rels><?xml version="1.0" encoding="UTF-8" standalone="yes"?>
<Relationships xmlns="http://schemas.openxmlformats.org/package/2006/relationships"><Relationship Id="rId3" Type="http://schemas.openxmlformats.org/officeDocument/2006/relationships/oleObject" Target="file:///C:\Users\karas\Desktop\T&#345;&#237;d&#283;n&#253;%20odpad.xlsx" TargetMode="External"/><Relationship Id="rId2" Type="http://schemas.microsoft.com/office/2011/relationships/chartColorStyle" Target="colors1.xml"/><Relationship Id="rId1" Type="http://schemas.microsoft.com/office/2011/relationships/chartStyle" Target="style1.xml"/></Relationships>
</file>

<file path=word/charts/_rels/chart45.xml.rels><?xml version="1.0" encoding="UTF-8" standalone="yes"?>
<Relationships xmlns="http://schemas.openxmlformats.org/package/2006/relationships"><Relationship Id="rId1" Type="http://schemas.openxmlformats.org/officeDocument/2006/relationships/oleObject" Target="file:///C:\Users\karas\Desktop\Vysokorychl%20internet.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karas\Desktop\Vysokorychl%20intern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vobodova\Documents\Koncepce%20SZP%202020+\Ekonomick&#225;%20aktivi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vobodova\Documents\Koncepce%20SZP%202020+\Ekonomick&#225;%20aktivi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vobodova\Documents\ZZ\ZZ%202018\Obce%20&#268;R%20ZZ%20k%201.1.2017%20&#8211;%20verze%20pond&#283;l&#23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vobodova\AppData\Roaming\Microsoft\Excel\Obce%20&#268;R%20ZZ%20k%201.1%20(version%202).xlsb"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aras\Desktop\Venko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List1!$A$18</c:f>
              <c:strCache>
                <c:ptCount val="1"/>
                <c:pt idx="0">
                  <c:v>do 99</c:v>
                </c:pt>
              </c:strCache>
            </c:strRef>
          </c:tx>
          <c:spPr>
            <a:solidFill>
              <a:schemeClr val="accent1"/>
            </a:solidFill>
            <a:ln>
              <a:noFill/>
            </a:ln>
            <a:effectLst/>
          </c:spPr>
          <c:invertIfNegative val="0"/>
          <c:cat>
            <c:strRef>
              <c:f>List1!$B$16:$F$17</c:f>
              <c:strCache>
                <c:ptCount val="5"/>
                <c:pt idx="0">
                  <c:v>2013</c:v>
                </c:pt>
                <c:pt idx="1">
                  <c:v>2014</c:v>
                </c:pt>
                <c:pt idx="2">
                  <c:v>2015</c:v>
                </c:pt>
                <c:pt idx="3">
                  <c:v>2016</c:v>
                </c:pt>
                <c:pt idx="4">
                  <c:v>2017</c:v>
                </c:pt>
              </c:strCache>
            </c:strRef>
          </c:cat>
          <c:val>
            <c:numRef>
              <c:f>List1!$B$18:$F$18</c:f>
              <c:numCache>
                <c:formatCode>#,##0</c:formatCode>
                <c:ptCount val="5"/>
                <c:pt idx="0">
                  <c:v>33140</c:v>
                </c:pt>
                <c:pt idx="1">
                  <c:v>32649</c:v>
                </c:pt>
                <c:pt idx="2">
                  <c:v>32259</c:v>
                </c:pt>
                <c:pt idx="3">
                  <c:v>31629</c:v>
                </c:pt>
                <c:pt idx="4">
                  <c:v>31140</c:v>
                </c:pt>
              </c:numCache>
            </c:numRef>
          </c:val>
          <c:extLst>
            <c:ext xmlns:c16="http://schemas.microsoft.com/office/drawing/2014/chart" uri="{C3380CC4-5D6E-409C-BE32-E72D297353CC}">
              <c16:uniqueId val="{00000000-40EC-B846-AA0B-49B9BA132CDD}"/>
            </c:ext>
          </c:extLst>
        </c:ser>
        <c:ser>
          <c:idx val="1"/>
          <c:order val="1"/>
          <c:tx>
            <c:strRef>
              <c:f>List1!$A$19</c:f>
              <c:strCache>
                <c:ptCount val="1"/>
                <c:pt idx="0">
                  <c:v>100-199</c:v>
                </c:pt>
              </c:strCache>
            </c:strRef>
          </c:tx>
          <c:spPr>
            <a:solidFill>
              <a:schemeClr val="accent2"/>
            </a:solidFill>
            <a:ln>
              <a:noFill/>
            </a:ln>
            <a:effectLst/>
          </c:spPr>
          <c:invertIfNegative val="0"/>
          <c:cat>
            <c:strRef>
              <c:f>List1!$B$16:$F$17</c:f>
              <c:strCache>
                <c:ptCount val="5"/>
                <c:pt idx="0">
                  <c:v>2013</c:v>
                </c:pt>
                <c:pt idx="1">
                  <c:v>2014</c:v>
                </c:pt>
                <c:pt idx="2">
                  <c:v>2015</c:v>
                </c:pt>
                <c:pt idx="3">
                  <c:v>2016</c:v>
                </c:pt>
                <c:pt idx="4">
                  <c:v>2017</c:v>
                </c:pt>
              </c:strCache>
            </c:strRef>
          </c:cat>
          <c:val>
            <c:numRef>
              <c:f>List1!$B$19:$F$19</c:f>
              <c:numCache>
                <c:formatCode>#,##0</c:formatCode>
                <c:ptCount val="5"/>
                <c:pt idx="0">
                  <c:v>148389</c:v>
                </c:pt>
                <c:pt idx="1">
                  <c:v>148036</c:v>
                </c:pt>
                <c:pt idx="2">
                  <c:v>147834</c:v>
                </c:pt>
                <c:pt idx="3">
                  <c:v>148464</c:v>
                </c:pt>
                <c:pt idx="4">
                  <c:v>148088</c:v>
                </c:pt>
              </c:numCache>
            </c:numRef>
          </c:val>
          <c:extLst>
            <c:ext xmlns:c16="http://schemas.microsoft.com/office/drawing/2014/chart" uri="{C3380CC4-5D6E-409C-BE32-E72D297353CC}">
              <c16:uniqueId val="{00000001-40EC-B846-AA0B-49B9BA132CDD}"/>
            </c:ext>
          </c:extLst>
        </c:ser>
        <c:ser>
          <c:idx val="2"/>
          <c:order val="2"/>
          <c:tx>
            <c:strRef>
              <c:f>List1!$A$20</c:f>
              <c:strCache>
                <c:ptCount val="1"/>
                <c:pt idx="0">
                  <c:v>200-499</c:v>
                </c:pt>
              </c:strCache>
            </c:strRef>
          </c:tx>
          <c:spPr>
            <a:solidFill>
              <a:schemeClr val="accent3"/>
            </a:solidFill>
            <a:ln>
              <a:noFill/>
            </a:ln>
            <a:effectLst/>
          </c:spPr>
          <c:invertIfNegative val="0"/>
          <c:cat>
            <c:strRef>
              <c:f>List1!$B$16:$F$17</c:f>
              <c:strCache>
                <c:ptCount val="5"/>
                <c:pt idx="0">
                  <c:v>2013</c:v>
                </c:pt>
                <c:pt idx="1">
                  <c:v>2014</c:v>
                </c:pt>
                <c:pt idx="2">
                  <c:v>2015</c:v>
                </c:pt>
                <c:pt idx="3">
                  <c:v>2016</c:v>
                </c:pt>
                <c:pt idx="4">
                  <c:v>2017</c:v>
                </c:pt>
              </c:strCache>
            </c:strRef>
          </c:cat>
          <c:val>
            <c:numRef>
              <c:f>List1!$B$20:$F$20</c:f>
              <c:numCache>
                <c:formatCode>#,##0</c:formatCode>
                <c:ptCount val="5"/>
                <c:pt idx="0">
                  <c:v>657282</c:v>
                </c:pt>
                <c:pt idx="1">
                  <c:v>651677</c:v>
                </c:pt>
                <c:pt idx="2">
                  <c:v>654936</c:v>
                </c:pt>
                <c:pt idx="3">
                  <c:v>651475</c:v>
                </c:pt>
                <c:pt idx="4">
                  <c:v>653472</c:v>
                </c:pt>
              </c:numCache>
            </c:numRef>
          </c:val>
          <c:extLst>
            <c:ext xmlns:c16="http://schemas.microsoft.com/office/drawing/2014/chart" uri="{C3380CC4-5D6E-409C-BE32-E72D297353CC}">
              <c16:uniqueId val="{00000002-40EC-B846-AA0B-49B9BA132CDD}"/>
            </c:ext>
          </c:extLst>
        </c:ser>
        <c:ser>
          <c:idx val="3"/>
          <c:order val="3"/>
          <c:tx>
            <c:strRef>
              <c:f>List1!$A$21</c:f>
              <c:strCache>
                <c:ptCount val="1"/>
                <c:pt idx="0">
                  <c:v>500-999</c:v>
                </c:pt>
              </c:strCache>
            </c:strRef>
          </c:tx>
          <c:spPr>
            <a:solidFill>
              <a:schemeClr val="accent4"/>
            </a:solidFill>
            <a:ln>
              <a:noFill/>
            </a:ln>
            <a:effectLst/>
          </c:spPr>
          <c:invertIfNegative val="0"/>
          <c:cat>
            <c:strRef>
              <c:f>List1!$B$16:$F$17</c:f>
              <c:strCache>
                <c:ptCount val="5"/>
                <c:pt idx="0">
                  <c:v>2013</c:v>
                </c:pt>
                <c:pt idx="1">
                  <c:v>2014</c:v>
                </c:pt>
                <c:pt idx="2">
                  <c:v>2015</c:v>
                </c:pt>
                <c:pt idx="3">
                  <c:v>2016</c:v>
                </c:pt>
                <c:pt idx="4">
                  <c:v>2017</c:v>
                </c:pt>
              </c:strCache>
            </c:strRef>
          </c:cat>
          <c:val>
            <c:numRef>
              <c:f>List1!$B$21:$F$21</c:f>
              <c:numCache>
                <c:formatCode>#,##0</c:formatCode>
                <c:ptCount val="5"/>
                <c:pt idx="0">
                  <c:v>953571</c:v>
                </c:pt>
                <c:pt idx="1">
                  <c:v>962432</c:v>
                </c:pt>
                <c:pt idx="2">
                  <c:v>962262</c:v>
                </c:pt>
                <c:pt idx="3">
                  <c:v>973247</c:v>
                </c:pt>
                <c:pt idx="4">
                  <c:v>971317</c:v>
                </c:pt>
              </c:numCache>
            </c:numRef>
          </c:val>
          <c:extLst>
            <c:ext xmlns:c16="http://schemas.microsoft.com/office/drawing/2014/chart" uri="{C3380CC4-5D6E-409C-BE32-E72D297353CC}">
              <c16:uniqueId val="{00000003-40EC-B846-AA0B-49B9BA132CDD}"/>
            </c:ext>
          </c:extLst>
        </c:ser>
        <c:ser>
          <c:idx val="4"/>
          <c:order val="4"/>
          <c:tx>
            <c:strRef>
              <c:f>List1!$A$22</c:f>
              <c:strCache>
                <c:ptCount val="1"/>
                <c:pt idx="0">
                  <c:v>1 000-1 999</c:v>
                </c:pt>
              </c:strCache>
            </c:strRef>
          </c:tx>
          <c:spPr>
            <a:solidFill>
              <a:schemeClr val="accent5"/>
            </a:solidFill>
            <a:ln>
              <a:noFill/>
            </a:ln>
            <a:effectLst/>
          </c:spPr>
          <c:invertIfNegative val="0"/>
          <c:cat>
            <c:strRef>
              <c:f>List1!$B$16:$F$17</c:f>
              <c:strCache>
                <c:ptCount val="5"/>
                <c:pt idx="0">
                  <c:v>2013</c:v>
                </c:pt>
                <c:pt idx="1">
                  <c:v>2014</c:v>
                </c:pt>
                <c:pt idx="2">
                  <c:v>2015</c:v>
                </c:pt>
                <c:pt idx="3">
                  <c:v>2016</c:v>
                </c:pt>
                <c:pt idx="4">
                  <c:v>2017</c:v>
                </c:pt>
              </c:strCache>
            </c:strRef>
          </c:cat>
          <c:val>
            <c:numRef>
              <c:f>List1!$B$22:$F$22</c:f>
              <c:numCache>
                <c:formatCode>#,##0</c:formatCode>
                <c:ptCount val="5"/>
                <c:pt idx="0">
                  <c:v>1031212</c:v>
                </c:pt>
                <c:pt idx="1">
                  <c:v>1038124</c:v>
                </c:pt>
                <c:pt idx="2">
                  <c:v>1041459</c:v>
                </c:pt>
                <c:pt idx="3">
                  <c:v>1042569</c:v>
                </c:pt>
                <c:pt idx="4">
                  <c:v>1043547</c:v>
                </c:pt>
              </c:numCache>
            </c:numRef>
          </c:val>
          <c:extLst>
            <c:ext xmlns:c16="http://schemas.microsoft.com/office/drawing/2014/chart" uri="{C3380CC4-5D6E-409C-BE32-E72D297353CC}">
              <c16:uniqueId val="{00000004-40EC-B846-AA0B-49B9BA132CDD}"/>
            </c:ext>
          </c:extLst>
        </c:ser>
        <c:dLbls>
          <c:showLegendKey val="0"/>
          <c:showVal val="0"/>
          <c:showCatName val="0"/>
          <c:showSerName val="0"/>
          <c:showPercent val="0"/>
          <c:showBubbleSize val="0"/>
        </c:dLbls>
        <c:gapWidth val="150"/>
        <c:overlap val="100"/>
        <c:axId val="89242624"/>
        <c:axId val="90125440"/>
      </c:barChart>
      <c:catAx>
        <c:axId val="8924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0125440"/>
        <c:crosses val="autoZero"/>
        <c:auto val="1"/>
        <c:lblAlgn val="ctr"/>
        <c:lblOffset val="100"/>
        <c:noMultiLvlLbl val="0"/>
      </c:catAx>
      <c:valAx>
        <c:axId val="90125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924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'HDP obyv'!$D$48</c:f>
              <c:strCache>
                <c:ptCount val="1"/>
                <c:pt idx="0">
                  <c:v>2006</c:v>
                </c:pt>
              </c:strCache>
            </c:strRef>
          </c:tx>
          <c:spPr>
            <a:solidFill>
              <a:schemeClr val="accent1"/>
            </a:solidFill>
            <a:ln>
              <a:noFill/>
            </a:ln>
            <a:effectLst/>
          </c:spPr>
          <c:invertIfNegative val="0"/>
          <c:cat>
            <c:strRef>
              <c:f>'HDP obyv'!$C$49:$C$63</c:f>
              <c:strCache>
                <c:ptCount val="15"/>
                <c:pt idx="0">
                  <c:v>Česká republika</c:v>
                </c:pt>
                <c:pt idx="1">
                  <c:v>Hlavní město Praha</c:v>
                </c:pt>
                <c:pt idx="2">
                  <c:v>Středočeský kraj</c:v>
                </c:pt>
                <c:pt idx="3">
                  <c:v>Jihočeský kraj</c:v>
                </c:pt>
                <c:pt idx="4">
                  <c:v>Plzeňský kraj</c:v>
                </c:pt>
                <c:pt idx="5">
                  <c:v>Pardubický kraj</c:v>
                </c:pt>
                <c:pt idx="6">
                  <c:v>Kraj Vysočina</c:v>
                </c:pt>
                <c:pt idx="7">
                  <c:v>Olomoucký kraj</c:v>
                </c:pt>
                <c:pt idx="8">
                  <c:v>Zlínský kraj</c:v>
                </c:pt>
                <c:pt idx="9">
                  <c:v>Karlovarský kraj</c:v>
                </c:pt>
                <c:pt idx="10">
                  <c:v>Ústecký kraj</c:v>
                </c:pt>
                <c:pt idx="11">
                  <c:v>Liberecký kraj</c:v>
                </c:pt>
                <c:pt idx="12">
                  <c:v>Královéhradecký kraj</c:v>
                </c:pt>
                <c:pt idx="13">
                  <c:v>Jihomoravský kraj</c:v>
                </c:pt>
                <c:pt idx="14">
                  <c:v>Moravskoslezský kraj</c:v>
                </c:pt>
              </c:strCache>
            </c:strRef>
          </c:cat>
          <c:val>
            <c:numRef>
              <c:f>'HDP obyv'!$D$49:$D$63</c:f>
              <c:numCache>
                <c:formatCode>0</c:formatCode>
                <c:ptCount val="15"/>
                <c:pt idx="0">
                  <c:v>342.15600000000001</c:v>
                </c:pt>
                <c:pt idx="1">
                  <c:v>730.827</c:v>
                </c:pt>
                <c:pt idx="2">
                  <c:v>323.43799999999999</c:v>
                </c:pt>
                <c:pt idx="3">
                  <c:v>305.42200000000003</c:v>
                </c:pt>
                <c:pt idx="4">
                  <c:v>328.76</c:v>
                </c:pt>
                <c:pt idx="5">
                  <c:v>285.45299999999997</c:v>
                </c:pt>
                <c:pt idx="6">
                  <c:v>281.26799999999997</c:v>
                </c:pt>
                <c:pt idx="7">
                  <c:v>251.578</c:v>
                </c:pt>
                <c:pt idx="8">
                  <c:v>279.142</c:v>
                </c:pt>
                <c:pt idx="9">
                  <c:v>252.1</c:v>
                </c:pt>
                <c:pt idx="10">
                  <c:v>278.173</c:v>
                </c:pt>
                <c:pt idx="11">
                  <c:v>281.07100000000003</c:v>
                </c:pt>
                <c:pt idx="12">
                  <c:v>288.30799999999999</c:v>
                </c:pt>
                <c:pt idx="13">
                  <c:v>306.79700000000003</c:v>
                </c:pt>
                <c:pt idx="14">
                  <c:v>280.69799999999998</c:v>
                </c:pt>
              </c:numCache>
            </c:numRef>
          </c:val>
          <c:extLst>
            <c:ext xmlns:c16="http://schemas.microsoft.com/office/drawing/2014/chart" uri="{C3380CC4-5D6E-409C-BE32-E72D297353CC}">
              <c16:uniqueId val="{00000000-966D-B54E-9BE5-FC2F01EB2A72}"/>
            </c:ext>
          </c:extLst>
        </c:ser>
        <c:ser>
          <c:idx val="1"/>
          <c:order val="1"/>
          <c:tx>
            <c:strRef>
              <c:f>'HDP obyv'!$E$48</c:f>
              <c:strCache>
                <c:ptCount val="1"/>
                <c:pt idx="0">
                  <c:v>2007</c:v>
                </c:pt>
              </c:strCache>
            </c:strRef>
          </c:tx>
          <c:spPr>
            <a:solidFill>
              <a:schemeClr val="accent2"/>
            </a:solidFill>
            <a:ln>
              <a:noFill/>
            </a:ln>
            <a:effectLst/>
          </c:spPr>
          <c:invertIfNegative val="0"/>
          <c:cat>
            <c:strRef>
              <c:f>'HDP obyv'!$C$49:$C$63</c:f>
              <c:strCache>
                <c:ptCount val="15"/>
                <c:pt idx="0">
                  <c:v>Česká republika</c:v>
                </c:pt>
                <c:pt idx="1">
                  <c:v>Hlavní město Praha</c:v>
                </c:pt>
                <c:pt idx="2">
                  <c:v>Středočeský kraj</c:v>
                </c:pt>
                <c:pt idx="3">
                  <c:v>Jihočeský kraj</c:v>
                </c:pt>
                <c:pt idx="4">
                  <c:v>Plzeňský kraj</c:v>
                </c:pt>
                <c:pt idx="5">
                  <c:v>Pardubický kraj</c:v>
                </c:pt>
                <c:pt idx="6">
                  <c:v>Kraj Vysočina</c:v>
                </c:pt>
                <c:pt idx="7">
                  <c:v>Olomoucký kraj</c:v>
                </c:pt>
                <c:pt idx="8">
                  <c:v>Zlínský kraj</c:v>
                </c:pt>
                <c:pt idx="9">
                  <c:v>Karlovarský kraj</c:v>
                </c:pt>
                <c:pt idx="10">
                  <c:v>Ústecký kraj</c:v>
                </c:pt>
                <c:pt idx="11">
                  <c:v>Liberecký kraj</c:v>
                </c:pt>
                <c:pt idx="12">
                  <c:v>Královéhradecký kraj</c:v>
                </c:pt>
                <c:pt idx="13">
                  <c:v>Jihomoravský kraj</c:v>
                </c:pt>
                <c:pt idx="14">
                  <c:v>Moravskoslezský kraj</c:v>
                </c:pt>
              </c:strCache>
            </c:strRef>
          </c:cat>
          <c:val>
            <c:numRef>
              <c:f>'HDP obyv'!$E$49:$E$63</c:f>
              <c:numCache>
                <c:formatCode>0</c:formatCode>
                <c:ptCount val="15"/>
                <c:pt idx="0">
                  <c:v>372.00700000000001</c:v>
                </c:pt>
                <c:pt idx="1">
                  <c:v>808.798</c:v>
                </c:pt>
                <c:pt idx="2">
                  <c:v>350.32600000000002</c:v>
                </c:pt>
                <c:pt idx="3">
                  <c:v>318.77100000000002</c:v>
                </c:pt>
                <c:pt idx="4">
                  <c:v>341.94799999999998</c:v>
                </c:pt>
                <c:pt idx="5">
                  <c:v>312.59300000000002</c:v>
                </c:pt>
                <c:pt idx="6">
                  <c:v>307.86700000000002</c:v>
                </c:pt>
                <c:pt idx="7">
                  <c:v>273.43299999999999</c:v>
                </c:pt>
                <c:pt idx="8">
                  <c:v>301.22699999999998</c:v>
                </c:pt>
                <c:pt idx="9">
                  <c:v>273.02199999999999</c:v>
                </c:pt>
                <c:pt idx="10">
                  <c:v>296.34100000000001</c:v>
                </c:pt>
                <c:pt idx="11">
                  <c:v>290.26</c:v>
                </c:pt>
                <c:pt idx="12">
                  <c:v>316.012</c:v>
                </c:pt>
                <c:pt idx="13">
                  <c:v>337.99799999999999</c:v>
                </c:pt>
                <c:pt idx="14">
                  <c:v>307.16800000000001</c:v>
                </c:pt>
              </c:numCache>
            </c:numRef>
          </c:val>
          <c:extLst>
            <c:ext xmlns:c16="http://schemas.microsoft.com/office/drawing/2014/chart" uri="{C3380CC4-5D6E-409C-BE32-E72D297353CC}">
              <c16:uniqueId val="{00000001-966D-B54E-9BE5-FC2F01EB2A72}"/>
            </c:ext>
          </c:extLst>
        </c:ser>
        <c:ser>
          <c:idx val="2"/>
          <c:order val="2"/>
          <c:tx>
            <c:strRef>
              <c:f>'HDP obyv'!$F$48</c:f>
              <c:strCache>
                <c:ptCount val="1"/>
                <c:pt idx="0">
                  <c:v>2008</c:v>
                </c:pt>
              </c:strCache>
            </c:strRef>
          </c:tx>
          <c:spPr>
            <a:solidFill>
              <a:schemeClr val="accent3"/>
            </a:solidFill>
            <a:ln>
              <a:noFill/>
            </a:ln>
            <a:effectLst/>
          </c:spPr>
          <c:invertIfNegative val="0"/>
          <c:cat>
            <c:strRef>
              <c:f>'HDP obyv'!$C$49:$C$63</c:f>
              <c:strCache>
                <c:ptCount val="15"/>
                <c:pt idx="0">
                  <c:v>Česká republika</c:v>
                </c:pt>
                <c:pt idx="1">
                  <c:v>Hlavní město Praha</c:v>
                </c:pt>
                <c:pt idx="2">
                  <c:v>Středočeský kraj</c:v>
                </c:pt>
                <c:pt idx="3">
                  <c:v>Jihočeský kraj</c:v>
                </c:pt>
                <c:pt idx="4">
                  <c:v>Plzeňský kraj</c:v>
                </c:pt>
                <c:pt idx="5">
                  <c:v>Pardubický kraj</c:v>
                </c:pt>
                <c:pt idx="6">
                  <c:v>Kraj Vysočina</c:v>
                </c:pt>
                <c:pt idx="7">
                  <c:v>Olomoucký kraj</c:v>
                </c:pt>
                <c:pt idx="8">
                  <c:v>Zlínský kraj</c:v>
                </c:pt>
                <c:pt idx="9">
                  <c:v>Karlovarský kraj</c:v>
                </c:pt>
                <c:pt idx="10">
                  <c:v>Ústecký kraj</c:v>
                </c:pt>
                <c:pt idx="11">
                  <c:v>Liberecký kraj</c:v>
                </c:pt>
                <c:pt idx="12">
                  <c:v>Královéhradecký kraj</c:v>
                </c:pt>
                <c:pt idx="13">
                  <c:v>Jihomoravský kraj</c:v>
                </c:pt>
                <c:pt idx="14">
                  <c:v>Moravskoslezský kraj</c:v>
                </c:pt>
              </c:strCache>
            </c:strRef>
          </c:cat>
          <c:val>
            <c:numRef>
              <c:f>'HDP obyv'!$F$49:$F$63</c:f>
              <c:numCache>
                <c:formatCode>0</c:formatCode>
                <c:ptCount val="15"/>
                <c:pt idx="0">
                  <c:v>385.83300000000003</c:v>
                </c:pt>
                <c:pt idx="1">
                  <c:v>840.09699999999998</c:v>
                </c:pt>
                <c:pt idx="2">
                  <c:v>361.80799999999999</c:v>
                </c:pt>
                <c:pt idx="3">
                  <c:v>321.41399999999999</c:v>
                </c:pt>
                <c:pt idx="4">
                  <c:v>334.71899999999999</c:v>
                </c:pt>
                <c:pt idx="5">
                  <c:v>315.89800000000002</c:v>
                </c:pt>
                <c:pt idx="6">
                  <c:v>305.97399999999999</c:v>
                </c:pt>
                <c:pt idx="7">
                  <c:v>286.32900000000001</c:v>
                </c:pt>
                <c:pt idx="8">
                  <c:v>324.02499999999998</c:v>
                </c:pt>
                <c:pt idx="9">
                  <c:v>273.62700000000001</c:v>
                </c:pt>
                <c:pt idx="10">
                  <c:v>307.08</c:v>
                </c:pt>
                <c:pt idx="11">
                  <c:v>293.51799999999997</c:v>
                </c:pt>
                <c:pt idx="12">
                  <c:v>326.85000000000002</c:v>
                </c:pt>
                <c:pt idx="13">
                  <c:v>361.142</c:v>
                </c:pt>
                <c:pt idx="14">
                  <c:v>322.87200000000001</c:v>
                </c:pt>
              </c:numCache>
            </c:numRef>
          </c:val>
          <c:extLst>
            <c:ext xmlns:c16="http://schemas.microsoft.com/office/drawing/2014/chart" uri="{C3380CC4-5D6E-409C-BE32-E72D297353CC}">
              <c16:uniqueId val="{00000002-966D-B54E-9BE5-FC2F01EB2A72}"/>
            </c:ext>
          </c:extLst>
        </c:ser>
        <c:ser>
          <c:idx val="3"/>
          <c:order val="3"/>
          <c:tx>
            <c:strRef>
              <c:f>'HDP obyv'!$G$48</c:f>
              <c:strCache>
                <c:ptCount val="1"/>
                <c:pt idx="0">
                  <c:v>2009</c:v>
                </c:pt>
              </c:strCache>
            </c:strRef>
          </c:tx>
          <c:spPr>
            <a:solidFill>
              <a:schemeClr val="accent4"/>
            </a:solidFill>
            <a:ln>
              <a:noFill/>
            </a:ln>
            <a:effectLst/>
          </c:spPr>
          <c:invertIfNegative val="0"/>
          <c:cat>
            <c:strRef>
              <c:f>'HDP obyv'!$C$49:$C$63</c:f>
              <c:strCache>
                <c:ptCount val="15"/>
                <c:pt idx="0">
                  <c:v>Česká republika</c:v>
                </c:pt>
                <c:pt idx="1">
                  <c:v>Hlavní město Praha</c:v>
                </c:pt>
                <c:pt idx="2">
                  <c:v>Středočeský kraj</c:v>
                </c:pt>
                <c:pt idx="3">
                  <c:v>Jihočeský kraj</c:v>
                </c:pt>
                <c:pt idx="4">
                  <c:v>Plzeňský kraj</c:v>
                </c:pt>
                <c:pt idx="5">
                  <c:v>Pardubický kraj</c:v>
                </c:pt>
                <c:pt idx="6">
                  <c:v>Kraj Vysočina</c:v>
                </c:pt>
                <c:pt idx="7">
                  <c:v>Olomoucký kraj</c:v>
                </c:pt>
                <c:pt idx="8">
                  <c:v>Zlínský kraj</c:v>
                </c:pt>
                <c:pt idx="9">
                  <c:v>Karlovarský kraj</c:v>
                </c:pt>
                <c:pt idx="10">
                  <c:v>Ústecký kraj</c:v>
                </c:pt>
                <c:pt idx="11">
                  <c:v>Liberecký kraj</c:v>
                </c:pt>
                <c:pt idx="12">
                  <c:v>Královéhradecký kraj</c:v>
                </c:pt>
                <c:pt idx="13">
                  <c:v>Jihomoravský kraj</c:v>
                </c:pt>
                <c:pt idx="14">
                  <c:v>Moravskoslezský kraj</c:v>
                </c:pt>
              </c:strCache>
            </c:strRef>
          </c:cat>
          <c:val>
            <c:numRef>
              <c:f>'HDP obyv'!$G$49:$G$63</c:f>
              <c:numCache>
                <c:formatCode>0</c:formatCode>
                <c:ptCount val="15"/>
                <c:pt idx="0">
                  <c:v>374.62799999999999</c:v>
                </c:pt>
                <c:pt idx="1">
                  <c:v>807.11300000000006</c:v>
                </c:pt>
                <c:pt idx="2">
                  <c:v>339.46</c:v>
                </c:pt>
                <c:pt idx="3">
                  <c:v>320.39400000000001</c:v>
                </c:pt>
                <c:pt idx="4">
                  <c:v>339.08800000000002</c:v>
                </c:pt>
                <c:pt idx="5">
                  <c:v>304.12799999999999</c:v>
                </c:pt>
                <c:pt idx="6">
                  <c:v>303.13299999999998</c:v>
                </c:pt>
                <c:pt idx="7">
                  <c:v>279.87799999999999</c:v>
                </c:pt>
                <c:pt idx="8">
                  <c:v>316.73099999999999</c:v>
                </c:pt>
                <c:pt idx="9">
                  <c:v>275.08600000000001</c:v>
                </c:pt>
                <c:pt idx="10">
                  <c:v>307.40699999999998</c:v>
                </c:pt>
                <c:pt idx="11">
                  <c:v>281.63</c:v>
                </c:pt>
                <c:pt idx="12">
                  <c:v>324.01299999999998</c:v>
                </c:pt>
                <c:pt idx="13">
                  <c:v>351.20800000000003</c:v>
                </c:pt>
                <c:pt idx="14">
                  <c:v>304.01</c:v>
                </c:pt>
              </c:numCache>
            </c:numRef>
          </c:val>
          <c:extLst>
            <c:ext xmlns:c16="http://schemas.microsoft.com/office/drawing/2014/chart" uri="{C3380CC4-5D6E-409C-BE32-E72D297353CC}">
              <c16:uniqueId val="{00000003-966D-B54E-9BE5-FC2F01EB2A72}"/>
            </c:ext>
          </c:extLst>
        </c:ser>
        <c:ser>
          <c:idx val="4"/>
          <c:order val="4"/>
          <c:tx>
            <c:strRef>
              <c:f>'HDP obyv'!$H$48</c:f>
              <c:strCache>
                <c:ptCount val="1"/>
                <c:pt idx="0">
                  <c:v>2010</c:v>
                </c:pt>
              </c:strCache>
            </c:strRef>
          </c:tx>
          <c:spPr>
            <a:solidFill>
              <a:schemeClr val="accent5"/>
            </a:solidFill>
            <a:ln>
              <a:noFill/>
            </a:ln>
            <a:effectLst/>
          </c:spPr>
          <c:invertIfNegative val="0"/>
          <c:cat>
            <c:strRef>
              <c:f>'HDP obyv'!$C$49:$C$63</c:f>
              <c:strCache>
                <c:ptCount val="15"/>
                <c:pt idx="0">
                  <c:v>Česká republika</c:v>
                </c:pt>
                <c:pt idx="1">
                  <c:v>Hlavní město Praha</c:v>
                </c:pt>
                <c:pt idx="2">
                  <c:v>Středočeský kraj</c:v>
                </c:pt>
                <c:pt idx="3">
                  <c:v>Jihočeský kraj</c:v>
                </c:pt>
                <c:pt idx="4">
                  <c:v>Plzeňský kraj</c:v>
                </c:pt>
                <c:pt idx="5">
                  <c:v>Pardubický kraj</c:v>
                </c:pt>
                <c:pt idx="6">
                  <c:v>Kraj Vysočina</c:v>
                </c:pt>
                <c:pt idx="7">
                  <c:v>Olomoucký kraj</c:v>
                </c:pt>
                <c:pt idx="8">
                  <c:v>Zlínský kraj</c:v>
                </c:pt>
                <c:pt idx="9">
                  <c:v>Karlovarský kraj</c:v>
                </c:pt>
                <c:pt idx="10">
                  <c:v>Ústecký kraj</c:v>
                </c:pt>
                <c:pt idx="11">
                  <c:v>Liberecký kraj</c:v>
                </c:pt>
                <c:pt idx="12">
                  <c:v>Královéhradecký kraj</c:v>
                </c:pt>
                <c:pt idx="13">
                  <c:v>Jihomoravský kraj</c:v>
                </c:pt>
                <c:pt idx="14">
                  <c:v>Moravskoslezský kraj</c:v>
                </c:pt>
              </c:strCache>
            </c:strRef>
          </c:cat>
          <c:val>
            <c:numRef>
              <c:f>'HDP obyv'!$H$49:$H$63</c:f>
              <c:numCache>
                <c:formatCode>0</c:formatCode>
                <c:ptCount val="15"/>
                <c:pt idx="0">
                  <c:v>376.75900000000001</c:v>
                </c:pt>
                <c:pt idx="1">
                  <c:v>813.34199999999998</c:v>
                </c:pt>
                <c:pt idx="2">
                  <c:v>334.45</c:v>
                </c:pt>
                <c:pt idx="3">
                  <c:v>317.80200000000002</c:v>
                </c:pt>
                <c:pt idx="4">
                  <c:v>347.26100000000002</c:v>
                </c:pt>
                <c:pt idx="5">
                  <c:v>309.49799999999999</c:v>
                </c:pt>
                <c:pt idx="6">
                  <c:v>301.23500000000001</c:v>
                </c:pt>
                <c:pt idx="7">
                  <c:v>286.29599999999999</c:v>
                </c:pt>
                <c:pt idx="8">
                  <c:v>313.88099999999997</c:v>
                </c:pt>
                <c:pt idx="9">
                  <c:v>269.85700000000003</c:v>
                </c:pt>
                <c:pt idx="10">
                  <c:v>299.351</c:v>
                </c:pt>
                <c:pt idx="11">
                  <c:v>287.822</c:v>
                </c:pt>
                <c:pt idx="12">
                  <c:v>328.2</c:v>
                </c:pt>
                <c:pt idx="13">
                  <c:v>354.01100000000002</c:v>
                </c:pt>
                <c:pt idx="14">
                  <c:v>312.33499999999998</c:v>
                </c:pt>
              </c:numCache>
            </c:numRef>
          </c:val>
          <c:extLst>
            <c:ext xmlns:c16="http://schemas.microsoft.com/office/drawing/2014/chart" uri="{C3380CC4-5D6E-409C-BE32-E72D297353CC}">
              <c16:uniqueId val="{00000004-966D-B54E-9BE5-FC2F01EB2A72}"/>
            </c:ext>
          </c:extLst>
        </c:ser>
        <c:ser>
          <c:idx val="5"/>
          <c:order val="5"/>
          <c:tx>
            <c:strRef>
              <c:f>'HDP obyv'!$I$48</c:f>
              <c:strCache>
                <c:ptCount val="1"/>
                <c:pt idx="0">
                  <c:v>2011</c:v>
                </c:pt>
              </c:strCache>
            </c:strRef>
          </c:tx>
          <c:spPr>
            <a:solidFill>
              <a:schemeClr val="accent6"/>
            </a:solidFill>
            <a:ln>
              <a:noFill/>
            </a:ln>
            <a:effectLst/>
          </c:spPr>
          <c:invertIfNegative val="0"/>
          <c:cat>
            <c:strRef>
              <c:f>'HDP obyv'!$C$49:$C$63</c:f>
              <c:strCache>
                <c:ptCount val="15"/>
                <c:pt idx="0">
                  <c:v>Česká republika</c:v>
                </c:pt>
                <c:pt idx="1">
                  <c:v>Hlavní město Praha</c:v>
                </c:pt>
                <c:pt idx="2">
                  <c:v>Středočeský kraj</c:v>
                </c:pt>
                <c:pt idx="3">
                  <c:v>Jihočeský kraj</c:v>
                </c:pt>
                <c:pt idx="4">
                  <c:v>Plzeňský kraj</c:v>
                </c:pt>
                <c:pt idx="5">
                  <c:v>Pardubický kraj</c:v>
                </c:pt>
                <c:pt idx="6">
                  <c:v>Kraj Vysočina</c:v>
                </c:pt>
                <c:pt idx="7">
                  <c:v>Olomoucký kraj</c:v>
                </c:pt>
                <c:pt idx="8">
                  <c:v>Zlínský kraj</c:v>
                </c:pt>
                <c:pt idx="9">
                  <c:v>Karlovarský kraj</c:v>
                </c:pt>
                <c:pt idx="10">
                  <c:v>Ústecký kraj</c:v>
                </c:pt>
                <c:pt idx="11">
                  <c:v>Liberecký kraj</c:v>
                </c:pt>
                <c:pt idx="12">
                  <c:v>Královéhradecký kraj</c:v>
                </c:pt>
                <c:pt idx="13">
                  <c:v>Jihomoravský kraj</c:v>
                </c:pt>
                <c:pt idx="14">
                  <c:v>Moravskoslezský kraj</c:v>
                </c:pt>
              </c:strCache>
            </c:strRef>
          </c:cat>
          <c:val>
            <c:numRef>
              <c:f>'HDP obyv'!$I$49:$I$63</c:f>
              <c:numCache>
                <c:formatCode>0</c:formatCode>
                <c:ptCount val="15"/>
                <c:pt idx="0">
                  <c:v>384.28899999999999</c:v>
                </c:pt>
                <c:pt idx="1">
                  <c:v>810.81399999999996</c:v>
                </c:pt>
                <c:pt idx="2">
                  <c:v>346.428</c:v>
                </c:pt>
                <c:pt idx="3">
                  <c:v>320.44</c:v>
                </c:pt>
                <c:pt idx="4">
                  <c:v>354.52</c:v>
                </c:pt>
                <c:pt idx="5">
                  <c:v>321.00900000000001</c:v>
                </c:pt>
                <c:pt idx="6">
                  <c:v>316.53500000000003</c:v>
                </c:pt>
                <c:pt idx="7">
                  <c:v>296.97399999999999</c:v>
                </c:pt>
                <c:pt idx="8">
                  <c:v>324.536</c:v>
                </c:pt>
                <c:pt idx="9">
                  <c:v>273.80500000000001</c:v>
                </c:pt>
                <c:pt idx="10">
                  <c:v>302.3</c:v>
                </c:pt>
                <c:pt idx="11">
                  <c:v>294.48899999999998</c:v>
                </c:pt>
                <c:pt idx="12">
                  <c:v>331.21199999999999</c:v>
                </c:pt>
                <c:pt idx="13">
                  <c:v>362.048</c:v>
                </c:pt>
                <c:pt idx="14">
                  <c:v>329.36099999999999</c:v>
                </c:pt>
              </c:numCache>
            </c:numRef>
          </c:val>
          <c:extLst>
            <c:ext xmlns:c16="http://schemas.microsoft.com/office/drawing/2014/chart" uri="{C3380CC4-5D6E-409C-BE32-E72D297353CC}">
              <c16:uniqueId val="{00000005-966D-B54E-9BE5-FC2F01EB2A72}"/>
            </c:ext>
          </c:extLst>
        </c:ser>
        <c:ser>
          <c:idx val="6"/>
          <c:order val="6"/>
          <c:tx>
            <c:strRef>
              <c:f>'HDP obyv'!$J$48</c:f>
              <c:strCache>
                <c:ptCount val="1"/>
                <c:pt idx="0">
                  <c:v>2012</c:v>
                </c:pt>
              </c:strCache>
            </c:strRef>
          </c:tx>
          <c:spPr>
            <a:solidFill>
              <a:schemeClr val="accent1">
                <a:lumMod val="60000"/>
              </a:schemeClr>
            </a:solidFill>
            <a:ln>
              <a:noFill/>
            </a:ln>
            <a:effectLst/>
          </c:spPr>
          <c:invertIfNegative val="0"/>
          <c:cat>
            <c:strRef>
              <c:f>'HDP obyv'!$C$49:$C$63</c:f>
              <c:strCache>
                <c:ptCount val="15"/>
                <c:pt idx="0">
                  <c:v>Česká republika</c:v>
                </c:pt>
                <c:pt idx="1">
                  <c:v>Hlavní město Praha</c:v>
                </c:pt>
                <c:pt idx="2">
                  <c:v>Středočeský kraj</c:v>
                </c:pt>
                <c:pt idx="3">
                  <c:v>Jihočeský kraj</c:v>
                </c:pt>
                <c:pt idx="4">
                  <c:v>Plzeňský kraj</c:v>
                </c:pt>
                <c:pt idx="5">
                  <c:v>Pardubický kraj</c:v>
                </c:pt>
                <c:pt idx="6">
                  <c:v>Kraj Vysočina</c:v>
                </c:pt>
                <c:pt idx="7">
                  <c:v>Olomoucký kraj</c:v>
                </c:pt>
                <c:pt idx="8">
                  <c:v>Zlínský kraj</c:v>
                </c:pt>
                <c:pt idx="9">
                  <c:v>Karlovarský kraj</c:v>
                </c:pt>
                <c:pt idx="10">
                  <c:v>Ústecký kraj</c:v>
                </c:pt>
                <c:pt idx="11">
                  <c:v>Liberecký kraj</c:v>
                </c:pt>
                <c:pt idx="12">
                  <c:v>Královéhradecký kraj</c:v>
                </c:pt>
                <c:pt idx="13">
                  <c:v>Jihomoravský kraj</c:v>
                </c:pt>
                <c:pt idx="14">
                  <c:v>Moravskoslezský kraj</c:v>
                </c:pt>
              </c:strCache>
            </c:strRef>
          </c:cat>
          <c:val>
            <c:numRef>
              <c:f>'HDP obyv'!$J$49:$J$63</c:f>
              <c:numCache>
                <c:formatCode>0</c:formatCode>
                <c:ptCount val="15"/>
                <c:pt idx="0">
                  <c:v>386.31700000000001</c:v>
                </c:pt>
                <c:pt idx="1">
                  <c:v>807.59400000000005</c:v>
                </c:pt>
                <c:pt idx="2">
                  <c:v>349.55</c:v>
                </c:pt>
                <c:pt idx="3">
                  <c:v>327.529</c:v>
                </c:pt>
                <c:pt idx="4">
                  <c:v>346.95499999999998</c:v>
                </c:pt>
                <c:pt idx="5">
                  <c:v>306.42399999999998</c:v>
                </c:pt>
                <c:pt idx="6">
                  <c:v>323.976</c:v>
                </c:pt>
                <c:pt idx="7">
                  <c:v>300.77699999999999</c:v>
                </c:pt>
                <c:pt idx="8">
                  <c:v>324.58300000000003</c:v>
                </c:pt>
                <c:pt idx="9">
                  <c:v>272.428</c:v>
                </c:pt>
                <c:pt idx="10">
                  <c:v>303.12200000000001</c:v>
                </c:pt>
                <c:pt idx="11">
                  <c:v>300.005</c:v>
                </c:pt>
                <c:pt idx="12">
                  <c:v>333.42899999999997</c:v>
                </c:pt>
                <c:pt idx="13">
                  <c:v>372.13499999999999</c:v>
                </c:pt>
                <c:pt idx="14">
                  <c:v>332.78100000000001</c:v>
                </c:pt>
              </c:numCache>
            </c:numRef>
          </c:val>
          <c:extLst>
            <c:ext xmlns:c16="http://schemas.microsoft.com/office/drawing/2014/chart" uri="{C3380CC4-5D6E-409C-BE32-E72D297353CC}">
              <c16:uniqueId val="{00000006-966D-B54E-9BE5-FC2F01EB2A72}"/>
            </c:ext>
          </c:extLst>
        </c:ser>
        <c:ser>
          <c:idx val="7"/>
          <c:order val="7"/>
          <c:tx>
            <c:strRef>
              <c:f>'HDP obyv'!$K$48</c:f>
              <c:strCache>
                <c:ptCount val="1"/>
                <c:pt idx="0">
                  <c:v>2013</c:v>
                </c:pt>
              </c:strCache>
            </c:strRef>
          </c:tx>
          <c:spPr>
            <a:solidFill>
              <a:schemeClr val="accent2">
                <a:lumMod val="60000"/>
              </a:schemeClr>
            </a:solidFill>
            <a:ln>
              <a:noFill/>
            </a:ln>
            <a:effectLst/>
          </c:spPr>
          <c:invertIfNegative val="0"/>
          <c:cat>
            <c:strRef>
              <c:f>'HDP obyv'!$C$49:$C$63</c:f>
              <c:strCache>
                <c:ptCount val="15"/>
                <c:pt idx="0">
                  <c:v>Česká republika</c:v>
                </c:pt>
                <c:pt idx="1">
                  <c:v>Hlavní město Praha</c:v>
                </c:pt>
                <c:pt idx="2">
                  <c:v>Středočeský kraj</c:v>
                </c:pt>
                <c:pt idx="3">
                  <c:v>Jihočeský kraj</c:v>
                </c:pt>
                <c:pt idx="4">
                  <c:v>Plzeňský kraj</c:v>
                </c:pt>
                <c:pt idx="5">
                  <c:v>Pardubický kraj</c:v>
                </c:pt>
                <c:pt idx="6">
                  <c:v>Kraj Vysočina</c:v>
                </c:pt>
                <c:pt idx="7">
                  <c:v>Olomoucký kraj</c:v>
                </c:pt>
                <c:pt idx="8">
                  <c:v>Zlínský kraj</c:v>
                </c:pt>
                <c:pt idx="9">
                  <c:v>Karlovarský kraj</c:v>
                </c:pt>
                <c:pt idx="10">
                  <c:v>Ústecký kraj</c:v>
                </c:pt>
                <c:pt idx="11">
                  <c:v>Liberecký kraj</c:v>
                </c:pt>
                <c:pt idx="12">
                  <c:v>Královéhradecký kraj</c:v>
                </c:pt>
                <c:pt idx="13">
                  <c:v>Jihomoravský kraj</c:v>
                </c:pt>
                <c:pt idx="14">
                  <c:v>Moravskoslezský kraj</c:v>
                </c:pt>
              </c:strCache>
            </c:strRef>
          </c:cat>
          <c:val>
            <c:numRef>
              <c:f>'HDP obyv'!$K$49:$K$63</c:f>
              <c:numCache>
                <c:formatCode>0</c:formatCode>
                <c:ptCount val="15"/>
                <c:pt idx="0">
                  <c:v>389.9</c:v>
                </c:pt>
                <c:pt idx="1">
                  <c:v>812.46</c:v>
                </c:pt>
                <c:pt idx="2">
                  <c:v>348.69600000000003</c:v>
                </c:pt>
                <c:pt idx="3">
                  <c:v>333.10300000000001</c:v>
                </c:pt>
                <c:pt idx="4">
                  <c:v>363.31900000000002</c:v>
                </c:pt>
                <c:pt idx="5">
                  <c:v>313.71600000000001</c:v>
                </c:pt>
                <c:pt idx="6">
                  <c:v>327.53899999999999</c:v>
                </c:pt>
                <c:pt idx="7">
                  <c:v>301.16300000000001</c:v>
                </c:pt>
                <c:pt idx="8">
                  <c:v>330.803</c:v>
                </c:pt>
                <c:pt idx="9">
                  <c:v>272.45600000000002</c:v>
                </c:pt>
                <c:pt idx="10">
                  <c:v>302.416</c:v>
                </c:pt>
                <c:pt idx="11">
                  <c:v>302.11399999999998</c:v>
                </c:pt>
                <c:pt idx="12">
                  <c:v>335.31200000000001</c:v>
                </c:pt>
                <c:pt idx="13">
                  <c:v>387.59199999999998</c:v>
                </c:pt>
                <c:pt idx="14">
                  <c:v>324.58</c:v>
                </c:pt>
              </c:numCache>
            </c:numRef>
          </c:val>
          <c:extLst>
            <c:ext xmlns:c16="http://schemas.microsoft.com/office/drawing/2014/chart" uri="{C3380CC4-5D6E-409C-BE32-E72D297353CC}">
              <c16:uniqueId val="{00000007-966D-B54E-9BE5-FC2F01EB2A72}"/>
            </c:ext>
          </c:extLst>
        </c:ser>
        <c:ser>
          <c:idx val="8"/>
          <c:order val="8"/>
          <c:tx>
            <c:strRef>
              <c:f>'HDP obyv'!$L$48</c:f>
              <c:strCache>
                <c:ptCount val="1"/>
                <c:pt idx="0">
                  <c:v>2014</c:v>
                </c:pt>
              </c:strCache>
            </c:strRef>
          </c:tx>
          <c:spPr>
            <a:solidFill>
              <a:schemeClr val="accent3">
                <a:lumMod val="60000"/>
              </a:schemeClr>
            </a:solidFill>
            <a:ln>
              <a:noFill/>
            </a:ln>
            <a:effectLst/>
          </c:spPr>
          <c:invertIfNegative val="0"/>
          <c:cat>
            <c:strRef>
              <c:f>'HDP obyv'!$C$49:$C$63</c:f>
              <c:strCache>
                <c:ptCount val="15"/>
                <c:pt idx="0">
                  <c:v>Česká republika</c:v>
                </c:pt>
                <c:pt idx="1">
                  <c:v>Hlavní město Praha</c:v>
                </c:pt>
                <c:pt idx="2">
                  <c:v>Středočeský kraj</c:v>
                </c:pt>
                <c:pt idx="3">
                  <c:v>Jihočeský kraj</c:v>
                </c:pt>
                <c:pt idx="4">
                  <c:v>Plzeňský kraj</c:v>
                </c:pt>
                <c:pt idx="5">
                  <c:v>Pardubický kraj</c:v>
                </c:pt>
                <c:pt idx="6">
                  <c:v>Kraj Vysočina</c:v>
                </c:pt>
                <c:pt idx="7">
                  <c:v>Olomoucký kraj</c:v>
                </c:pt>
                <c:pt idx="8">
                  <c:v>Zlínský kraj</c:v>
                </c:pt>
                <c:pt idx="9">
                  <c:v>Karlovarský kraj</c:v>
                </c:pt>
                <c:pt idx="10">
                  <c:v>Ústecký kraj</c:v>
                </c:pt>
                <c:pt idx="11">
                  <c:v>Liberecký kraj</c:v>
                </c:pt>
                <c:pt idx="12">
                  <c:v>Královéhradecký kraj</c:v>
                </c:pt>
                <c:pt idx="13">
                  <c:v>Jihomoravský kraj</c:v>
                </c:pt>
                <c:pt idx="14">
                  <c:v>Moravskoslezský kraj</c:v>
                </c:pt>
              </c:strCache>
            </c:strRef>
          </c:cat>
          <c:val>
            <c:numRef>
              <c:f>'HDP obyv'!$L$49:$L$63</c:f>
              <c:numCache>
                <c:formatCode>0</c:formatCode>
                <c:ptCount val="15"/>
                <c:pt idx="0">
                  <c:v>409.87</c:v>
                </c:pt>
                <c:pt idx="1">
                  <c:v>834.57799999999997</c:v>
                </c:pt>
                <c:pt idx="2">
                  <c:v>376.83199999999999</c:v>
                </c:pt>
                <c:pt idx="3">
                  <c:v>344.51600000000002</c:v>
                </c:pt>
                <c:pt idx="4">
                  <c:v>388.43200000000002</c:v>
                </c:pt>
                <c:pt idx="5">
                  <c:v>333.11</c:v>
                </c:pt>
                <c:pt idx="6">
                  <c:v>341.28199999999998</c:v>
                </c:pt>
                <c:pt idx="7">
                  <c:v>318.62099999999998</c:v>
                </c:pt>
                <c:pt idx="8">
                  <c:v>365.31700000000001</c:v>
                </c:pt>
                <c:pt idx="9">
                  <c:v>282.096</c:v>
                </c:pt>
                <c:pt idx="10">
                  <c:v>309.863</c:v>
                </c:pt>
                <c:pt idx="11">
                  <c:v>317.74400000000003</c:v>
                </c:pt>
                <c:pt idx="12">
                  <c:v>359.15600000000001</c:v>
                </c:pt>
                <c:pt idx="13">
                  <c:v>404.51299999999998</c:v>
                </c:pt>
                <c:pt idx="14">
                  <c:v>344.32799999999997</c:v>
                </c:pt>
              </c:numCache>
            </c:numRef>
          </c:val>
          <c:extLst>
            <c:ext xmlns:c16="http://schemas.microsoft.com/office/drawing/2014/chart" uri="{C3380CC4-5D6E-409C-BE32-E72D297353CC}">
              <c16:uniqueId val="{00000008-966D-B54E-9BE5-FC2F01EB2A72}"/>
            </c:ext>
          </c:extLst>
        </c:ser>
        <c:ser>
          <c:idx val="9"/>
          <c:order val="9"/>
          <c:tx>
            <c:strRef>
              <c:f>'HDP obyv'!$M$48</c:f>
              <c:strCache>
                <c:ptCount val="1"/>
                <c:pt idx="0">
                  <c:v>2015</c:v>
                </c:pt>
              </c:strCache>
            </c:strRef>
          </c:tx>
          <c:spPr>
            <a:solidFill>
              <a:schemeClr val="accent4">
                <a:lumMod val="60000"/>
              </a:schemeClr>
            </a:solidFill>
            <a:ln>
              <a:noFill/>
            </a:ln>
            <a:effectLst/>
          </c:spPr>
          <c:invertIfNegative val="0"/>
          <c:cat>
            <c:strRef>
              <c:f>'HDP obyv'!$C$49:$C$63</c:f>
              <c:strCache>
                <c:ptCount val="15"/>
                <c:pt idx="0">
                  <c:v>Česká republika</c:v>
                </c:pt>
                <c:pt idx="1">
                  <c:v>Hlavní město Praha</c:v>
                </c:pt>
                <c:pt idx="2">
                  <c:v>Středočeský kraj</c:v>
                </c:pt>
                <c:pt idx="3">
                  <c:v>Jihočeský kraj</c:v>
                </c:pt>
                <c:pt idx="4">
                  <c:v>Plzeňský kraj</c:v>
                </c:pt>
                <c:pt idx="5">
                  <c:v>Pardubický kraj</c:v>
                </c:pt>
                <c:pt idx="6">
                  <c:v>Kraj Vysočina</c:v>
                </c:pt>
                <c:pt idx="7">
                  <c:v>Olomoucký kraj</c:v>
                </c:pt>
                <c:pt idx="8">
                  <c:v>Zlínský kraj</c:v>
                </c:pt>
                <c:pt idx="9">
                  <c:v>Karlovarský kraj</c:v>
                </c:pt>
                <c:pt idx="10">
                  <c:v>Ústecký kraj</c:v>
                </c:pt>
                <c:pt idx="11">
                  <c:v>Liberecký kraj</c:v>
                </c:pt>
                <c:pt idx="12">
                  <c:v>Královéhradecký kraj</c:v>
                </c:pt>
                <c:pt idx="13">
                  <c:v>Jihomoravský kraj</c:v>
                </c:pt>
                <c:pt idx="14">
                  <c:v>Moravskoslezský kraj</c:v>
                </c:pt>
              </c:strCache>
            </c:strRef>
          </c:cat>
          <c:val>
            <c:numRef>
              <c:f>'HDP obyv'!$M$49:$M$63</c:f>
              <c:numCache>
                <c:formatCode>0</c:formatCode>
                <c:ptCount val="15"/>
                <c:pt idx="0">
                  <c:v>435.911</c:v>
                </c:pt>
                <c:pt idx="1">
                  <c:v>917.18299999999999</c:v>
                </c:pt>
                <c:pt idx="2">
                  <c:v>392.90800000000002</c:v>
                </c:pt>
                <c:pt idx="3">
                  <c:v>358.95600000000002</c:v>
                </c:pt>
                <c:pt idx="4">
                  <c:v>405.15600000000001</c:v>
                </c:pt>
                <c:pt idx="5">
                  <c:v>354.44900000000001</c:v>
                </c:pt>
                <c:pt idx="6">
                  <c:v>356.14800000000002</c:v>
                </c:pt>
                <c:pt idx="7">
                  <c:v>334.73500000000001</c:v>
                </c:pt>
                <c:pt idx="8">
                  <c:v>374.779</c:v>
                </c:pt>
                <c:pt idx="9">
                  <c:v>292.23200000000003</c:v>
                </c:pt>
                <c:pt idx="10">
                  <c:v>333.92599999999999</c:v>
                </c:pt>
                <c:pt idx="11">
                  <c:v>337.05200000000002</c:v>
                </c:pt>
                <c:pt idx="12">
                  <c:v>378.03399999999999</c:v>
                </c:pt>
                <c:pt idx="13">
                  <c:v>427.90600000000001</c:v>
                </c:pt>
                <c:pt idx="14">
                  <c:v>362.02199999999999</c:v>
                </c:pt>
              </c:numCache>
            </c:numRef>
          </c:val>
          <c:extLst>
            <c:ext xmlns:c16="http://schemas.microsoft.com/office/drawing/2014/chart" uri="{C3380CC4-5D6E-409C-BE32-E72D297353CC}">
              <c16:uniqueId val="{00000009-966D-B54E-9BE5-FC2F01EB2A72}"/>
            </c:ext>
          </c:extLst>
        </c:ser>
        <c:ser>
          <c:idx val="10"/>
          <c:order val="10"/>
          <c:tx>
            <c:strRef>
              <c:f>'HDP obyv'!$N$48</c:f>
              <c:strCache>
                <c:ptCount val="1"/>
                <c:pt idx="0">
                  <c:v>2016</c:v>
                </c:pt>
              </c:strCache>
            </c:strRef>
          </c:tx>
          <c:spPr>
            <a:solidFill>
              <a:schemeClr val="accent5">
                <a:lumMod val="60000"/>
              </a:schemeClr>
            </a:solidFill>
            <a:ln>
              <a:noFill/>
            </a:ln>
            <a:effectLst/>
          </c:spPr>
          <c:invertIfNegative val="0"/>
          <c:cat>
            <c:strRef>
              <c:f>'HDP obyv'!$C$49:$C$63</c:f>
              <c:strCache>
                <c:ptCount val="15"/>
                <c:pt idx="0">
                  <c:v>Česká republika</c:v>
                </c:pt>
                <c:pt idx="1">
                  <c:v>Hlavní město Praha</c:v>
                </c:pt>
                <c:pt idx="2">
                  <c:v>Středočeský kraj</c:v>
                </c:pt>
                <c:pt idx="3">
                  <c:v>Jihočeský kraj</c:v>
                </c:pt>
                <c:pt idx="4">
                  <c:v>Plzeňský kraj</c:v>
                </c:pt>
                <c:pt idx="5">
                  <c:v>Pardubický kraj</c:v>
                </c:pt>
                <c:pt idx="6">
                  <c:v>Kraj Vysočina</c:v>
                </c:pt>
                <c:pt idx="7">
                  <c:v>Olomoucký kraj</c:v>
                </c:pt>
                <c:pt idx="8">
                  <c:v>Zlínský kraj</c:v>
                </c:pt>
                <c:pt idx="9">
                  <c:v>Karlovarský kraj</c:v>
                </c:pt>
                <c:pt idx="10">
                  <c:v>Ústecký kraj</c:v>
                </c:pt>
                <c:pt idx="11">
                  <c:v>Liberecký kraj</c:v>
                </c:pt>
                <c:pt idx="12">
                  <c:v>Královéhradecký kraj</c:v>
                </c:pt>
                <c:pt idx="13">
                  <c:v>Jihomoravský kraj</c:v>
                </c:pt>
                <c:pt idx="14">
                  <c:v>Moravskoslezský kraj</c:v>
                </c:pt>
              </c:strCache>
            </c:strRef>
          </c:cat>
          <c:val>
            <c:numRef>
              <c:f>'HDP obyv'!$N$49:$N$63</c:f>
              <c:numCache>
                <c:formatCode>0</c:formatCode>
                <c:ptCount val="15"/>
                <c:pt idx="0">
                  <c:v>451.78500000000003</c:v>
                </c:pt>
                <c:pt idx="1">
                  <c:v>937.54200000000003</c:v>
                </c:pt>
                <c:pt idx="2">
                  <c:v>414.37900000000002</c:v>
                </c:pt>
                <c:pt idx="3">
                  <c:v>373.83300000000003</c:v>
                </c:pt>
                <c:pt idx="4">
                  <c:v>422.25099999999998</c:v>
                </c:pt>
                <c:pt idx="5">
                  <c:v>360.37200000000001</c:v>
                </c:pt>
                <c:pt idx="6">
                  <c:v>373.42099999999999</c:v>
                </c:pt>
                <c:pt idx="7">
                  <c:v>346.78899999999999</c:v>
                </c:pt>
                <c:pt idx="8">
                  <c:v>391.33600000000001</c:v>
                </c:pt>
                <c:pt idx="9">
                  <c:v>300.89400000000001</c:v>
                </c:pt>
                <c:pt idx="10">
                  <c:v>333.52100000000002</c:v>
                </c:pt>
                <c:pt idx="11">
                  <c:v>352.31299999999999</c:v>
                </c:pt>
                <c:pt idx="12">
                  <c:v>401.05599999999998</c:v>
                </c:pt>
                <c:pt idx="13">
                  <c:v>436.43</c:v>
                </c:pt>
                <c:pt idx="14">
                  <c:v>385.24700000000001</c:v>
                </c:pt>
              </c:numCache>
            </c:numRef>
          </c:val>
          <c:extLst>
            <c:ext xmlns:c16="http://schemas.microsoft.com/office/drawing/2014/chart" uri="{C3380CC4-5D6E-409C-BE32-E72D297353CC}">
              <c16:uniqueId val="{0000000A-966D-B54E-9BE5-FC2F01EB2A72}"/>
            </c:ext>
          </c:extLst>
        </c:ser>
        <c:dLbls>
          <c:showLegendKey val="0"/>
          <c:showVal val="0"/>
          <c:showCatName val="0"/>
          <c:showSerName val="0"/>
          <c:showPercent val="0"/>
          <c:showBubbleSize val="0"/>
        </c:dLbls>
        <c:gapWidth val="267"/>
        <c:overlap val="-43"/>
        <c:axId val="38150528"/>
        <c:axId val="38152064"/>
      </c:barChart>
      <c:catAx>
        <c:axId val="381505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38152064"/>
        <c:crosses val="autoZero"/>
        <c:auto val="1"/>
        <c:lblAlgn val="ctr"/>
        <c:lblOffset val="100"/>
        <c:noMultiLvlLbl val="0"/>
      </c:catAx>
      <c:valAx>
        <c:axId val="3815206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3815052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List9!$C$4</c:f>
              <c:strCache>
                <c:ptCount val="1"/>
                <c:pt idx="0">
                  <c:v>v běžných cenách</c:v>
                </c:pt>
              </c:strCache>
            </c:strRef>
          </c:tx>
          <c:spPr>
            <a:ln w="22225" cap="rnd" cmpd="sng" algn="ctr">
              <a:solidFill>
                <a:schemeClr val="accent1"/>
              </a:solidFill>
              <a:round/>
            </a:ln>
            <a:effectLst/>
          </c:spPr>
          <c:marker>
            <c:symbol val="none"/>
          </c:marker>
          <c:cat>
            <c:numRef>
              <c:f>List9!$B$5:$B$13</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List9!$C$5:$C$13</c:f>
              <c:numCache>
                <c:formatCode>#,##0.0</c:formatCode>
                <c:ptCount val="9"/>
                <c:pt idx="0">
                  <c:v>17503.506947313028</c:v>
                </c:pt>
                <c:pt idx="1">
                  <c:v>22799.956362872719</c:v>
                </c:pt>
                <c:pt idx="2">
                  <c:v>33870.12619160024</c:v>
                </c:pt>
                <c:pt idx="3">
                  <c:v>33515.863098804271</c:v>
                </c:pt>
                <c:pt idx="4">
                  <c:v>34985.275897204308</c:v>
                </c:pt>
                <c:pt idx="5">
                  <c:v>41799.040318361847</c:v>
                </c:pt>
                <c:pt idx="6">
                  <c:v>37249.261929373606</c:v>
                </c:pt>
                <c:pt idx="7">
                  <c:v>42980.563051007965</c:v>
                </c:pt>
                <c:pt idx="8">
                  <c:v>43883.561196189708</c:v>
                </c:pt>
              </c:numCache>
            </c:numRef>
          </c:val>
          <c:smooth val="0"/>
          <c:extLst>
            <c:ext xmlns:c16="http://schemas.microsoft.com/office/drawing/2014/chart" uri="{C3380CC4-5D6E-409C-BE32-E72D297353CC}">
              <c16:uniqueId val="{00000000-02C5-A747-9776-85A030D47999}"/>
            </c:ext>
          </c:extLst>
        </c:ser>
        <c:ser>
          <c:idx val="1"/>
          <c:order val="1"/>
          <c:tx>
            <c:strRef>
              <c:f>List9!$D$4</c:f>
              <c:strCache>
                <c:ptCount val="1"/>
                <c:pt idx="0">
                  <c:v>ve stálých cenách roku 2000</c:v>
                </c:pt>
              </c:strCache>
            </c:strRef>
          </c:tx>
          <c:spPr>
            <a:ln w="22225" cap="rnd" cmpd="sng" algn="ctr">
              <a:solidFill>
                <a:schemeClr val="accent2"/>
              </a:solidFill>
              <a:round/>
            </a:ln>
            <a:effectLst/>
          </c:spPr>
          <c:marker>
            <c:symbol val="none"/>
          </c:marker>
          <c:cat>
            <c:numRef>
              <c:f>List9!$B$5:$B$13</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List9!$D$5:$D$13</c:f>
              <c:numCache>
                <c:formatCode>#,##0.0</c:formatCode>
                <c:ptCount val="9"/>
                <c:pt idx="0">
                  <c:v>35400.380104398515</c:v>
                </c:pt>
                <c:pt idx="1">
                  <c:v>31197.950478416067</c:v>
                </c:pt>
                <c:pt idx="2">
                  <c:v>35226.349121930471</c:v>
                </c:pt>
                <c:pt idx="3">
                  <c:v>29999.348245536909</c:v>
                </c:pt>
                <c:pt idx="4">
                  <c:v>34416.86887392278</c:v>
                </c:pt>
                <c:pt idx="5">
                  <c:v>40880.677716558188</c:v>
                </c:pt>
                <c:pt idx="6">
                  <c:v>35780.748466579462</c:v>
                </c:pt>
                <c:pt idx="7">
                  <c:v>43480.888361081015</c:v>
                </c:pt>
                <c:pt idx="8">
                  <c:v>37616.505392276071</c:v>
                </c:pt>
              </c:numCache>
            </c:numRef>
          </c:val>
          <c:smooth val="0"/>
          <c:extLst>
            <c:ext xmlns:c16="http://schemas.microsoft.com/office/drawing/2014/chart" uri="{C3380CC4-5D6E-409C-BE32-E72D297353CC}">
              <c16:uniqueId val="{00000001-02C5-A747-9776-85A030D47999}"/>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8190464"/>
        <c:axId val="38192256"/>
      </c:lineChart>
      <c:catAx>
        <c:axId val="381904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cs-CZ"/>
          </a:p>
        </c:txPr>
        <c:crossAx val="38192256"/>
        <c:crosses val="autoZero"/>
        <c:auto val="1"/>
        <c:lblAlgn val="ctr"/>
        <c:lblOffset val="100"/>
        <c:noMultiLvlLbl val="0"/>
      </c:catAx>
      <c:valAx>
        <c:axId val="38192256"/>
        <c:scaling>
          <c:orientation val="minMax"/>
          <c:min val="10000"/>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cs-CZ"/>
                  <a:t>mil. Kč</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cs-CZ"/>
          </a:p>
        </c:txPr>
        <c:crossAx val="3819046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List2!$U$2</c:f>
              <c:strCache>
                <c:ptCount val="1"/>
                <c:pt idx="0">
                  <c:v>2010</c:v>
                </c:pt>
              </c:strCache>
            </c:strRef>
          </c:tx>
          <c:spPr>
            <a:solidFill>
              <a:schemeClr val="accent1"/>
            </a:solidFill>
            <a:ln>
              <a:noFill/>
            </a:ln>
            <a:effectLst/>
          </c:spPr>
          <c:invertIfNegative val="0"/>
          <c:cat>
            <c:strRef>
              <c:f>List2!$T$3:$T$16</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List2!$U$3:$U$16</c:f>
              <c:numCache>
                <c:formatCode>#,##0.00</c:formatCode>
                <c:ptCount val="14"/>
                <c:pt idx="0">
                  <c:v>0.29431463666460378</c:v>
                </c:pt>
                <c:pt idx="1">
                  <c:v>0.645861034737363</c:v>
                </c:pt>
                <c:pt idx="2">
                  <c:v>0.95818733501798947</c:v>
                </c:pt>
                <c:pt idx="3">
                  <c:v>0.71847494515291632</c:v>
                </c:pt>
                <c:pt idx="4">
                  <c:v>0.46512535616242306</c:v>
                </c:pt>
                <c:pt idx="5">
                  <c:v>0.58011231452852419</c:v>
                </c:pt>
                <c:pt idx="6">
                  <c:v>0.46824354119406647</c:v>
                </c:pt>
                <c:pt idx="7">
                  <c:v>0.66690338732847509</c:v>
                </c:pt>
                <c:pt idx="8">
                  <c:v>0.62456010085775504</c:v>
                </c:pt>
                <c:pt idx="9">
                  <c:v>0.74236885626611793</c:v>
                </c:pt>
                <c:pt idx="10">
                  <c:v>0.62356342246248664</c:v>
                </c:pt>
                <c:pt idx="11">
                  <c:v>0.50492378611802446</c:v>
                </c:pt>
                <c:pt idx="12">
                  <c:v>0.50646977019145922</c:v>
                </c:pt>
                <c:pt idx="13">
                  <c:v>0.4359646723830054</c:v>
                </c:pt>
              </c:numCache>
            </c:numRef>
          </c:val>
          <c:extLst>
            <c:ext xmlns:c16="http://schemas.microsoft.com/office/drawing/2014/chart" uri="{C3380CC4-5D6E-409C-BE32-E72D297353CC}">
              <c16:uniqueId val="{00000000-6EE2-ED46-9CC2-9D8939258FB3}"/>
            </c:ext>
          </c:extLst>
        </c:ser>
        <c:ser>
          <c:idx val="1"/>
          <c:order val="1"/>
          <c:tx>
            <c:strRef>
              <c:f>List2!$V$2</c:f>
              <c:strCache>
                <c:ptCount val="1"/>
                <c:pt idx="0">
                  <c:v>2011</c:v>
                </c:pt>
              </c:strCache>
            </c:strRef>
          </c:tx>
          <c:spPr>
            <a:solidFill>
              <a:schemeClr val="accent2"/>
            </a:solidFill>
            <a:ln>
              <a:noFill/>
            </a:ln>
            <a:effectLst/>
          </c:spPr>
          <c:invertIfNegative val="0"/>
          <c:cat>
            <c:strRef>
              <c:f>List2!$T$3:$T$16</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List2!$V$3:$V$16</c:f>
              <c:numCache>
                <c:formatCode>#,##0.00</c:formatCode>
                <c:ptCount val="14"/>
                <c:pt idx="0">
                  <c:v>0.39097115133733945</c:v>
                </c:pt>
                <c:pt idx="1">
                  <c:v>0.7085101335800813</c:v>
                </c:pt>
                <c:pt idx="2">
                  <c:v>1.0001462478003857</c:v>
                </c:pt>
                <c:pt idx="3">
                  <c:v>0.72616304197572346</c:v>
                </c:pt>
                <c:pt idx="4">
                  <c:v>0.48761362550614623</c:v>
                </c:pt>
                <c:pt idx="5">
                  <c:v>0.59136248710166006</c:v>
                </c:pt>
                <c:pt idx="6">
                  <c:v>0.51582628066427472</c:v>
                </c:pt>
                <c:pt idx="7">
                  <c:v>0.69127335078061547</c:v>
                </c:pt>
                <c:pt idx="8">
                  <c:v>0.69538604579088048</c:v>
                </c:pt>
                <c:pt idx="9">
                  <c:v>0.77738626331127481</c:v>
                </c:pt>
                <c:pt idx="10">
                  <c:v>0.72383317319704998</c:v>
                </c:pt>
                <c:pt idx="11">
                  <c:v>0.53846924464035262</c:v>
                </c:pt>
                <c:pt idx="12">
                  <c:v>0.55292098318170402</c:v>
                </c:pt>
                <c:pt idx="13">
                  <c:v>0.46242737050816712</c:v>
                </c:pt>
              </c:numCache>
            </c:numRef>
          </c:val>
          <c:extLst>
            <c:ext xmlns:c16="http://schemas.microsoft.com/office/drawing/2014/chart" uri="{C3380CC4-5D6E-409C-BE32-E72D297353CC}">
              <c16:uniqueId val="{00000001-6EE2-ED46-9CC2-9D8939258FB3}"/>
            </c:ext>
          </c:extLst>
        </c:ser>
        <c:ser>
          <c:idx val="2"/>
          <c:order val="2"/>
          <c:tx>
            <c:strRef>
              <c:f>List2!$W$2</c:f>
              <c:strCache>
                <c:ptCount val="1"/>
                <c:pt idx="0">
                  <c:v>2012</c:v>
                </c:pt>
              </c:strCache>
            </c:strRef>
          </c:tx>
          <c:spPr>
            <a:solidFill>
              <a:schemeClr val="accent3"/>
            </a:solidFill>
            <a:ln>
              <a:noFill/>
            </a:ln>
            <a:effectLst/>
          </c:spPr>
          <c:invertIfNegative val="0"/>
          <c:cat>
            <c:strRef>
              <c:f>List2!$T$3:$T$16</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List2!$W$3:$W$16</c:f>
              <c:numCache>
                <c:formatCode>#,##0.00</c:formatCode>
                <c:ptCount val="14"/>
                <c:pt idx="0">
                  <c:v>0.45557355748407902</c:v>
                </c:pt>
                <c:pt idx="1">
                  <c:v>0.69746775082519485</c:v>
                </c:pt>
                <c:pt idx="2">
                  <c:v>1.0273149537158486</c:v>
                </c:pt>
                <c:pt idx="3">
                  <c:v>0.75084644840899128</c:v>
                </c:pt>
                <c:pt idx="4">
                  <c:v>0.53028244168550276</c:v>
                </c:pt>
                <c:pt idx="5">
                  <c:v>0.63016773831468231</c:v>
                </c:pt>
                <c:pt idx="6">
                  <c:v>0.54720310811365414</c:v>
                </c:pt>
                <c:pt idx="7">
                  <c:v>0.6872280475851168</c:v>
                </c:pt>
                <c:pt idx="8">
                  <c:v>0.67965300906204007</c:v>
                </c:pt>
                <c:pt idx="9">
                  <c:v>0.82354114869319084</c:v>
                </c:pt>
                <c:pt idx="10">
                  <c:v>0.75129422838317717</c:v>
                </c:pt>
                <c:pt idx="11">
                  <c:v>0.57558786027173392</c:v>
                </c:pt>
                <c:pt idx="12">
                  <c:v>0.58533962459991873</c:v>
                </c:pt>
                <c:pt idx="13">
                  <c:v>0.48915622182256346</c:v>
                </c:pt>
              </c:numCache>
            </c:numRef>
          </c:val>
          <c:extLst>
            <c:ext xmlns:c16="http://schemas.microsoft.com/office/drawing/2014/chart" uri="{C3380CC4-5D6E-409C-BE32-E72D297353CC}">
              <c16:uniqueId val="{00000002-6EE2-ED46-9CC2-9D8939258FB3}"/>
            </c:ext>
          </c:extLst>
        </c:ser>
        <c:ser>
          <c:idx val="3"/>
          <c:order val="3"/>
          <c:tx>
            <c:strRef>
              <c:f>List2!$X$2</c:f>
              <c:strCache>
                <c:ptCount val="1"/>
                <c:pt idx="0">
                  <c:v>2013</c:v>
                </c:pt>
              </c:strCache>
            </c:strRef>
          </c:tx>
          <c:spPr>
            <a:solidFill>
              <a:schemeClr val="accent4"/>
            </a:solidFill>
            <a:ln>
              <a:noFill/>
            </a:ln>
            <a:effectLst/>
          </c:spPr>
          <c:invertIfNegative val="0"/>
          <c:cat>
            <c:strRef>
              <c:f>List2!$T$3:$T$16</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List2!$X$3:$X$16</c:f>
              <c:numCache>
                <c:formatCode>#,##0.00</c:formatCode>
                <c:ptCount val="14"/>
                <c:pt idx="0">
                  <c:v>0.49308197145916066</c:v>
                </c:pt>
                <c:pt idx="1">
                  <c:v>0.69490515504447392</c:v>
                </c:pt>
                <c:pt idx="2">
                  <c:v>0.98161320670261198</c:v>
                </c:pt>
                <c:pt idx="3">
                  <c:v>0.73412861026489662</c:v>
                </c:pt>
                <c:pt idx="4">
                  <c:v>0.47617620517533604</c:v>
                </c:pt>
                <c:pt idx="5">
                  <c:v>0.61082024432809778</c:v>
                </c:pt>
                <c:pt idx="6">
                  <c:v>0.540344589372311</c:v>
                </c:pt>
                <c:pt idx="7">
                  <c:v>0.70845012493001569</c:v>
                </c:pt>
                <c:pt idx="8">
                  <c:v>0.6938186187582972</c:v>
                </c:pt>
                <c:pt idx="9">
                  <c:v>0.86631164875570599</c:v>
                </c:pt>
                <c:pt idx="10">
                  <c:v>0.72302872116217898</c:v>
                </c:pt>
                <c:pt idx="11">
                  <c:v>0.56257817950958267</c:v>
                </c:pt>
                <c:pt idx="12">
                  <c:v>0.59184818667608163</c:v>
                </c:pt>
                <c:pt idx="13">
                  <c:v>0.47960767110371966</c:v>
                </c:pt>
              </c:numCache>
            </c:numRef>
          </c:val>
          <c:extLst>
            <c:ext xmlns:c16="http://schemas.microsoft.com/office/drawing/2014/chart" uri="{C3380CC4-5D6E-409C-BE32-E72D297353CC}">
              <c16:uniqueId val="{00000003-6EE2-ED46-9CC2-9D8939258FB3}"/>
            </c:ext>
          </c:extLst>
        </c:ser>
        <c:ser>
          <c:idx val="4"/>
          <c:order val="4"/>
          <c:tx>
            <c:strRef>
              <c:f>List2!$Y$2</c:f>
              <c:strCache>
                <c:ptCount val="1"/>
                <c:pt idx="0">
                  <c:v>2014</c:v>
                </c:pt>
              </c:strCache>
            </c:strRef>
          </c:tx>
          <c:spPr>
            <a:solidFill>
              <a:schemeClr val="accent5"/>
            </a:solidFill>
            <a:ln>
              <a:noFill/>
            </a:ln>
            <a:effectLst/>
          </c:spPr>
          <c:invertIfNegative val="0"/>
          <c:cat>
            <c:strRef>
              <c:f>List2!$T$3:$T$16</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List2!$Y$3:$Y$16</c:f>
              <c:numCache>
                <c:formatCode>0.00</c:formatCode>
                <c:ptCount val="14"/>
                <c:pt idx="0">
                  <c:v>0.53053768564847914</c:v>
                </c:pt>
                <c:pt idx="1">
                  <c:v>0.7101041587470539</c:v>
                </c:pt>
                <c:pt idx="2">
                  <c:v>1.012082221873529</c:v>
                </c:pt>
                <c:pt idx="3">
                  <c:v>0.75812902103981916</c:v>
                </c:pt>
                <c:pt idx="4">
                  <c:v>0.55128633478115596</c:v>
                </c:pt>
                <c:pt idx="5">
                  <c:v>0.64805825242718451</c:v>
                </c:pt>
                <c:pt idx="6">
                  <c:v>0.58555479608111194</c:v>
                </c:pt>
                <c:pt idx="7">
                  <c:v>0.7233502538071066</c:v>
                </c:pt>
                <c:pt idx="8">
                  <c:v>0.72037180480247875</c:v>
                </c:pt>
                <c:pt idx="9">
                  <c:v>0.88448715434398906</c:v>
                </c:pt>
                <c:pt idx="10">
                  <c:v>0.77073919345212716</c:v>
                </c:pt>
                <c:pt idx="11">
                  <c:v>0.65282365895862826</c:v>
                </c:pt>
                <c:pt idx="12">
                  <c:v>0.60652656757218526</c:v>
                </c:pt>
                <c:pt idx="13">
                  <c:v>0.5157263693849059</c:v>
                </c:pt>
              </c:numCache>
            </c:numRef>
          </c:val>
          <c:extLst>
            <c:ext xmlns:c16="http://schemas.microsoft.com/office/drawing/2014/chart" uri="{C3380CC4-5D6E-409C-BE32-E72D297353CC}">
              <c16:uniqueId val="{00000004-6EE2-ED46-9CC2-9D8939258FB3}"/>
            </c:ext>
          </c:extLst>
        </c:ser>
        <c:ser>
          <c:idx val="5"/>
          <c:order val="5"/>
          <c:tx>
            <c:strRef>
              <c:f>List2!$Z$2</c:f>
              <c:strCache>
                <c:ptCount val="1"/>
                <c:pt idx="0">
                  <c:v>2015</c:v>
                </c:pt>
              </c:strCache>
            </c:strRef>
          </c:tx>
          <c:spPr>
            <a:solidFill>
              <a:schemeClr val="accent6"/>
            </a:solidFill>
            <a:ln>
              <a:noFill/>
            </a:ln>
            <a:effectLst/>
          </c:spPr>
          <c:invertIfNegative val="0"/>
          <c:cat>
            <c:strRef>
              <c:f>List2!$T$3:$T$16</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List2!$Z$3:$Z$16</c:f>
              <c:numCache>
                <c:formatCode>0.00</c:formatCode>
                <c:ptCount val="14"/>
                <c:pt idx="0">
                  <c:v>0.58067061143984222</c:v>
                </c:pt>
                <c:pt idx="1">
                  <c:v>0.73102720627025397</c:v>
                </c:pt>
                <c:pt idx="2">
                  <c:v>1.0943869551583569</c:v>
                </c:pt>
                <c:pt idx="3">
                  <c:v>0.80471730835934785</c:v>
                </c:pt>
                <c:pt idx="4">
                  <c:v>0.59100067159167224</c:v>
                </c:pt>
                <c:pt idx="5">
                  <c:v>0.66836796694616607</c:v>
                </c:pt>
                <c:pt idx="6">
                  <c:v>0.62329390354868064</c:v>
                </c:pt>
                <c:pt idx="7">
                  <c:v>0.74900253899165758</c:v>
                </c:pt>
                <c:pt idx="8">
                  <c:v>0.75566750629722923</c:v>
                </c:pt>
                <c:pt idx="9">
                  <c:v>0.97939156035328756</c:v>
                </c:pt>
                <c:pt idx="10">
                  <c:v>0.82127659574468082</c:v>
                </c:pt>
                <c:pt idx="11">
                  <c:v>0.67748542618559948</c:v>
                </c:pt>
                <c:pt idx="12">
                  <c:v>0.62254147426030437</c:v>
                </c:pt>
                <c:pt idx="13">
                  <c:v>0.57693892689359605</c:v>
                </c:pt>
              </c:numCache>
            </c:numRef>
          </c:val>
          <c:extLst>
            <c:ext xmlns:c16="http://schemas.microsoft.com/office/drawing/2014/chart" uri="{C3380CC4-5D6E-409C-BE32-E72D297353CC}">
              <c16:uniqueId val="{00000005-6EE2-ED46-9CC2-9D8939258FB3}"/>
            </c:ext>
          </c:extLst>
        </c:ser>
        <c:ser>
          <c:idx val="6"/>
          <c:order val="6"/>
          <c:tx>
            <c:strRef>
              <c:f>List2!$AA$2</c:f>
              <c:strCache>
                <c:ptCount val="1"/>
                <c:pt idx="0">
                  <c:v>2016</c:v>
                </c:pt>
              </c:strCache>
            </c:strRef>
          </c:tx>
          <c:spPr>
            <a:solidFill>
              <a:schemeClr val="accent1">
                <a:lumMod val="60000"/>
              </a:schemeClr>
            </a:solidFill>
            <a:ln>
              <a:noFill/>
            </a:ln>
            <a:effectLst/>
          </c:spPr>
          <c:invertIfNegative val="0"/>
          <c:cat>
            <c:strRef>
              <c:f>List2!$T$3:$T$16</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List2!$AA$3:$AA$16</c:f>
              <c:numCache>
                <c:formatCode>0.00</c:formatCode>
                <c:ptCount val="14"/>
                <c:pt idx="0">
                  <c:v>0.5896134322530262</c:v>
                </c:pt>
                <c:pt idx="1">
                  <c:v>0.75952203136669161</c:v>
                </c:pt>
                <c:pt idx="2">
                  <c:v>1.1224170319348781</c:v>
                </c:pt>
                <c:pt idx="3">
                  <c:v>0.81576218458347738</c:v>
                </c:pt>
                <c:pt idx="4">
                  <c:v>0.56959892146949787</c:v>
                </c:pt>
                <c:pt idx="5">
                  <c:v>0.71341611882152423</c:v>
                </c:pt>
                <c:pt idx="6">
                  <c:v>0.65592374035406265</c:v>
                </c:pt>
                <c:pt idx="7">
                  <c:v>0.82244008714596961</c:v>
                </c:pt>
                <c:pt idx="8">
                  <c:v>0.77741249274801771</c:v>
                </c:pt>
                <c:pt idx="9">
                  <c:v>1.0648330058939097</c:v>
                </c:pt>
                <c:pt idx="10">
                  <c:v>0.92382083474720056</c:v>
                </c:pt>
                <c:pt idx="11">
                  <c:v>0.77141504969238051</c:v>
                </c:pt>
                <c:pt idx="12">
                  <c:v>0.67843070070241562</c:v>
                </c:pt>
                <c:pt idx="13">
                  <c:v>0.63228365980659551</c:v>
                </c:pt>
              </c:numCache>
            </c:numRef>
          </c:val>
          <c:extLst>
            <c:ext xmlns:c16="http://schemas.microsoft.com/office/drawing/2014/chart" uri="{C3380CC4-5D6E-409C-BE32-E72D297353CC}">
              <c16:uniqueId val="{00000006-6EE2-ED46-9CC2-9D8939258FB3}"/>
            </c:ext>
          </c:extLst>
        </c:ser>
        <c:dLbls>
          <c:showLegendKey val="0"/>
          <c:showVal val="0"/>
          <c:showCatName val="0"/>
          <c:showSerName val="0"/>
          <c:showPercent val="0"/>
          <c:showBubbleSize val="0"/>
        </c:dLbls>
        <c:gapWidth val="267"/>
        <c:overlap val="-43"/>
        <c:axId val="40948864"/>
        <c:axId val="40950400"/>
      </c:barChart>
      <c:catAx>
        <c:axId val="409488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40950400"/>
        <c:crosses val="autoZero"/>
        <c:auto val="1"/>
        <c:lblAlgn val="ctr"/>
        <c:lblOffset val="100"/>
        <c:noMultiLvlLbl val="0"/>
      </c:catAx>
      <c:valAx>
        <c:axId val="40950400"/>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4094886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List2!$U$19</c:f>
              <c:strCache>
                <c:ptCount val="1"/>
                <c:pt idx="0">
                  <c:v>2010</c:v>
                </c:pt>
              </c:strCache>
            </c:strRef>
          </c:tx>
          <c:spPr>
            <a:solidFill>
              <a:schemeClr val="accent1"/>
            </a:solidFill>
            <a:ln>
              <a:noFill/>
            </a:ln>
            <a:effectLst/>
          </c:spPr>
          <c:invertIfNegative val="0"/>
          <c:cat>
            <c:strRef>
              <c:f>List2!$T$20:$T$33</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List2!$U$20:$U$33</c:f>
              <c:numCache>
                <c:formatCode>0.00</c:formatCode>
                <c:ptCount val="14"/>
                <c:pt idx="0">
                  <c:v>5.0391438466763923</c:v>
                </c:pt>
                <c:pt idx="1">
                  <c:v>3.8016471432704764</c:v>
                </c:pt>
                <c:pt idx="2">
                  <c:v>4.2586103778577309</c:v>
                </c:pt>
                <c:pt idx="3">
                  <c:v>3.8038965466003551</c:v>
                </c:pt>
                <c:pt idx="4">
                  <c:v>3.6136662286465175</c:v>
                </c:pt>
                <c:pt idx="5">
                  <c:v>3.8215646286982157</c:v>
                </c:pt>
                <c:pt idx="6">
                  <c:v>4.6756163312436634</c:v>
                </c:pt>
                <c:pt idx="7">
                  <c:v>4.0320618309562128</c:v>
                </c:pt>
                <c:pt idx="8">
                  <c:v>4.0567402216704949</c:v>
                </c:pt>
                <c:pt idx="9">
                  <c:v>3.783749118194061</c:v>
                </c:pt>
                <c:pt idx="10">
                  <c:v>4.8923746854035928</c:v>
                </c:pt>
                <c:pt idx="11">
                  <c:v>4.0315982552078058</c:v>
                </c:pt>
                <c:pt idx="12">
                  <c:v>4.6852688439785144</c:v>
                </c:pt>
                <c:pt idx="13">
                  <c:v>3.9301169543604511</c:v>
                </c:pt>
              </c:numCache>
            </c:numRef>
          </c:val>
          <c:extLst>
            <c:ext xmlns:c16="http://schemas.microsoft.com/office/drawing/2014/chart" uri="{C3380CC4-5D6E-409C-BE32-E72D297353CC}">
              <c16:uniqueId val="{00000000-17F0-1240-B580-3AE3FD72156B}"/>
            </c:ext>
          </c:extLst>
        </c:ser>
        <c:ser>
          <c:idx val="1"/>
          <c:order val="1"/>
          <c:tx>
            <c:strRef>
              <c:f>List2!$V$19</c:f>
              <c:strCache>
                <c:ptCount val="1"/>
                <c:pt idx="0">
                  <c:v>2011</c:v>
                </c:pt>
              </c:strCache>
            </c:strRef>
          </c:tx>
          <c:spPr>
            <a:solidFill>
              <a:schemeClr val="accent2"/>
            </a:solidFill>
            <a:ln>
              <a:noFill/>
            </a:ln>
            <a:effectLst/>
          </c:spPr>
          <c:invertIfNegative val="0"/>
          <c:cat>
            <c:strRef>
              <c:f>List2!$T$20:$T$33</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List2!$V$20:$V$33</c:f>
              <c:numCache>
                <c:formatCode>0.00</c:formatCode>
                <c:ptCount val="14"/>
                <c:pt idx="0">
                  <c:v>5.7587465658758124</c:v>
                </c:pt>
                <c:pt idx="1">
                  <c:v>3.7004337464476307</c:v>
                </c:pt>
                <c:pt idx="2">
                  <c:v>4.2223155272704966</c:v>
                </c:pt>
                <c:pt idx="3">
                  <c:v>3.7078059902326697</c:v>
                </c:pt>
                <c:pt idx="4">
                  <c:v>3.6142712647313675</c:v>
                </c:pt>
                <c:pt idx="5">
                  <c:v>3.7364454287076319</c:v>
                </c:pt>
                <c:pt idx="6">
                  <c:v>4.519185998740106</c:v>
                </c:pt>
                <c:pt idx="7">
                  <c:v>3.9328580453027704</c:v>
                </c:pt>
                <c:pt idx="8">
                  <c:v>4.0057335451129275</c:v>
                </c:pt>
                <c:pt idx="9">
                  <c:v>3.7970826529575836</c:v>
                </c:pt>
                <c:pt idx="10">
                  <c:v>4.8487377568727661</c:v>
                </c:pt>
                <c:pt idx="11">
                  <c:v>3.9931251252254056</c:v>
                </c:pt>
                <c:pt idx="12">
                  <c:v>4.7608871159234454</c:v>
                </c:pt>
                <c:pt idx="13">
                  <c:v>3.9395566862941394</c:v>
                </c:pt>
              </c:numCache>
            </c:numRef>
          </c:val>
          <c:extLst>
            <c:ext xmlns:c16="http://schemas.microsoft.com/office/drawing/2014/chart" uri="{C3380CC4-5D6E-409C-BE32-E72D297353CC}">
              <c16:uniqueId val="{00000001-17F0-1240-B580-3AE3FD72156B}"/>
            </c:ext>
          </c:extLst>
        </c:ser>
        <c:ser>
          <c:idx val="2"/>
          <c:order val="2"/>
          <c:tx>
            <c:strRef>
              <c:f>List2!$W$19</c:f>
              <c:strCache>
                <c:ptCount val="1"/>
                <c:pt idx="0">
                  <c:v>2012</c:v>
                </c:pt>
              </c:strCache>
            </c:strRef>
          </c:tx>
          <c:spPr>
            <a:solidFill>
              <a:schemeClr val="accent3"/>
            </a:solidFill>
            <a:ln>
              <a:noFill/>
            </a:ln>
            <a:effectLst/>
          </c:spPr>
          <c:invertIfNegative val="0"/>
          <c:cat>
            <c:strRef>
              <c:f>List2!$T$20:$T$33</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List2!$W$20:$W$33</c:f>
              <c:numCache>
                <c:formatCode>0.00</c:formatCode>
                <c:ptCount val="14"/>
                <c:pt idx="0">
                  <c:v>6.4518198880315696</c:v>
                </c:pt>
                <c:pt idx="1">
                  <c:v>3.6104212983892441</c:v>
                </c:pt>
                <c:pt idx="2">
                  <c:v>4.1532427180805858</c:v>
                </c:pt>
                <c:pt idx="3">
                  <c:v>3.7489937784514051</c:v>
                </c:pt>
                <c:pt idx="4">
                  <c:v>3.5628351550744717</c:v>
                </c:pt>
                <c:pt idx="5">
                  <c:v>3.7217392145763482</c:v>
                </c:pt>
                <c:pt idx="6">
                  <c:v>4.3935849555625479</c:v>
                </c:pt>
                <c:pt idx="7">
                  <c:v>3.9298593352696285</c:v>
                </c:pt>
                <c:pt idx="8">
                  <c:v>3.9694833862597778</c:v>
                </c:pt>
                <c:pt idx="9">
                  <c:v>3.6951763180081652</c:v>
                </c:pt>
                <c:pt idx="10">
                  <c:v>4.9159286356051854</c:v>
                </c:pt>
                <c:pt idx="11">
                  <c:v>3.8409119068269106</c:v>
                </c:pt>
                <c:pt idx="12">
                  <c:v>4.6776122907708615</c:v>
                </c:pt>
                <c:pt idx="13">
                  <c:v>3.8773783183135193</c:v>
                </c:pt>
              </c:numCache>
            </c:numRef>
          </c:val>
          <c:extLst>
            <c:ext xmlns:c16="http://schemas.microsoft.com/office/drawing/2014/chart" uri="{C3380CC4-5D6E-409C-BE32-E72D297353CC}">
              <c16:uniqueId val="{00000002-17F0-1240-B580-3AE3FD72156B}"/>
            </c:ext>
          </c:extLst>
        </c:ser>
        <c:ser>
          <c:idx val="3"/>
          <c:order val="3"/>
          <c:tx>
            <c:strRef>
              <c:f>List2!$X$19</c:f>
              <c:strCache>
                <c:ptCount val="1"/>
                <c:pt idx="0">
                  <c:v>2013</c:v>
                </c:pt>
              </c:strCache>
            </c:strRef>
          </c:tx>
          <c:spPr>
            <a:solidFill>
              <a:schemeClr val="accent4"/>
            </a:solidFill>
            <a:ln>
              <a:noFill/>
            </a:ln>
            <a:effectLst/>
          </c:spPr>
          <c:invertIfNegative val="0"/>
          <c:cat>
            <c:strRef>
              <c:f>List2!$T$20:$T$33</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List2!$X$20:$X$33</c:f>
              <c:numCache>
                <c:formatCode>0.00</c:formatCode>
                <c:ptCount val="14"/>
                <c:pt idx="0">
                  <c:v>6.6899881837289392</c:v>
                </c:pt>
                <c:pt idx="1">
                  <c:v>3.5221325372254162</c:v>
                </c:pt>
                <c:pt idx="2">
                  <c:v>4.1274872115431425</c:v>
                </c:pt>
                <c:pt idx="3">
                  <c:v>3.735162667903583</c:v>
                </c:pt>
                <c:pt idx="4">
                  <c:v>3.5197080340582536</c:v>
                </c:pt>
                <c:pt idx="5">
                  <c:v>3.5158522396742291</c:v>
                </c:pt>
                <c:pt idx="6">
                  <c:v>4.2566386006671095</c:v>
                </c:pt>
                <c:pt idx="7">
                  <c:v>3.9952238503086557</c:v>
                </c:pt>
                <c:pt idx="8">
                  <c:v>3.8993381590550111</c:v>
                </c:pt>
                <c:pt idx="9">
                  <c:v>3.6220450834853954</c:v>
                </c:pt>
                <c:pt idx="10">
                  <c:v>4.7783139243708543</c:v>
                </c:pt>
                <c:pt idx="11">
                  <c:v>3.8327602788376316</c:v>
                </c:pt>
                <c:pt idx="12">
                  <c:v>4.555695984472087</c:v>
                </c:pt>
                <c:pt idx="13">
                  <c:v>3.8164002907109982</c:v>
                </c:pt>
              </c:numCache>
            </c:numRef>
          </c:val>
          <c:extLst>
            <c:ext xmlns:c16="http://schemas.microsoft.com/office/drawing/2014/chart" uri="{C3380CC4-5D6E-409C-BE32-E72D297353CC}">
              <c16:uniqueId val="{00000003-17F0-1240-B580-3AE3FD72156B}"/>
            </c:ext>
          </c:extLst>
        </c:ser>
        <c:ser>
          <c:idx val="4"/>
          <c:order val="4"/>
          <c:tx>
            <c:strRef>
              <c:f>List2!$Y$19</c:f>
              <c:strCache>
                <c:ptCount val="1"/>
                <c:pt idx="0">
                  <c:v>2014</c:v>
                </c:pt>
              </c:strCache>
            </c:strRef>
          </c:tx>
          <c:spPr>
            <a:solidFill>
              <a:schemeClr val="accent5"/>
            </a:solidFill>
            <a:ln>
              <a:noFill/>
            </a:ln>
            <a:effectLst/>
          </c:spPr>
          <c:invertIfNegative val="0"/>
          <c:cat>
            <c:strRef>
              <c:f>List2!$T$20:$T$33</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List2!$Y$20:$Y$33</c:f>
              <c:numCache>
                <c:formatCode>0.00</c:formatCode>
                <c:ptCount val="14"/>
                <c:pt idx="0">
                  <c:v>7.2956873957588755</c:v>
                </c:pt>
                <c:pt idx="1">
                  <c:v>3.6128639854025701</c:v>
                </c:pt>
                <c:pt idx="2">
                  <c:v>4.2115173387729481</c:v>
                </c:pt>
                <c:pt idx="3">
                  <c:v>3.7941227612589117</c:v>
                </c:pt>
                <c:pt idx="4">
                  <c:v>3.4881389909789506</c:v>
                </c:pt>
                <c:pt idx="5">
                  <c:v>3.5218446601941746</c:v>
                </c:pt>
                <c:pt idx="6">
                  <c:v>4.2652084757347914</c:v>
                </c:pt>
                <c:pt idx="7">
                  <c:v>4.1243654822335021</c:v>
                </c:pt>
                <c:pt idx="8">
                  <c:v>4.0065840433772273</c:v>
                </c:pt>
                <c:pt idx="9">
                  <c:v>3.7477936850362816</c:v>
                </c:pt>
                <c:pt idx="10">
                  <c:v>4.9083468326370525</c:v>
                </c:pt>
                <c:pt idx="11">
                  <c:v>3.9436841277332073</c:v>
                </c:pt>
                <c:pt idx="12">
                  <c:v>4.6044763369212376</c:v>
                </c:pt>
                <c:pt idx="13">
                  <c:v>3.9853822780652051</c:v>
                </c:pt>
              </c:numCache>
            </c:numRef>
          </c:val>
          <c:extLst>
            <c:ext xmlns:c16="http://schemas.microsoft.com/office/drawing/2014/chart" uri="{C3380CC4-5D6E-409C-BE32-E72D297353CC}">
              <c16:uniqueId val="{00000004-17F0-1240-B580-3AE3FD72156B}"/>
            </c:ext>
          </c:extLst>
        </c:ser>
        <c:ser>
          <c:idx val="5"/>
          <c:order val="5"/>
          <c:tx>
            <c:strRef>
              <c:f>List2!$Z$19</c:f>
              <c:strCache>
                <c:ptCount val="1"/>
                <c:pt idx="0">
                  <c:v>2015</c:v>
                </c:pt>
              </c:strCache>
            </c:strRef>
          </c:tx>
          <c:spPr>
            <a:solidFill>
              <a:schemeClr val="accent6"/>
            </a:solidFill>
            <a:ln>
              <a:noFill/>
            </a:ln>
            <a:effectLst/>
          </c:spPr>
          <c:invertIfNegative val="0"/>
          <c:cat>
            <c:strRef>
              <c:f>List2!$T$20:$T$33</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List2!$Z$20:$Z$33</c:f>
              <c:numCache>
                <c:formatCode>0.00</c:formatCode>
                <c:ptCount val="14"/>
                <c:pt idx="0">
                  <c:v>7.3428007889546354</c:v>
                </c:pt>
                <c:pt idx="1">
                  <c:v>3.5669605848217647</c:v>
                </c:pt>
                <c:pt idx="2">
                  <c:v>4.20664785199122</c:v>
                </c:pt>
                <c:pt idx="3">
                  <c:v>3.8120013874436349</c:v>
                </c:pt>
                <c:pt idx="4">
                  <c:v>3.5359301544660844</c:v>
                </c:pt>
                <c:pt idx="5">
                  <c:v>3.5739458014339531</c:v>
                </c:pt>
                <c:pt idx="6">
                  <c:v>4.2561419472247497</c:v>
                </c:pt>
                <c:pt idx="7">
                  <c:v>4.1258614435981142</c:v>
                </c:pt>
                <c:pt idx="8">
                  <c:v>4.0496027901569462</c:v>
                </c:pt>
                <c:pt idx="9">
                  <c:v>3.6938174681059861</c:v>
                </c:pt>
                <c:pt idx="10">
                  <c:v>4.9259574468085106</c:v>
                </c:pt>
                <c:pt idx="11">
                  <c:v>3.9719552544509211</c:v>
                </c:pt>
                <c:pt idx="12">
                  <c:v>4.6827432871558061</c:v>
                </c:pt>
                <c:pt idx="13">
                  <c:v>4.0418692821231357</c:v>
                </c:pt>
              </c:numCache>
            </c:numRef>
          </c:val>
          <c:extLst>
            <c:ext xmlns:c16="http://schemas.microsoft.com/office/drawing/2014/chart" uri="{C3380CC4-5D6E-409C-BE32-E72D297353CC}">
              <c16:uniqueId val="{00000005-17F0-1240-B580-3AE3FD72156B}"/>
            </c:ext>
          </c:extLst>
        </c:ser>
        <c:ser>
          <c:idx val="6"/>
          <c:order val="6"/>
          <c:tx>
            <c:strRef>
              <c:f>List2!$AA$19</c:f>
              <c:strCache>
                <c:ptCount val="1"/>
                <c:pt idx="0">
                  <c:v>2016</c:v>
                </c:pt>
              </c:strCache>
            </c:strRef>
          </c:tx>
          <c:spPr>
            <a:solidFill>
              <a:schemeClr val="accent1">
                <a:lumMod val="60000"/>
              </a:schemeClr>
            </a:solidFill>
            <a:ln>
              <a:noFill/>
            </a:ln>
            <a:effectLst/>
          </c:spPr>
          <c:invertIfNegative val="0"/>
          <c:cat>
            <c:strRef>
              <c:f>List2!$T$20:$T$33</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List2!$AA$20:$AA$33</c:f>
              <c:numCache>
                <c:formatCode>0.00</c:formatCode>
                <c:ptCount val="14"/>
                <c:pt idx="0">
                  <c:v>7.564232721593128</c:v>
                </c:pt>
                <c:pt idx="1">
                  <c:v>3.6295743091859594</c:v>
                </c:pt>
                <c:pt idx="2">
                  <c:v>4.2157169693174712</c:v>
                </c:pt>
                <c:pt idx="3">
                  <c:v>3.9267196681645347</c:v>
                </c:pt>
                <c:pt idx="4">
                  <c:v>3.6231884057971016</c:v>
                </c:pt>
                <c:pt idx="5">
                  <c:v>3.7058680301923546</c:v>
                </c:pt>
                <c:pt idx="6">
                  <c:v>4.3985474353154785</c:v>
                </c:pt>
                <c:pt idx="7">
                  <c:v>4.2120551924473499</c:v>
                </c:pt>
                <c:pt idx="8">
                  <c:v>4.2428930574356993</c:v>
                </c:pt>
                <c:pt idx="9">
                  <c:v>3.8133595284872301</c:v>
                </c:pt>
                <c:pt idx="10">
                  <c:v>5.1060400407193764</c:v>
                </c:pt>
                <c:pt idx="11">
                  <c:v>4.1852027133617291</c:v>
                </c:pt>
                <c:pt idx="12">
                  <c:v>4.8381017646051054</c:v>
                </c:pt>
                <c:pt idx="13">
                  <c:v>4.240846350938094</c:v>
                </c:pt>
              </c:numCache>
            </c:numRef>
          </c:val>
          <c:extLst>
            <c:ext xmlns:c16="http://schemas.microsoft.com/office/drawing/2014/chart" uri="{C3380CC4-5D6E-409C-BE32-E72D297353CC}">
              <c16:uniqueId val="{00000006-17F0-1240-B580-3AE3FD72156B}"/>
            </c:ext>
          </c:extLst>
        </c:ser>
        <c:dLbls>
          <c:showLegendKey val="0"/>
          <c:showVal val="0"/>
          <c:showCatName val="0"/>
          <c:showSerName val="0"/>
          <c:showPercent val="0"/>
          <c:showBubbleSize val="0"/>
        </c:dLbls>
        <c:gapWidth val="267"/>
        <c:overlap val="-43"/>
        <c:axId val="46876544"/>
        <c:axId val="46878080"/>
      </c:barChart>
      <c:catAx>
        <c:axId val="468765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46878080"/>
        <c:crosses val="autoZero"/>
        <c:auto val="1"/>
        <c:lblAlgn val="ctr"/>
        <c:lblOffset val="100"/>
        <c:noMultiLvlLbl val="0"/>
      </c:catAx>
      <c:valAx>
        <c:axId val="46878080"/>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468765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List2!$U$36</c:f>
              <c:strCache>
                <c:ptCount val="1"/>
                <c:pt idx="0">
                  <c:v>2010</c:v>
                </c:pt>
              </c:strCache>
            </c:strRef>
          </c:tx>
          <c:spPr>
            <a:solidFill>
              <a:schemeClr val="accent1"/>
            </a:solidFill>
            <a:ln>
              <a:noFill/>
            </a:ln>
            <a:effectLst/>
          </c:spPr>
          <c:invertIfNegative val="0"/>
          <c:cat>
            <c:strRef>
              <c:f>List2!$T$37:$T$50</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List2!$U$37:$U$50</c:f>
              <c:numCache>
                <c:formatCode>0.00</c:formatCode>
                <c:ptCount val="14"/>
                <c:pt idx="0">
                  <c:v>30.152932248770632</c:v>
                </c:pt>
                <c:pt idx="1">
                  <c:v>12.887180646619939</c:v>
                </c:pt>
                <c:pt idx="2">
                  <c:v>13.23926814528124</c:v>
                </c:pt>
                <c:pt idx="3">
                  <c:v>12.607399767500809</c:v>
                </c:pt>
                <c:pt idx="4">
                  <c:v>13.13735184293725</c:v>
                </c:pt>
                <c:pt idx="5">
                  <c:v>11.670424438875898</c:v>
                </c:pt>
                <c:pt idx="6">
                  <c:v>12.794868414472816</c:v>
                </c:pt>
                <c:pt idx="7">
                  <c:v>13.682334089757987</c:v>
                </c:pt>
                <c:pt idx="8">
                  <c:v>12.235963833522829</c:v>
                </c:pt>
                <c:pt idx="9">
                  <c:v>11.221041298640221</c:v>
                </c:pt>
                <c:pt idx="10">
                  <c:v>15.986607243382002</c:v>
                </c:pt>
                <c:pt idx="11">
                  <c:v>12.624653059697886</c:v>
                </c:pt>
                <c:pt idx="12">
                  <c:v>13.417214212998488</c:v>
                </c:pt>
                <c:pt idx="13">
                  <c:v>12.554495584047876</c:v>
                </c:pt>
              </c:numCache>
            </c:numRef>
          </c:val>
          <c:extLst>
            <c:ext xmlns:c16="http://schemas.microsoft.com/office/drawing/2014/chart" uri="{C3380CC4-5D6E-409C-BE32-E72D297353CC}">
              <c16:uniqueId val="{00000000-D089-6D40-B263-3D420070B643}"/>
            </c:ext>
          </c:extLst>
        </c:ser>
        <c:ser>
          <c:idx val="1"/>
          <c:order val="1"/>
          <c:tx>
            <c:strRef>
              <c:f>List2!$V$36</c:f>
              <c:strCache>
                <c:ptCount val="1"/>
                <c:pt idx="0">
                  <c:v>2011</c:v>
                </c:pt>
              </c:strCache>
            </c:strRef>
          </c:tx>
          <c:spPr>
            <a:solidFill>
              <a:schemeClr val="accent2"/>
            </a:solidFill>
            <a:ln>
              <a:noFill/>
            </a:ln>
            <a:effectLst/>
          </c:spPr>
          <c:invertIfNegative val="0"/>
          <c:cat>
            <c:strRef>
              <c:f>List2!$T$37:$T$50</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List2!$V$37:$V$50</c:f>
              <c:numCache>
                <c:formatCode>0.00</c:formatCode>
                <c:ptCount val="14"/>
                <c:pt idx="0">
                  <c:v>33.634828097901121</c:v>
                </c:pt>
                <c:pt idx="1">
                  <c:v>12.765750211689003</c:v>
                </c:pt>
                <c:pt idx="2">
                  <c:v>13.085246742055052</c:v>
                </c:pt>
                <c:pt idx="3">
                  <c:v>12.388516475152098</c:v>
                </c:pt>
                <c:pt idx="4">
                  <c:v>13.317123474971913</c:v>
                </c:pt>
                <c:pt idx="5">
                  <c:v>11.332436232417525</c:v>
                </c:pt>
                <c:pt idx="6">
                  <c:v>12.32277030666557</c:v>
                </c:pt>
                <c:pt idx="7">
                  <c:v>13.271365400234634</c:v>
                </c:pt>
                <c:pt idx="8">
                  <c:v>12.083058923798086</c:v>
                </c:pt>
                <c:pt idx="9">
                  <c:v>10.928332018157244</c:v>
                </c:pt>
                <c:pt idx="10">
                  <c:v>15.819575780524852</c:v>
                </c:pt>
                <c:pt idx="11">
                  <c:v>12.417664295732321</c:v>
                </c:pt>
                <c:pt idx="12">
                  <c:v>13.002123487947681</c:v>
                </c:pt>
                <c:pt idx="13">
                  <c:v>12.296511675074193</c:v>
                </c:pt>
              </c:numCache>
            </c:numRef>
          </c:val>
          <c:extLst>
            <c:ext xmlns:c16="http://schemas.microsoft.com/office/drawing/2014/chart" uri="{C3380CC4-5D6E-409C-BE32-E72D297353CC}">
              <c16:uniqueId val="{00000001-D089-6D40-B263-3D420070B643}"/>
            </c:ext>
          </c:extLst>
        </c:ser>
        <c:ser>
          <c:idx val="2"/>
          <c:order val="2"/>
          <c:tx>
            <c:strRef>
              <c:f>List2!$W$36</c:f>
              <c:strCache>
                <c:ptCount val="1"/>
                <c:pt idx="0">
                  <c:v>2012</c:v>
                </c:pt>
              </c:strCache>
            </c:strRef>
          </c:tx>
          <c:spPr>
            <a:solidFill>
              <a:schemeClr val="accent3"/>
            </a:solidFill>
            <a:ln>
              <a:noFill/>
            </a:ln>
            <a:effectLst/>
          </c:spPr>
          <c:invertIfNegative val="0"/>
          <c:cat>
            <c:strRef>
              <c:f>List2!$T$37:$T$50</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List2!$W$37:$W$50</c:f>
              <c:numCache>
                <c:formatCode>0.00</c:formatCode>
                <c:ptCount val="14"/>
                <c:pt idx="0">
                  <c:v>37.236721795344813</c:v>
                </c:pt>
                <c:pt idx="1">
                  <c:v>12.576094428308675</c:v>
                </c:pt>
                <c:pt idx="2">
                  <c:v>12.908982094245934</c:v>
                </c:pt>
                <c:pt idx="3">
                  <c:v>12.14974322797619</c:v>
                </c:pt>
                <c:pt idx="4">
                  <c:v>13.512259467198717</c:v>
                </c:pt>
                <c:pt idx="5">
                  <c:v>11.1954560188881</c:v>
                </c:pt>
                <c:pt idx="6">
                  <c:v>12.063548520955598</c:v>
                </c:pt>
                <c:pt idx="7">
                  <c:v>13.171268080427382</c:v>
                </c:pt>
                <c:pt idx="8">
                  <c:v>11.933622492448299</c:v>
                </c:pt>
                <c:pt idx="9">
                  <c:v>10.786237277658563</c:v>
                </c:pt>
                <c:pt idx="10">
                  <c:v>15.999657724725107</c:v>
                </c:pt>
                <c:pt idx="11">
                  <c:v>12.407290361334297</c:v>
                </c:pt>
                <c:pt idx="12">
                  <c:v>12.877471741198212</c:v>
                </c:pt>
                <c:pt idx="13">
                  <c:v>12.242764971849057</c:v>
                </c:pt>
              </c:numCache>
            </c:numRef>
          </c:val>
          <c:extLst>
            <c:ext xmlns:c16="http://schemas.microsoft.com/office/drawing/2014/chart" uri="{C3380CC4-5D6E-409C-BE32-E72D297353CC}">
              <c16:uniqueId val="{00000002-D089-6D40-B263-3D420070B643}"/>
            </c:ext>
          </c:extLst>
        </c:ser>
        <c:ser>
          <c:idx val="3"/>
          <c:order val="3"/>
          <c:tx>
            <c:strRef>
              <c:f>List2!$X$36</c:f>
              <c:strCache>
                <c:ptCount val="1"/>
                <c:pt idx="0">
                  <c:v>2013</c:v>
                </c:pt>
              </c:strCache>
            </c:strRef>
          </c:tx>
          <c:spPr>
            <a:solidFill>
              <a:schemeClr val="accent4"/>
            </a:solidFill>
            <a:ln>
              <a:noFill/>
            </a:ln>
            <a:effectLst/>
          </c:spPr>
          <c:invertIfNegative val="0"/>
          <c:cat>
            <c:strRef>
              <c:f>List2!$T$37:$T$50</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List2!$X$37:$X$50</c:f>
              <c:numCache>
                <c:formatCode>0.00</c:formatCode>
                <c:ptCount val="14"/>
                <c:pt idx="0">
                  <c:v>37.882852410833003</c:v>
                </c:pt>
                <c:pt idx="1">
                  <c:v>12.106706717774831</c:v>
                </c:pt>
                <c:pt idx="2">
                  <c:v>12.511249287348813</c:v>
                </c:pt>
                <c:pt idx="3">
                  <c:v>11.923922653186134</c:v>
                </c:pt>
                <c:pt idx="4">
                  <c:v>12.953324742182216</c:v>
                </c:pt>
                <c:pt idx="5">
                  <c:v>10.577855342253248</c:v>
                </c:pt>
                <c:pt idx="6">
                  <c:v>11.513671630085112</c:v>
                </c:pt>
                <c:pt idx="7">
                  <c:v>12.76478549905872</c:v>
                </c:pt>
                <c:pt idx="8">
                  <c:v>11.442193087008343</c:v>
                </c:pt>
                <c:pt idx="9">
                  <c:v>10.409459652808948</c:v>
                </c:pt>
                <c:pt idx="10">
                  <c:v>15.64767477039992</c:v>
                </c:pt>
                <c:pt idx="11">
                  <c:v>11.922571642288277</c:v>
                </c:pt>
                <c:pt idx="12">
                  <c:v>12.360587345364738</c:v>
                </c:pt>
                <c:pt idx="13">
                  <c:v>11.830595368266669</c:v>
                </c:pt>
              </c:numCache>
            </c:numRef>
          </c:val>
          <c:extLst>
            <c:ext xmlns:c16="http://schemas.microsoft.com/office/drawing/2014/chart" uri="{C3380CC4-5D6E-409C-BE32-E72D297353CC}">
              <c16:uniqueId val="{00000003-D089-6D40-B263-3D420070B643}"/>
            </c:ext>
          </c:extLst>
        </c:ser>
        <c:ser>
          <c:idx val="4"/>
          <c:order val="4"/>
          <c:tx>
            <c:strRef>
              <c:f>List2!$Y$36</c:f>
              <c:strCache>
                <c:ptCount val="1"/>
                <c:pt idx="0">
                  <c:v>2014</c:v>
                </c:pt>
              </c:strCache>
            </c:strRef>
          </c:tx>
          <c:spPr>
            <a:solidFill>
              <a:schemeClr val="accent5"/>
            </a:solidFill>
            <a:ln>
              <a:noFill/>
            </a:ln>
            <a:effectLst/>
          </c:spPr>
          <c:invertIfNegative val="0"/>
          <c:cat>
            <c:strRef>
              <c:f>List2!$T$37:$T$50</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List2!$Y$37:$Y$50</c:f>
              <c:numCache>
                <c:formatCode>0.00</c:formatCode>
                <c:ptCount val="14"/>
                <c:pt idx="0">
                  <c:v>39.953141132555004</c:v>
                </c:pt>
                <c:pt idx="1">
                  <c:v>11.93796092146278</c:v>
                </c:pt>
                <c:pt idx="2">
                  <c:v>12.562372509022438</c:v>
                </c:pt>
                <c:pt idx="3">
                  <c:v>11.870978960180839</c:v>
                </c:pt>
                <c:pt idx="4">
                  <c:v>12.462412295355829</c:v>
                </c:pt>
                <c:pt idx="5">
                  <c:v>10.480582524271847</c:v>
                </c:pt>
                <c:pt idx="6">
                  <c:v>11.357940305308727</c:v>
                </c:pt>
                <c:pt idx="7">
                  <c:v>12.398477157360407</c:v>
                </c:pt>
                <c:pt idx="8">
                  <c:v>11.241285824941908</c:v>
                </c:pt>
                <c:pt idx="9">
                  <c:v>10.380466758187881</c:v>
                </c:pt>
                <c:pt idx="10">
                  <c:v>15.829994031886773</c:v>
                </c:pt>
                <c:pt idx="11">
                  <c:v>12.024539877300612</c:v>
                </c:pt>
                <c:pt idx="12">
                  <c:v>12.227917307363747</c:v>
                </c:pt>
                <c:pt idx="13">
                  <c:v>11.802578631846924</c:v>
                </c:pt>
              </c:numCache>
            </c:numRef>
          </c:val>
          <c:extLst>
            <c:ext xmlns:c16="http://schemas.microsoft.com/office/drawing/2014/chart" uri="{C3380CC4-5D6E-409C-BE32-E72D297353CC}">
              <c16:uniqueId val="{00000004-D089-6D40-B263-3D420070B643}"/>
            </c:ext>
          </c:extLst>
        </c:ser>
        <c:ser>
          <c:idx val="5"/>
          <c:order val="5"/>
          <c:tx>
            <c:strRef>
              <c:f>List2!$Z$36</c:f>
              <c:strCache>
                <c:ptCount val="1"/>
                <c:pt idx="0">
                  <c:v>2015</c:v>
                </c:pt>
              </c:strCache>
            </c:strRef>
          </c:tx>
          <c:spPr>
            <a:solidFill>
              <a:schemeClr val="accent6"/>
            </a:solidFill>
            <a:ln>
              <a:noFill/>
            </a:ln>
            <a:effectLst/>
          </c:spPr>
          <c:invertIfNegative val="0"/>
          <c:cat>
            <c:strRef>
              <c:f>List2!$T$37:$T$50</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List2!$Z$37:$Z$50</c:f>
              <c:numCache>
                <c:formatCode>0.00</c:formatCode>
                <c:ptCount val="14"/>
                <c:pt idx="0">
                  <c:v>39.285996055226832</c:v>
                </c:pt>
                <c:pt idx="1">
                  <c:v>11.681362574421581</c:v>
                </c:pt>
                <c:pt idx="2">
                  <c:v>12.698338037002195</c:v>
                </c:pt>
                <c:pt idx="3">
                  <c:v>11.654526534859521</c:v>
                </c:pt>
                <c:pt idx="4">
                  <c:v>12.364002686366685</c:v>
                </c:pt>
                <c:pt idx="5">
                  <c:v>10.562644306720138</c:v>
                </c:pt>
                <c:pt idx="6">
                  <c:v>11.201091901728844</c:v>
                </c:pt>
                <c:pt idx="7">
                  <c:v>12.169024301777295</c:v>
                </c:pt>
                <c:pt idx="8">
                  <c:v>11.100561906607247</c:v>
                </c:pt>
                <c:pt idx="9">
                  <c:v>10.331697742885183</c:v>
                </c:pt>
                <c:pt idx="10">
                  <c:v>15.731914893617024</c:v>
                </c:pt>
                <c:pt idx="11">
                  <c:v>11.947376713407909</c:v>
                </c:pt>
                <c:pt idx="12">
                  <c:v>12.067727039507437</c:v>
                </c:pt>
                <c:pt idx="13">
                  <c:v>11.684661666529299</c:v>
                </c:pt>
              </c:numCache>
            </c:numRef>
          </c:val>
          <c:extLst>
            <c:ext xmlns:c16="http://schemas.microsoft.com/office/drawing/2014/chart" uri="{C3380CC4-5D6E-409C-BE32-E72D297353CC}">
              <c16:uniqueId val="{00000005-D089-6D40-B263-3D420070B643}"/>
            </c:ext>
          </c:extLst>
        </c:ser>
        <c:ser>
          <c:idx val="6"/>
          <c:order val="6"/>
          <c:tx>
            <c:strRef>
              <c:f>List2!$AA$36</c:f>
              <c:strCache>
                <c:ptCount val="1"/>
                <c:pt idx="0">
                  <c:v>2016</c:v>
                </c:pt>
              </c:strCache>
            </c:strRef>
          </c:tx>
          <c:spPr>
            <a:solidFill>
              <a:schemeClr val="accent1">
                <a:lumMod val="60000"/>
              </a:schemeClr>
            </a:solidFill>
            <a:ln>
              <a:noFill/>
            </a:ln>
            <a:effectLst/>
          </c:spPr>
          <c:invertIfNegative val="0"/>
          <c:cat>
            <c:strRef>
              <c:f>List2!$T$37:$T$50</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List2!$AA$37:$AA$50</c:f>
              <c:numCache>
                <c:formatCode>0.00</c:formatCode>
                <c:ptCount val="14"/>
                <c:pt idx="0">
                  <c:v>39.751659508004686</c:v>
                </c:pt>
                <c:pt idx="1">
                  <c:v>11.734876773711726</c:v>
                </c:pt>
                <c:pt idx="2">
                  <c:v>12.74733876017533</c:v>
                </c:pt>
                <c:pt idx="3">
                  <c:v>11.799170411337711</c:v>
                </c:pt>
                <c:pt idx="4">
                  <c:v>12.413211998651839</c:v>
                </c:pt>
                <c:pt idx="5">
                  <c:v>10.714633552471392</c:v>
                </c:pt>
                <c:pt idx="6">
                  <c:v>11.330004539264641</c:v>
                </c:pt>
                <c:pt idx="7">
                  <c:v>12.405591866376183</c:v>
                </c:pt>
                <c:pt idx="8">
                  <c:v>11.336298588280796</c:v>
                </c:pt>
                <c:pt idx="9">
                  <c:v>10.467583497053045</c:v>
                </c:pt>
                <c:pt idx="10">
                  <c:v>16.085001696640653</c:v>
                </c:pt>
                <c:pt idx="11">
                  <c:v>12.389966871746335</c:v>
                </c:pt>
                <c:pt idx="12">
                  <c:v>12.364228199417507</c:v>
                </c:pt>
                <c:pt idx="13">
                  <c:v>11.854698735432683</c:v>
                </c:pt>
              </c:numCache>
            </c:numRef>
          </c:val>
          <c:extLst>
            <c:ext xmlns:c16="http://schemas.microsoft.com/office/drawing/2014/chart" uri="{C3380CC4-5D6E-409C-BE32-E72D297353CC}">
              <c16:uniqueId val="{00000006-D089-6D40-B263-3D420070B643}"/>
            </c:ext>
          </c:extLst>
        </c:ser>
        <c:dLbls>
          <c:showLegendKey val="0"/>
          <c:showVal val="0"/>
          <c:showCatName val="0"/>
          <c:showSerName val="0"/>
          <c:showPercent val="0"/>
          <c:showBubbleSize val="0"/>
        </c:dLbls>
        <c:gapWidth val="267"/>
        <c:overlap val="-43"/>
        <c:axId val="75045120"/>
        <c:axId val="75055104"/>
      </c:barChart>
      <c:catAx>
        <c:axId val="7504512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75055104"/>
        <c:crosses val="autoZero"/>
        <c:auto val="1"/>
        <c:lblAlgn val="ctr"/>
        <c:lblOffset val="100"/>
        <c:noMultiLvlLbl val="0"/>
      </c:catAx>
      <c:valAx>
        <c:axId val="75055104"/>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7504512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EU!$U$58</c:f>
              <c:strCache>
                <c:ptCount val="1"/>
                <c:pt idx="0">
                  <c:v>2010</c:v>
                </c:pt>
              </c:strCache>
            </c:strRef>
          </c:tx>
          <c:spPr>
            <a:solidFill>
              <a:schemeClr val="accent5">
                <a:tint val="77000"/>
              </a:schemeClr>
            </a:solidFill>
            <a:ln>
              <a:noFill/>
            </a:ln>
            <a:effectLst/>
          </c:spPr>
          <c:invertIfNegative val="0"/>
          <c:cat>
            <c:strRef>
              <c:f>EU!$T$59:$T$86</c:f>
              <c:strCache>
                <c:ptCount val="28"/>
                <c:pt idx="0">
                  <c:v>Dánsko</c:v>
                </c:pt>
                <c:pt idx="1">
                  <c:v>Rakousko</c:v>
                </c:pt>
                <c:pt idx="2">
                  <c:v>Švédsko</c:v>
                </c:pt>
                <c:pt idx="3">
                  <c:v>Německo</c:v>
                </c:pt>
                <c:pt idx="4">
                  <c:v>Lucembursko</c:v>
                </c:pt>
                <c:pt idx="5">
                  <c:v>Finsko</c:v>
                </c:pt>
                <c:pt idx="6">
                  <c:v>Nizozemsko</c:v>
                </c:pt>
                <c:pt idx="7">
                  <c:v>Spojené království</c:v>
                </c:pt>
                <c:pt idx="8">
                  <c:v>Česká republika</c:v>
                </c:pt>
                <c:pt idx="9">
                  <c:v>Slovinsko</c:v>
                </c:pt>
                <c:pt idx="10">
                  <c:v>Belgie</c:v>
                </c:pt>
                <c:pt idx="11">
                  <c:v>Estonsko</c:v>
                </c:pt>
                <c:pt idx="12">
                  <c:v>Francie</c:v>
                </c:pt>
                <c:pt idx="13">
                  <c:v>Chorvatsko</c:v>
                </c:pt>
                <c:pt idx="14">
                  <c:v>Itálie</c:v>
                </c:pt>
                <c:pt idx="15">
                  <c:v>Maďarsko</c:v>
                </c:pt>
                <c:pt idx="16">
                  <c:v>Irsko</c:v>
                </c:pt>
                <c:pt idx="17">
                  <c:v>Slovensko</c:v>
                </c:pt>
                <c:pt idx="18">
                  <c:v>Portugalsko</c:v>
                </c:pt>
                <c:pt idx="19">
                  <c:v>Lotyšsko</c:v>
                </c:pt>
                <c:pt idx="20">
                  <c:v>Malta</c:v>
                </c:pt>
                <c:pt idx="21">
                  <c:v>Rumunsko</c:v>
                </c:pt>
                <c:pt idx="22">
                  <c:v>Polsko</c:v>
                </c:pt>
                <c:pt idx="23">
                  <c:v>Řecko</c:v>
                </c:pt>
                <c:pt idx="24">
                  <c:v>Španělsko</c:v>
                </c:pt>
                <c:pt idx="25">
                  <c:v>Bulharsko</c:v>
                </c:pt>
                <c:pt idx="26">
                  <c:v>Litva</c:v>
                </c:pt>
                <c:pt idx="27">
                  <c:v>Kypr</c:v>
                </c:pt>
              </c:strCache>
            </c:strRef>
          </c:cat>
          <c:val>
            <c:numRef>
              <c:f>EU!$U$59:$U$86</c:f>
              <c:numCache>
                <c:formatCode>0.0</c:formatCode>
                <c:ptCount val="28"/>
                <c:pt idx="0">
                  <c:v>51.160541586073506</c:v>
                </c:pt>
                <c:pt idx="1">
                  <c:v>37.337683958180726</c:v>
                </c:pt>
                <c:pt idx="2">
                  <c:v>33.830355886903924</c:v>
                </c:pt>
                <c:pt idx="3">
                  <c:v>30.799318022264565</c:v>
                </c:pt>
                <c:pt idx="4">
                  <c:v>24.09090909090909</c:v>
                </c:pt>
                <c:pt idx="5">
                  <c:v>26.491310474401125</c:v>
                </c:pt>
                <c:pt idx="6">
                  <c:v>24.557522123893804</c:v>
                </c:pt>
                <c:pt idx="7">
                  <c:v>17.532397408207341</c:v>
                </c:pt>
                <c:pt idx="8">
                  <c:v>15.048118985126861</c:v>
                </c:pt>
                <c:pt idx="9">
                  <c:v>16.77160080375084</c:v>
                </c:pt>
                <c:pt idx="10">
                  <c:v>7.8413068844807459</c:v>
                </c:pt>
                <c:pt idx="11">
                  <c:v>13.513513513513514</c:v>
                </c:pt>
                <c:pt idx="12">
                  <c:v>9.3683394690951367</c:v>
                </c:pt>
                <c:pt idx="13">
                  <c:v>5.9456447187928667</c:v>
                </c:pt>
                <c:pt idx="14">
                  <c:v>4.6980652485069836</c:v>
                </c:pt>
                <c:pt idx="15">
                  <c:v>8.1950729009552532</c:v>
                </c:pt>
                <c:pt idx="16">
                  <c:v>9.207234255486453</c:v>
                </c:pt>
                <c:pt idx="17">
                  <c:v>5.9280457890433365</c:v>
                </c:pt>
                <c:pt idx="18">
                  <c:v>4.9824745307432767</c:v>
                </c:pt>
                <c:pt idx="19">
                  <c:v>5.0005995922772515</c:v>
                </c:pt>
                <c:pt idx="20">
                  <c:v>2.1548284118116521</c:v>
                </c:pt>
                <c:pt idx="21">
                  <c:v>1.1077884655251047</c:v>
                </c:pt>
                <c:pt idx="22">
                  <c:v>3.2974472660657632</c:v>
                </c:pt>
                <c:pt idx="23">
                  <c:v>1.4452465908776588</c:v>
                </c:pt>
                <c:pt idx="24">
                  <c:v>2.1004243281471005</c:v>
                </c:pt>
                <c:pt idx="25">
                  <c:v>1.1282355799076897</c:v>
                </c:pt>
                <c:pt idx="26">
                  <c:v>0.75533990295633036</c:v>
                </c:pt>
                <c:pt idx="27">
                  <c:v>1.0036026762738035</c:v>
                </c:pt>
              </c:numCache>
            </c:numRef>
          </c:val>
          <c:extLst>
            <c:ext xmlns:c16="http://schemas.microsoft.com/office/drawing/2014/chart" uri="{C3380CC4-5D6E-409C-BE32-E72D297353CC}">
              <c16:uniqueId val="{00000000-4A13-634F-8A99-A09C0DF081BA}"/>
            </c:ext>
          </c:extLst>
        </c:ser>
        <c:ser>
          <c:idx val="1"/>
          <c:order val="1"/>
          <c:tx>
            <c:strRef>
              <c:f>EU!$V$58</c:f>
              <c:strCache>
                <c:ptCount val="1"/>
                <c:pt idx="0">
                  <c:v>2013</c:v>
                </c:pt>
              </c:strCache>
            </c:strRef>
          </c:tx>
          <c:spPr>
            <a:solidFill>
              <a:schemeClr val="accent5">
                <a:shade val="76000"/>
              </a:schemeClr>
            </a:solidFill>
            <a:ln>
              <a:noFill/>
            </a:ln>
            <a:effectLst/>
          </c:spPr>
          <c:invertIfNegative val="0"/>
          <c:cat>
            <c:strRef>
              <c:f>EU!$T$59:$T$86</c:f>
              <c:strCache>
                <c:ptCount val="28"/>
                <c:pt idx="0">
                  <c:v>Dánsko</c:v>
                </c:pt>
                <c:pt idx="1">
                  <c:v>Rakousko</c:v>
                </c:pt>
                <c:pt idx="2">
                  <c:v>Švédsko</c:v>
                </c:pt>
                <c:pt idx="3">
                  <c:v>Německo</c:v>
                </c:pt>
                <c:pt idx="4">
                  <c:v>Lucembursko</c:v>
                </c:pt>
                <c:pt idx="5">
                  <c:v>Finsko</c:v>
                </c:pt>
                <c:pt idx="6">
                  <c:v>Nizozemsko</c:v>
                </c:pt>
                <c:pt idx="7">
                  <c:v>Spojené království</c:v>
                </c:pt>
                <c:pt idx="8">
                  <c:v>Česká republika</c:v>
                </c:pt>
                <c:pt idx="9">
                  <c:v>Slovinsko</c:v>
                </c:pt>
                <c:pt idx="10">
                  <c:v>Belgie</c:v>
                </c:pt>
                <c:pt idx="11">
                  <c:v>Estonsko</c:v>
                </c:pt>
                <c:pt idx="12">
                  <c:v>Francie</c:v>
                </c:pt>
                <c:pt idx="13">
                  <c:v>Chorvatsko</c:v>
                </c:pt>
                <c:pt idx="14">
                  <c:v>Itálie</c:v>
                </c:pt>
                <c:pt idx="15">
                  <c:v>Maďarsko</c:v>
                </c:pt>
                <c:pt idx="16">
                  <c:v>Irsko</c:v>
                </c:pt>
                <c:pt idx="17">
                  <c:v>Slovensko</c:v>
                </c:pt>
                <c:pt idx="18">
                  <c:v>Portugalsko</c:v>
                </c:pt>
                <c:pt idx="19">
                  <c:v>Lotyšsko</c:v>
                </c:pt>
                <c:pt idx="20">
                  <c:v>Malta</c:v>
                </c:pt>
                <c:pt idx="21">
                  <c:v>Rumunsko</c:v>
                </c:pt>
                <c:pt idx="22">
                  <c:v>Polsko</c:v>
                </c:pt>
                <c:pt idx="23">
                  <c:v>Řecko</c:v>
                </c:pt>
                <c:pt idx="24">
                  <c:v>Španělsko</c:v>
                </c:pt>
                <c:pt idx="25">
                  <c:v>Bulharsko</c:v>
                </c:pt>
                <c:pt idx="26">
                  <c:v>Litva</c:v>
                </c:pt>
                <c:pt idx="27">
                  <c:v>Kypr</c:v>
                </c:pt>
              </c:strCache>
            </c:strRef>
          </c:cat>
          <c:val>
            <c:numRef>
              <c:f>EU!$V$59:$V$86</c:f>
              <c:numCache>
                <c:formatCode>0.0</c:formatCode>
                <c:ptCount val="28"/>
                <c:pt idx="0">
                  <c:v>60.135841170323936</c:v>
                </c:pt>
                <c:pt idx="1">
                  <c:v>51.712597023428039</c:v>
                </c:pt>
                <c:pt idx="2">
                  <c:v>37.319434102755025</c:v>
                </c:pt>
                <c:pt idx="3">
                  <c:v>33.010560291899097</c:v>
                </c:pt>
                <c:pt idx="4">
                  <c:v>30.288461538461537</c:v>
                </c:pt>
                <c:pt idx="5">
                  <c:v>28.455882352941174</c:v>
                </c:pt>
                <c:pt idx="6">
                  <c:v>26.052163604030827</c:v>
                </c:pt>
                <c:pt idx="7">
                  <c:v>23.650568181818183</c:v>
                </c:pt>
                <c:pt idx="8">
                  <c:v>18.628571428571426</c:v>
                </c:pt>
                <c:pt idx="9">
                  <c:v>16.137054434926775</c:v>
                </c:pt>
                <c:pt idx="10">
                  <c:v>15.015889830508474</c:v>
                </c:pt>
                <c:pt idx="11">
                  <c:v>14.486711829077645</c:v>
                </c:pt>
                <c:pt idx="12">
                  <c:v>10.510154380466318</c:v>
                </c:pt>
                <c:pt idx="13">
                  <c:v>10.315040650406504</c:v>
                </c:pt>
                <c:pt idx="14">
                  <c:v>9.9056743836172334</c:v>
                </c:pt>
                <c:pt idx="15">
                  <c:v>9.1974843791341865</c:v>
                </c:pt>
                <c:pt idx="16">
                  <c:v>8.6461318051575926</c:v>
                </c:pt>
                <c:pt idx="17">
                  <c:v>7.8489605430632157</c:v>
                </c:pt>
                <c:pt idx="18">
                  <c:v>5.793812873458891</c:v>
                </c:pt>
                <c:pt idx="19">
                  <c:v>4.6332518337408315</c:v>
                </c:pt>
                <c:pt idx="20">
                  <c:v>2.9914529914529915</c:v>
                </c:pt>
                <c:pt idx="21">
                  <c:v>2.806598965192332</c:v>
                </c:pt>
                <c:pt idx="22">
                  <c:v>2.5808076920385439</c:v>
                </c:pt>
                <c:pt idx="23">
                  <c:v>1.9408033826638478</c:v>
                </c:pt>
                <c:pt idx="24">
                  <c:v>1.6383419689119172</c:v>
                </c:pt>
                <c:pt idx="25">
                  <c:v>1.1595456153453088</c:v>
                </c:pt>
                <c:pt idx="26">
                  <c:v>1.0942956926658907</c:v>
                </c:pt>
                <c:pt idx="27">
                  <c:v>0.67834934991520635</c:v>
                </c:pt>
              </c:numCache>
            </c:numRef>
          </c:val>
          <c:extLst>
            <c:ext xmlns:c16="http://schemas.microsoft.com/office/drawing/2014/chart" uri="{C3380CC4-5D6E-409C-BE32-E72D297353CC}">
              <c16:uniqueId val="{00000001-4A13-634F-8A99-A09C0DF081BA}"/>
            </c:ext>
          </c:extLst>
        </c:ser>
        <c:dLbls>
          <c:showLegendKey val="0"/>
          <c:showVal val="0"/>
          <c:showCatName val="0"/>
          <c:showSerName val="0"/>
          <c:showPercent val="0"/>
          <c:showBubbleSize val="0"/>
        </c:dLbls>
        <c:gapWidth val="219"/>
        <c:overlap val="-27"/>
        <c:axId val="75069696"/>
        <c:axId val="75071488"/>
      </c:barChart>
      <c:catAx>
        <c:axId val="7506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5071488"/>
        <c:crosses val="autoZero"/>
        <c:auto val="1"/>
        <c:lblAlgn val="ctr"/>
        <c:lblOffset val="100"/>
        <c:noMultiLvlLbl val="0"/>
      </c:catAx>
      <c:valAx>
        <c:axId val="75071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v %</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506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vyhodnoc!$B$5</c:f>
              <c:strCache>
                <c:ptCount val="1"/>
                <c:pt idx="0">
                  <c:v>Fyzické osoby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noFill/>
                <a:prstDash val="sysDot"/>
              </a:ln>
              <a:effectLst/>
            </c:spPr>
            <c:trendlineType val="linear"/>
            <c:dispRSqr val="0"/>
            <c:dispEq val="0"/>
          </c:trendline>
          <c:cat>
            <c:strRef>
              <c:f>vyhodnoc!$C$4:$L$4</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vyhodnoc!$C$5:$L$5</c:f>
              <c:numCache>
                <c:formatCode>0.0</c:formatCode>
                <c:ptCount val="10"/>
                <c:pt idx="0">
                  <c:v>2.5996361548610207</c:v>
                </c:pt>
                <c:pt idx="1">
                  <c:v>3.0529567837056342</c:v>
                </c:pt>
                <c:pt idx="2">
                  <c:v>5.3008948054074505</c:v>
                </c:pt>
                <c:pt idx="3">
                  <c:v>2.8673512216673775</c:v>
                </c:pt>
                <c:pt idx="4">
                  <c:v>4.5649838804349594</c:v>
                </c:pt>
                <c:pt idx="5">
                  <c:v>4.3687703702934595</c:v>
                </c:pt>
                <c:pt idx="6">
                  <c:v>4.6894712990532774</c:v>
                </c:pt>
                <c:pt idx="7">
                  <c:v>3.5656268910876996</c:v>
                </c:pt>
                <c:pt idx="8" formatCode="0.00">
                  <c:v>4.8742600020420204</c:v>
                </c:pt>
                <c:pt idx="9">
                  <c:v>6.9108656566212359</c:v>
                </c:pt>
              </c:numCache>
            </c:numRef>
          </c:val>
          <c:smooth val="0"/>
          <c:extLst>
            <c:ext xmlns:c16="http://schemas.microsoft.com/office/drawing/2014/chart" uri="{C3380CC4-5D6E-409C-BE32-E72D297353CC}">
              <c16:uniqueId val="{00000001-0E54-B34F-9B31-B5C81192E2F2}"/>
            </c:ext>
          </c:extLst>
        </c:ser>
        <c:ser>
          <c:idx val="1"/>
          <c:order val="1"/>
          <c:tx>
            <c:strRef>
              <c:f>vyhodnoc!$B$6</c:f>
              <c:strCache>
                <c:ptCount val="1"/>
                <c:pt idx="0">
                  <c:v>právnické osoby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noFill/>
                <a:prstDash val="sysDot"/>
              </a:ln>
              <a:effectLst/>
            </c:spPr>
            <c:trendlineType val="linear"/>
            <c:dispRSqr val="0"/>
            <c:dispEq val="0"/>
          </c:trendline>
          <c:cat>
            <c:strRef>
              <c:f>vyhodnoc!$C$4:$L$4</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vyhodnoc!$C$6:$L$6</c:f>
              <c:numCache>
                <c:formatCode>0.0</c:formatCode>
                <c:ptCount val="10"/>
                <c:pt idx="0">
                  <c:v>5.6627445094359814</c:v>
                </c:pt>
                <c:pt idx="1">
                  <c:v>6.6132413358761175</c:v>
                </c:pt>
                <c:pt idx="2">
                  <c:v>8.1855086497937553</c:v>
                </c:pt>
                <c:pt idx="3">
                  <c:v>7.9611627893867913</c:v>
                </c:pt>
                <c:pt idx="4">
                  <c:v>8.4990787874076084</c:v>
                </c:pt>
                <c:pt idx="5">
                  <c:v>10.665841600295648</c:v>
                </c:pt>
                <c:pt idx="6">
                  <c:v>9.5505579185527498</c:v>
                </c:pt>
                <c:pt idx="7">
                  <c:v>12.573519508744802</c:v>
                </c:pt>
                <c:pt idx="8" formatCode="0.00">
                  <c:v>12.924076727086389</c:v>
                </c:pt>
                <c:pt idx="9">
                  <c:v>14.017358567612007</c:v>
                </c:pt>
              </c:numCache>
            </c:numRef>
          </c:val>
          <c:smooth val="0"/>
          <c:extLst>
            <c:ext xmlns:c16="http://schemas.microsoft.com/office/drawing/2014/chart" uri="{C3380CC4-5D6E-409C-BE32-E72D297353CC}">
              <c16:uniqueId val="{00000003-0E54-B34F-9B31-B5C81192E2F2}"/>
            </c:ext>
          </c:extLst>
        </c:ser>
        <c:dLbls>
          <c:showLegendKey val="0"/>
          <c:showVal val="0"/>
          <c:showCatName val="0"/>
          <c:showSerName val="0"/>
          <c:showPercent val="0"/>
          <c:showBubbleSize val="0"/>
        </c:dLbls>
        <c:marker val="1"/>
        <c:smooth val="0"/>
        <c:axId val="75094656"/>
        <c:axId val="75096448"/>
      </c:lineChart>
      <c:catAx>
        <c:axId val="7509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5096448"/>
        <c:crosses val="autoZero"/>
        <c:auto val="1"/>
        <c:lblAlgn val="ctr"/>
        <c:lblOffset val="100"/>
        <c:noMultiLvlLbl val="0"/>
      </c:catAx>
      <c:valAx>
        <c:axId val="75096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5094656"/>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D3-7E41-9459-A4C6480696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D3-7E41-9459-A4C6480696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D3-7E41-9459-A4C6480696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D3-7E41-9459-A4C6480696D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5D3-7E41-9459-A4C6480696D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5D3-7E41-9459-A4C6480696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'[F16_C_A.xls]A1'!$B$54:$B$59</c:f>
              <c:strCache>
                <c:ptCount val="6"/>
                <c:pt idx="0">
                  <c:v>Ostatní produkce OGA RV</c:v>
                </c:pt>
                <c:pt idx="1">
                  <c:v>Ostatní produkce OGA ŽV</c:v>
                </c:pt>
                <c:pt idx="2">
                  <c:v>Ostatní produkce OGA služby</c:v>
                </c:pt>
                <c:pt idx="3">
                  <c:v>Ostatní produkce OGA agroturistika</c:v>
                </c:pt>
                <c:pt idx="4">
                  <c:v>Ostatní produkce OGA OZE</c:v>
                </c:pt>
                <c:pt idx="5">
                  <c:v>Ostatní produkce OGA - ostatní</c:v>
                </c:pt>
              </c:strCache>
            </c:strRef>
          </c:cat>
          <c:val>
            <c:numRef>
              <c:f>'[F16_C_A.xls]A1'!$K$54:$K$59</c:f>
              <c:numCache>
                <c:formatCode>#,##0</c:formatCode>
                <c:ptCount val="6"/>
                <c:pt idx="0">
                  <c:v>1027.6097249320728</c:v>
                </c:pt>
                <c:pt idx="1">
                  <c:v>387.97350767168439</c:v>
                </c:pt>
                <c:pt idx="2">
                  <c:v>1138.3831528346093</c:v>
                </c:pt>
                <c:pt idx="3">
                  <c:v>151.24566976862789</c:v>
                </c:pt>
                <c:pt idx="4">
                  <c:v>526.50263385900871</c:v>
                </c:pt>
                <c:pt idx="5">
                  <c:v>1402.1162289374975</c:v>
                </c:pt>
              </c:numCache>
            </c:numRef>
          </c:val>
          <c:extLst>
            <c:ext xmlns:c16="http://schemas.microsoft.com/office/drawing/2014/chart" uri="{C3380CC4-5D6E-409C-BE32-E72D297353CC}">
              <c16:uniqueId val="{0000000C-95D3-7E41-9459-A4C6480696D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'podíly Agroturistiky'!$B$4</c:f>
              <c:strCache>
                <c:ptCount val="1"/>
                <c:pt idx="0">
                  <c:v>H</c:v>
                </c:pt>
              </c:strCache>
            </c:strRef>
          </c:tx>
          <c:spPr>
            <a:ln w="28575" cap="rnd">
              <a:solidFill>
                <a:schemeClr val="accent1"/>
              </a:solidFill>
              <a:round/>
            </a:ln>
            <a:effectLst/>
          </c:spPr>
          <c:marker>
            <c:symbol val="none"/>
          </c:marker>
          <c:cat>
            <c:numRef>
              <c:f>'podíly Agroturistiky'!$C$3:$E$3</c:f>
              <c:numCache>
                <c:formatCode>General</c:formatCode>
                <c:ptCount val="3"/>
                <c:pt idx="0">
                  <c:v>2014</c:v>
                </c:pt>
                <c:pt idx="1">
                  <c:v>2015</c:v>
                </c:pt>
                <c:pt idx="2">
                  <c:v>2016</c:v>
                </c:pt>
              </c:numCache>
            </c:numRef>
          </c:cat>
          <c:val>
            <c:numRef>
              <c:f>'podíly Agroturistiky'!$C$4:$E$4</c:f>
              <c:numCache>
                <c:formatCode>0.00</c:formatCode>
                <c:ptCount val="3"/>
                <c:pt idx="0">
                  <c:v>7.4437684851157524</c:v>
                </c:pt>
                <c:pt idx="1">
                  <c:v>4.982539508064515</c:v>
                </c:pt>
                <c:pt idx="2">
                  <c:v>4.0608133254270022</c:v>
                </c:pt>
              </c:numCache>
            </c:numRef>
          </c:val>
          <c:smooth val="0"/>
          <c:extLst>
            <c:ext xmlns:c16="http://schemas.microsoft.com/office/drawing/2014/chart" uri="{C3380CC4-5D6E-409C-BE32-E72D297353CC}">
              <c16:uniqueId val="{00000000-A43F-4E40-A21F-BAAD8A8AE200}"/>
            </c:ext>
          </c:extLst>
        </c:ser>
        <c:ser>
          <c:idx val="1"/>
          <c:order val="1"/>
          <c:tx>
            <c:strRef>
              <c:f>'podíly Agroturistiky'!$B$5</c:f>
              <c:strCache>
                <c:ptCount val="1"/>
                <c:pt idx="0">
                  <c:v>J</c:v>
                </c:pt>
              </c:strCache>
            </c:strRef>
          </c:tx>
          <c:spPr>
            <a:ln w="28575" cap="rnd">
              <a:solidFill>
                <a:schemeClr val="accent2"/>
              </a:solidFill>
              <a:round/>
            </a:ln>
            <a:effectLst/>
          </c:spPr>
          <c:marker>
            <c:symbol val="none"/>
          </c:marker>
          <c:cat>
            <c:numRef>
              <c:f>'podíly Agroturistiky'!$C$3:$E$3</c:f>
              <c:numCache>
                <c:formatCode>General</c:formatCode>
                <c:ptCount val="3"/>
                <c:pt idx="0">
                  <c:v>2014</c:v>
                </c:pt>
                <c:pt idx="1">
                  <c:v>2015</c:v>
                </c:pt>
                <c:pt idx="2">
                  <c:v>2016</c:v>
                </c:pt>
              </c:numCache>
            </c:numRef>
          </c:cat>
          <c:val>
            <c:numRef>
              <c:f>'podíly Agroturistiky'!$C$5:$E$5</c:f>
              <c:numCache>
                <c:formatCode>0.00</c:formatCode>
                <c:ptCount val="3"/>
                <c:pt idx="0">
                  <c:v>5.0638196361931902</c:v>
                </c:pt>
                <c:pt idx="1">
                  <c:v>6.3821321063974601</c:v>
                </c:pt>
                <c:pt idx="2">
                  <c:v>3.990300090871028</c:v>
                </c:pt>
              </c:numCache>
            </c:numRef>
          </c:val>
          <c:smooth val="0"/>
          <c:extLst>
            <c:ext xmlns:c16="http://schemas.microsoft.com/office/drawing/2014/chart" uri="{C3380CC4-5D6E-409C-BE32-E72D297353CC}">
              <c16:uniqueId val="{00000001-A43F-4E40-A21F-BAAD8A8AE200}"/>
            </c:ext>
          </c:extLst>
        </c:ser>
        <c:ser>
          <c:idx val="2"/>
          <c:order val="2"/>
          <c:tx>
            <c:strRef>
              <c:f>'podíly Agroturistiky'!$B$6</c:f>
              <c:strCache>
                <c:ptCount val="1"/>
                <c:pt idx="0">
                  <c:v>N</c:v>
                </c:pt>
              </c:strCache>
            </c:strRef>
          </c:tx>
          <c:spPr>
            <a:ln w="28575" cap="rnd">
              <a:solidFill>
                <a:schemeClr val="accent3"/>
              </a:solidFill>
              <a:round/>
            </a:ln>
            <a:effectLst/>
          </c:spPr>
          <c:marker>
            <c:symbol val="none"/>
          </c:marker>
          <c:cat>
            <c:numRef>
              <c:f>'podíly Agroturistiky'!$C$3:$E$3</c:f>
              <c:numCache>
                <c:formatCode>General</c:formatCode>
                <c:ptCount val="3"/>
                <c:pt idx="0">
                  <c:v>2014</c:v>
                </c:pt>
                <c:pt idx="1">
                  <c:v>2015</c:v>
                </c:pt>
                <c:pt idx="2">
                  <c:v>2016</c:v>
                </c:pt>
              </c:numCache>
            </c:numRef>
          </c:cat>
          <c:val>
            <c:numRef>
              <c:f>'podíly Agroturistiky'!$C$6:$E$6</c:f>
              <c:numCache>
                <c:formatCode>0.00</c:formatCode>
                <c:ptCount val="3"/>
                <c:pt idx="0">
                  <c:v>1.958664128118917</c:v>
                </c:pt>
                <c:pt idx="1">
                  <c:v>2.6390638819617278</c:v>
                </c:pt>
                <c:pt idx="2">
                  <c:v>2.7334269443641674</c:v>
                </c:pt>
              </c:numCache>
            </c:numRef>
          </c:val>
          <c:smooth val="0"/>
          <c:extLst>
            <c:ext xmlns:c16="http://schemas.microsoft.com/office/drawing/2014/chart" uri="{C3380CC4-5D6E-409C-BE32-E72D297353CC}">
              <c16:uniqueId val="{00000002-A43F-4E40-A21F-BAAD8A8AE200}"/>
            </c:ext>
          </c:extLst>
        </c:ser>
        <c:dLbls>
          <c:showLegendKey val="0"/>
          <c:showVal val="0"/>
          <c:showCatName val="0"/>
          <c:showSerName val="0"/>
          <c:showPercent val="0"/>
          <c:showBubbleSize val="0"/>
        </c:dLbls>
        <c:smooth val="0"/>
        <c:axId val="80874496"/>
        <c:axId val="81138432"/>
      </c:lineChart>
      <c:catAx>
        <c:axId val="8087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1138432"/>
        <c:crosses val="autoZero"/>
        <c:auto val="1"/>
        <c:lblAlgn val="ctr"/>
        <c:lblOffset val="100"/>
        <c:noMultiLvlLbl val="0"/>
      </c:catAx>
      <c:valAx>
        <c:axId val="81138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087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'podíly Agroturistiky'!$B$14</c:f>
              <c:strCache>
                <c:ptCount val="1"/>
                <c:pt idx="0">
                  <c:v>H</c:v>
                </c:pt>
              </c:strCache>
            </c:strRef>
          </c:tx>
          <c:spPr>
            <a:ln w="28575" cap="rnd">
              <a:solidFill>
                <a:schemeClr val="accent1"/>
              </a:solidFill>
              <a:round/>
            </a:ln>
            <a:effectLst/>
          </c:spPr>
          <c:marker>
            <c:symbol val="none"/>
          </c:marker>
          <c:cat>
            <c:numRef>
              <c:f>'podíly Agroturistiky'!$C$13:$E$13</c:f>
              <c:numCache>
                <c:formatCode>General</c:formatCode>
                <c:ptCount val="3"/>
                <c:pt idx="0">
                  <c:v>2014</c:v>
                </c:pt>
                <c:pt idx="1">
                  <c:v>2015</c:v>
                </c:pt>
                <c:pt idx="2">
                  <c:v>2016</c:v>
                </c:pt>
              </c:numCache>
            </c:numRef>
          </c:cat>
          <c:val>
            <c:numRef>
              <c:f>'podíly Agroturistiky'!$C$14:$E$14</c:f>
              <c:numCache>
                <c:formatCode>0.00</c:formatCode>
                <c:ptCount val="3"/>
                <c:pt idx="0">
                  <c:v>6.0627889944211022</c:v>
                </c:pt>
                <c:pt idx="1">
                  <c:v>8.0502325763484741</c:v>
                </c:pt>
                <c:pt idx="2">
                  <c:v>5.5919379764344042</c:v>
                </c:pt>
              </c:numCache>
            </c:numRef>
          </c:val>
          <c:smooth val="0"/>
          <c:extLst>
            <c:ext xmlns:c16="http://schemas.microsoft.com/office/drawing/2014/chart" uri="{C3380CC4-5D6E-409C-BE32-E72D297353CC}">
              <c16:uniqueId val="{00000000-FE34-0D48-BC41-2472284EC948}"/>
            </c:ext>
          </c:extLst>
        </c:ser>
        <c:ser>
          <c:idx val="1"/>
          <c:order val="1"/>
          <c:tx>
            <c:strRef>
              <c:f>'podíly Agroturistiky'!$B$15</c:f>
              <c:strCache>
                <c:ptCount val="1"/>
                <c:pt idx="0">
                  <c:v>J</c:v>
                </c:pt>
              </c:strCache>
            </c:strRef>
          </c:tx>
          <c:spPr>
            <a:ln w="28575" cap="rnd">
              <a:solidFill>
                <a:schemeClr val="accent2"/>
              </a:solidFill>
              <a:round/>
            </a:ln>
            <a:effectLst/>
          </c:spPr>
          <c:marker>
            <c:symbol val="none"/>
          </c:marker>
          <c:cat>
            <c:numRef>
              <c:f>'podíly Agroturistiky'!$C$13:$E$13</c:f>
              <c:numCache>
                <c:formatCode>General</c:formatCode>
                <c:ptCount val="3"/>
                <c:pt idx="0">
                  <c:v>2014</c:v>
                </c:pt>
                <c:pt idx="1">
                  <c:v>2015</c:v>
                </c:pt>
                <c:pt idx="2">
                  <c:v>2016</c:v>
                </c:pt>
              </c:numCache>
            </c:numRef>
          </c:cat>
          <c:val>
            <c:numRef>
              <c:f>'podíly Agroturistiky'!$C$15:$E$15</c:f>
              <c:numCache>
                <c:formatCode>0.00</c:formatCode>
                <c:ptCount val="3"/>
                <c:pt idx="0">
                  <c:v>19.520229173554409</c:v>
                </c:pt>
                <c:pt idx="1">
                  <c:v>16.071217327364419</c:v>
                </c:pt>
                <c:pt idx="2">
                  <c:v>11.580034203446417</c:v>
                </c:pt>
              </c:numCache>
            </c:numRef>
          </c:val>
          <c:smooth val="0"/>
          <c:extLst>
            <c:ext xmlns:c16="http://schemas.microsoft.com/office/drawing/2014/chart" uri="{C3380CC4-5D6E-409C-BE32-E72D297353CC}">
              <c16:uniqueId val="{00000001-FE34-0D48-BC41-2472284EC948}"/>
            </c:ext>
          </c:extLst>
        </c:ser>
        <c:ser>
          <c:idx val="2"/>
          <c:order val="2"/>
          <c:tx>
            <c:strRef>
              <c:f>'podíly Agroturistiky'!$B$16</c:f>
              <c:strCache>
                <c:ptCount val="1"/>
                <c:pt idx="0">
                  <c:v>N</c:v>
                </c:pt>
              </c:strCache>
            </c:strRef>
          </c:tx>
          <c:spPr>
            <a:ln w="28575" cap="rnd">
              <a:solidFill>
                <a:schemeClr val="accent3"/>
              </a:solidFill>
              <a:round/>
            </a:ln>
            <a:effectLst/>
          </c:spPr>
          <c:marker>
            <c:symbol val="none"/>
          </c:marker>
          <c:cat>
            <c:numRef>
              <c:f>'podíly Agroturistiky'!$C$13:$E$13</c:f>
              <c:numCache>
                <c:formatCode>General</c:formatCode>
                <c:ptCount val="3"/>
                <c:pt idx="0">
                  <c:v>2014</c:v>
                </c:pt>
                <c:pt idx="1">
                  <c:v>2015</c:v>
                </c:pt>
                <c:pt idx="2">
                  <c:v>2016</c:v>
                </c:pt>
              </c:numCache>
            </c:numRef>
          </c:cat>
          <c:val>
            <c:numRef>
              <c:f>'podíly Agroturistiky'!$C$16:$E$16</c:f>
              <c:numCache>
                <c:formatCode>0.00</c:formatCode>
                <c:ptCount val="3"/>
                <c:pt idx="0">
                  <c:v>12.043892431320028</c:v>
                </c:pt>
                <c:pt idx="1">
                  <c:v>13.044413435768934</c:v>
                </c:pt>
                <c:pt idx="2">
                  <c:v>12.628499762508961</c:v>
                </c:pt>
              </c:numCache>
            </c:numRef>
          </c:val>
          <c:smooth val="0"/>
          <c:extLst>
            <c:ext xmlns:c16="http://schemas.microsoft.com/office/drawing/2014/chart" uri="{C3380CC4-5D6E-409C-BE32-E72D297353CC}">
              <c16:uniqueId val="{00000002-FE34-0D48-BC41-2472284EC948}"/>
            </c:ext>
          </c:extLst>
        </c:ser>
        <c:dLbls>
          <c:showLegendKey val="0"/>
          <c:showVal val="0"/>
          <c:showCatName val="0"/>
          <c:showSerName val="0"/>
          <c:showPercent val="0"/>
          <c:showBubbleSize val="0"/>
        </c:dLbls>
        <c:smooth val="0"/>
        <c:axId val="81280384"/>
        <c:axId val="81290368"/>
      </c:lineChart>
      <c:catAx>
        <c:axId val="8128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1290368"/>
        <c:crosses val="autoZero"/>
        <c:auto val="1"/>
        <c:lblAlgn val="ctr"/>
        <c:lblOffset val="100"/>
        <c:noMultiLvlLbl val="0"/>
      </c:catAx>
      <c:valAx>
        <c:axId val="812903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128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List11!$B$61</c:f>
              <c:strCache>
                <c:ptCount val="1"/>
                <c:pt idx="0">
                  <c:v>Hustota zalidnění (ob/km2)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List11!$A$62:$A$76</c:f>
              <c:strCache>
                <c:ptCount val="15"/>
                <c:pt idx="0">
                  <c:v>Moravskoslezský kraj</c:v>
                </c:pt>
                <c:pt idx="1">
                  <c:v>Jihomoravský kraj</c:v>
                </c:pt>
                <c:pt idx="2">
                  <c:v>Ústecký kraj</c:v>
                </c:pt>
                <c:pt idx="3">
                  <c:v>Zlínský kraj</c:v>
                </c:pt>
                <c:pt idx="4">
                  <c:v>Liberecký kraj</c:v>
                </c:pt>
                <c:pt idx="5">
                  <c:v>Středočeský kraj</c:v>
                </c:pt>
                <c:pt idx="6">
                  <c:v>Olomoucký kraj</c:v>
                </c:pt>
                <c:pt idx="7">
                  <c:v>Královéhradecký kraj</c:v>
                </c:pt>
                <c:pt idx="8">
                  <c:v>Pardubický kraj</c:v>
                </c:pt>
                <c:pt idx="9">
                  <c:v>Karlovarský kraj</c:v>
                </c:pt>
                <c:pt idx="10">
                  <c:v>Plzeňský kraj</c:v>
                </c:pt>
                <c:pt idx="11">
                  <c:v>Kraj Vysočina</c:v>
                </c:pt>
                <c:pt idx="12">
                  <c:v>Jihočeský kraj</c:v>
                </c:pt>
                <c:pt idx="14">
                  <c:v>ČR </c:v>
                </c:pt>
              </c:strCache>
            </c:strRef>
          </c:cat>
          <c:val>
            <c:numRef>
              <c:f>List11!$B$62:$B$76</c:f>
              <c:numCache>
                <c:formatCode>0.0</c:formatCode>
                <c:ptCount val="15"/>
                <c:pt idx="0">
                  <c:v>222.79374053121214</c:v>
                </c:pt>
                <c:pt idx="1">
                  <c:v>164.00140546159878</c:v>
                </c:pt>
                <c:pt idx="2">
                  <c:v>153.85807704991018</c:v>
                </c:pt>
                <c:pt idx="3">
                  <c:v>147.29113501506021</c:v>
                </c:pt>
                <c:pt idx="4">
                  <c:v>139.28850912638646</c:v>
                </c:pt>
                <c:pt idx="5">
                  <c:v>122.52197728897308</c:v>
                </c:pt>
                <c:pt idx="6">
                  <c:v>120.25602355559563</c:v>
                </c:pt>
                <c:pt idx="7">
                  <c:v>115.73940910241998</c:v>
                </c:pt>
                <c:pt idx="8">
                  <c:v>114.42506391550651</c:v>
                </c:pt>
                <c:pt idx="9">
                  <c:v>89.641766995610936</c:v>
                </c:pt>
                <c:pt idx="10">
                  <c:v>75.647808598089114</c:v>
                </c:pt>
                <c:pt idx="11">
                  <c:v>74.894727769222115</c:v>
                </c:pt>
                <c:pt idx="12">
                  <c:v>63.509288294060731</c:v>
                </c:pt>
                <c:pt idx="14">
                  <c:v>134.12913576063545</c:v>
                </c:pt>
              </c:numCache>
            </c:numRef>
          </c:val>
          <c:extLst>
            <c:ext xmlns:c16="http://schemas.microsoft.com/office/drawing/2014/chart" uri="{C3380CC4-5D6E-409C-BE32-E72D297353CC}">
              <c16:uniqueId val="{00000000-3514-D946-87AB-0F9084A1AC59}"/>
            </c:ext>
          </c:extLst>
        </c:ser>
        <c:dLbls>
          <c:showLegendKey val="0"/>
          <c:showVal val="0"/>
          <c:showCatName val="0"/>
          <c:showSerName val="0"/>
          <c:showPercent val="0"/>
          <c:showBubbleSize val="0"/>
        </c:dLbls>
        <c:gapWidth val="219"/>
        <c:overlap val="-27"/>
        <c:axId val="94628096"/>
        <c:axId val="114954624"/>
      </c:barChart>
      <c:catAx>
        <c:axId val="9462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4954624"/>
        <c:crosses val="autoZero"/>
        <c:auto val="1"/>
        <c:lblAlgn val="ctr"/>
        <c:lblOffset val="100"/>
        <c:noMultiLvlLbl val="0"/>
      </c:catAx>
      <c:valAx>
        <c:axId val="1149546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4628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'vel skupiny'!$B$5</c:f>
              <c:strCache>
                <c:ptCount val="1"/>
                <c:pt idx="0">
                  <c:v>Malá</c:v>
                </c:pt>
              </c:strCache>
            </c:strRef>
          </c:tx>
          <c:spPr>
            <a:ln w="28575" cap="rnd">
              <a:solidFill>
                <a:schemeClr val="accent1"/>
              </a:solidFill>
              <a:round/>
            </a:ln>
            <a:effectLst/>
          </c:spPr>
          <c:marker>
            <c:symbol val="none"/>
          </c:marker>
          <c:cat>
            <c:numRef>
              <c:f>'vel skupiny'!$C$4:$E$4</c:f>
              <c:numCache>
                <c:formatCode>General</c:formatCode>
                <c:ptCount val="3"/>
                <c:pt idx="0">
                  <c:v>2014</c:v>
                </c:pt>
                <c:pt idx="1">
                  <c:v>2015</c:v>
                </c:pt>
                <c:pt idx="2">
                  <c:v>2016</c:v>
                </c:pt>
              </c:numCache>
            </c:numRef>
          </c:cat>
          <c:val>
            <c:numRef>
              <c:f>'vel skupiny'!$C$5:$E$5</c:f>
              <c:numCache>
                <c:formatCode>#,##0</c:formatCode>
                <c:ptCount val="3"/>
                <c:pt idx="0">
                  <c:v>432.26971867342178</c:v>
                </c:pt>
                <c:pt idx="1">
                  <c:v>330.60430280636484</c:v>
                </c:pt>
                <c:pt idx="2">
                  <c:v>200.94930620619226</c:v>
                </c:pt>
              </c:numCache>
            </c:numRef>
          </c:val>
          <c:smooth val="0"/>
          <c:extLst>
            <c:ext xmlns:c16="http://schemas.microsoft.com/office/drawing/2014/chart" uri="{C3380CC4-5D6E-409C-BE32-E72D297353CC}">
              <c16:uniqueId val="{00000000-9D71-974B-8CBD-EC404BA85F75}"/>
            </c:ext>
          </c:extLst>
        </c:ser>
        <c:ser>
          <c:idx val="1"/>
          <c:order val="1"/>
          <c:tx>
            <c:strRef>
              <c:f>'vel skupiny'!$B$6</c:f>
              <c:strCache>
                <c:ptCount val="1"/>
                <c:pt idx="0">
                  <c:v>Střední</c:v>
                </c:pt>
              </c:strCache>
            </c:strRef>
          </c:tx>
          <c:spPr>
            <a:ln w="28575" cap="rnd">
              <a:solidFill>
                <a:schemeClr val="accent2"/>
              </a:solidFill>
              <a:round/>
            </a:ln>
            <a:effectLst/>
          </c:spPr>
          <c:marker>
            <c:symbol val="none"/>
          </c:marker>
          <c:cat>
            <c:numRef>
              <c:f>'vel skupiny'!$C$4:$E$4</c:f>
              <c:numCache>
                <c:formatCode>General</c:formatCode>
                <c:ptCount val="3"/>
                <c:pt idx="0">
                  <c:v>2014</c:v>
                </c:pt>
                <c:pt idx="1">
                  <c:v>2015</c:v>
                </c:pt>
                <c:pt idx="2">
                  <c:v>2016</c:v>
                </c:pt>
              </c:numCache>
            </c:numRef>
          </c:cat>
          <c:val>
            <c:numRef>
              <c:f>'vel skupiny'!$C$6:$E$6</c:f>
              <c:numCache>
                <c:formatCode>#,##0</c:formatCode>
                <c:ptCount val="3"/>
                <c:pt idx="0">
                  <c:v>47.999445471848297</c:v>
                </c:pt>
                <c:pt idx="1">
                  <c:v>97.147459708426965</c:v>
                </c:pt>
                <c:pt idx="2">
                  <c:v>89.185408944744509</c:v>
                </c:pt>
              </c:numCache>
            </c:numRef>
          </c:val>
          <c:smooth val="0"/>
          <c:extLst>
            <c:ext xmlns:c16="http://schemas.microsoft.com/office/drawing/2014/chart" uri="{C3380CC4-5D6E-409C-BE32-E72D297353CC}">
              <c16:uniqueId val="{00000001-9D71-974B-8CBD-EC404BA85F75}"/>
            </c:ext>
          </c:extLst>
        </c:ser>
        <c:ser>
          <c:idx val="2"/>
          <c:order val="2"/>
          <c:tx>
            <c:strRef>
              <c:f>'vel skupiny'!$B$7</c:f>
              <c:strCache>
                <c:ptCount val="1"/>
                <c:pt idx="0">
                  <c:v>Velká</c:v>
                </c:pt>
              </c:strCache>
            </c:strRef>
          </c:tx>
          <c:spPr>
            <a:ln w="28575" cap="rnd">
              <a:solidFill>
                <a:schemeClr val="accent3"/>
              </a:solidFill>
              <a:round/>
            </a:ln>
            <a:effectLst/>
          </c:spPr>
          <c:marker>
            <c:symbol val="none"/>
          </c:marker>
          <c:cat>
            <c:numRef>
              <c:f>'vel skupiny'!$C$4:$E$4</c:f>
              <c:numCache>
                <c:formatCode>General</c:formatCode>
                <c:ptCount val="3"/>
                <c:pt idx="0">
                  <c:v>2014</c:v>
                </c:pt>
                <c:pt idx="1">
                  <c:v>2015</c:v>
                </c:pt>
                <c:pt idx="2">
                  <c:v>2016</c:v>
                </c:pt>
              </c:numCache>
            </c:numRef>
          </c:cat>
          <c:val>
            <c:numRef>
              <c:f>'vel skupiny'!$C$7:$E$7</c:f>
              <c:numCache>
                <c:formatCode>#,##0</c:formatCode>
                <c:ptCount val="3"/>
                <c:pt idx="0">
                  <c:v>14.73680041274597</c:v>
                </c:pt>
                <c:pt idx="1">
                  <c:v>74.123823063460136</c:v>
                </c:pt>
                <c:pt idx="2">
                  <c:v>63.487532185664158</c:v>
                </c:pt>
              </c:numCache>
            </c:numRef>
          </c:val>
          <c:smooth val="0"/>
          <c:extLst>
            <c:ext xmlns:c16="http://schemas.microsoft.com/office/drawing/2014/chart" uri="{C3380CC4-5D6E-409C-BE32-E72D297353CC}">
              <c16:uniqueId val="{00000002-9D71-974B-8CBD-EC404BA85F75}"/>
            </c:ext>
          </c:extLst>
        </c:ser>
        <c:ser>
          <c:idx val="3"/>
          <c:order val="3"/>
          <c:tx>
            <c:strRef>
              <c:f>'vel skupiny'!$B$8</c:f>
              <c:strCache>
                <c:ptCount val="1"/>
                <c:pt idx="0">
                  <c:v>Největší</c:v>
                </c:pt>
              </c:strCache>
            </c:strRef>
          </c:tx>
          <c:spPr>
            <a:ln w="28575" cap="rnd">
              <a:solidFill>
                <a:schemeClr val="accent4"/>
              </a:solidFill>
              <a:round/>
            </a:ln>
            <a:effectLst/>
          </c:spPr>
          <c:marker>
            <c:symbol val="none"/>
          </c:marker>
          <c:cat>
            <c:numRef>
              <c:f>'vel skupiny'!$C$4:$E$4</c:f>
              <c:numCache>
                <c:formatCode>General</c:formatCode>
                <c:ptCount val="3"/>
                <c:pt idx="0">
                  <c:v>2014</c:v>
                </c:pt>
                <c:pt idx="1">
                  <c:v>2015</c:v>
                </c:pt>
                <c:pt idx="2">
                  <c:v>2016</c:v>
                </c:pt>
              </c:numCache>
            </c:numRef>
          </c:cat>
          <c:val>
            <c:numRef>
              <c:f>'vel skupiny'!$C$8:$E$8</c:f>
              <c:numCache>
                <c:formatCode>#,##0</c:formatCode>
                <c:ptCount val="3"/>
                <c:pt idx="0">
                  <c:v>177.49545501331906</c:v>
                </c:pt>
                <c:pt idx="1">
                  <c:v>194.42134910188855</c:v>
                </c:pt>
                <c:pt idx="2">
                  <c:v>200.99945822869029</c:v>
                </c:pt>
              </c:numCache>
            </c:numRef>
          </c:val>
          <c:smooth val="0"/>
          <c:extLst>
            <c:ext xmlns:c16="http://schemas.microsoft.com/office/drawing/2014/chart" uri="{C3380CC4-5D6E-409C-BE32-E72D297353CC}">
              <c16:uniqueId val="{00000003-9D71-974B-8CBD-EC404BA85F75}"/>
            </c:ext>
          </c:extLst>
        </c:ser>
        <c:dLbls>
          <c:showLegendKey val="0"/>
          <c:showVal val="0"/>
          <c:showCatName val="0"/>
          <c:showSerName val="0"/>
          <c:showPercent val="0"/>
          <c:showBubbleSize val="0"/>
        </c:dLbls>
        <c:smooth val="0"/>
        <c:axId val="81314944"/>
        <c:axId val="81316480"/>
      </c:lineChart>
      <c:catAx>
        <c:axId val="8131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1316480"/>
        <c:crosses val="autoZero"/>
        <c:auto val="1"/>
        <c:lblAlgn val="ctr"/>
        <c:lblOffset val="100"/>
        <c:noMultiLvlLbl val="0"/>
      </c:catAx>
      <c:valAx>
        <c:axId val="81316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131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'vel skupiny'!$B$16</c:f>
              <c:strCache>
                <c:ptCount val="1"/>
                <c:pt idx="0">
                  <c:v>Malá</c:v>
                </c:pt>
              </c:strCache>
            </c:strRef>
          </c:tx>
          <c:spPr>
            <a:ln w="28575" cap="rnd">
              <a:solidFill>
                <a:schemeClr val="accent1"/>
              </a:solidFill>
              <a:round/>
            </a:ln>
            <a:effectLst/>
          </c:spPr>
          <c:marker>
            <c:symbol val="none"/>
          </c:marker>
          <c:cat>
            <c:numRef>
              <c:f>'vel skupiny'!$C$15:$E$15</c:f>
              <c:numCache>
                <c:formatCode>General</c:formatCode>
                <c:ptCount val="3"/>
                <c:pt idx="0">
                  <c:v>2014</c:v>
                </c:pt>
                <c:pt idx="1">
                  <c:v>2015</c:v>
                </c:pt>
                <c:pt idx="2">
                  <c:v>2016</c:v>
                </c:pt>
              </c:numCache>
            </c:numRef>
          </c:cat>
          <c:val>
            <c:numRef>
              <c:f>'vel skupiny'!$C$16:$E$16</c:f>
              <c:numCache>
                <c:formatCode>#,##0</c:formatCode>
                <c:ptCount val="3"/>
                <c:pt idx="0">
                  <c:v>0</c:v>
                </c:pt>
                <c:pt idx="1">
                  <c:v>51.387774732796942</c:v>
                </c:pt>
                <c:pt idx="2">
                  <c:v>41.28142906005737</c:v>
                </c:pt>
              </c:numCache>
            </c:numRef>
          </c:val>
          <c:smooth val="0"/>
          <c:extLst>
            <c:ext xmlns:c16="http://schemas.microsoft.com/office/drawing/2014/chart" uri="{C3380CC4-5D6E-409C-BE32-E72D297353CC}">
              <c16:uniqueId val="{00000000-B45D-164A-A680-9A7E84DC3037}"/>
            </c:ext>
          </c:extLst>
        </c:ser>
        <c:ser>
          <c:idx val="1"/>
          <c:order val="1"/>
          <c:tx>
            <c:strRef>
              <c:f>'vel skupiny'!$B$17</c:f>
              <c:strCache>
                <c:ptCount val="1"/>
                <c:pt idx="0">
                  <c:v>Střední</c:v>
                </c:pt>
              </c:strCache>
            </c:strRef>
          </c:tx>
          <c:spPr>
            <a:ln w="28575" cap="rnd">
              <a:solidFill>
                <a:schemeClr val="accent2"/>
              </a:solidFill>
              <a:round/>
            </a:ln>
            <a:effectLst/>
          </c:spPr>
          <c:marker>
            <c:symbol val="none"/>
          </c:marker>
          <c:cat>
            <c:numRef>
              <c:f>'vel skupiny'!$C$15:$E$15</c:f>
              <c:numCache>
                <c:formatCode>General</c:formatCode>
                <c:ptCount val="3"/>
                <c:pt idx="0">
                  <c:v>2014</c:v>
                </c:pt>
                <c:pt idx="1">
                  <c:v>2015</c:v>
                </c:pt>
                <c:pt idx="2">
                  <c:v>2016</c:v>
                </c:pt>
              </c:numCache>
            </c:numRef>
          </c:cat>
          <c:val>
            <c:numRef>
              <c:f>'vel skupiny'!$C$17:$E$17</c:f>
              <c:numCache>
                <c:formatCode>#,##0</c:formatCode>
                <c:ptCount val="3"/>
                <c:pt idx="0">
                  <c:v>250.28147679498016</c:v>
                </c:pt>
                <c:pt idx="1">
                  <c:v>223.08356305869964</c:v>
                </c:pt>
                <c:pt idx="2">
                  <c:v>183.66436135494058</c:v>
                </c:pt>
              </c:numCache>
            </c:numRef>
          </c:val>
          <c:smooth val="0"/>
          <c:extLst>
            <c:ext xmlns:c16="http://schemas.microsoft.com/office/drawing/2014/chart" uri="{C3380CC4-5D6E-409C-BE32-E72D297353CC}">
              <c16:uniqueId val="{00000001-B45D-164A-A680-9A7E84DC3037}"/>
            </c:ext>
          </c:extLst>
        </c:ser>
        <c:ser>
          <c:idx val="2"/>
          <c:order val="2"/>
          <c:tx>
            <c:strRef>
              <c:f>'vel skupiny'!$B$18</c:f>
              <c:strCache>
                <c:ptCount val="1"/>
                <c:pt idx="0">
                  <c:v>Velká</c:v>
                </c:pt>
              </c:strCache>
            </c:strRef>
          </c:tx>
          <c:spPr>
            <a:ln w="28575" cap="rnd">
              <a:solidFill>
                <a:schemeClr val="accent3"/>
              </a:solidFill>
              <a:round/>
            </a:ln>
            <a:effectLst/>
          </c:spPr>
          <c:marker>
            <c:symbol val="none"/>
          </c:marker>
          <c:cat>
            <c:numRef>
              <c:f>'vel skupiny'!$C$15:$E$15</c:f>
              <c:numCache>
                <c:formatCode>General</c:formatCode>
                <c:ptCount val="3"/>
                <c:pt idx="0">
                  <c:v>2014</c:v>
                </c:pt>
                <c:pt idx="1">
                  <c:v>2015</c:v>
                </c:pt>
                <c:pt idx="2">
                  <c:v>2016</c:v>
                </c:pt>
              </c:numCache>
            </c:numRef>
          </c:cat>
          <c:val>
            <c:numRef>
              <c:f>'vel skupiny'!$C$18:$E$18</c:f>
              <c:numCache>
                <c:formatCode>#,##0</c:formatCode>
                <c:ptCount val="3"/>
                <c:pt idx="0">
                  <c:v>435.73551426135788</c:v>
                </c:pt>
                <c:pt idx="1">
                  <c:v>337.70946013920639</c:v>
                </c:pt>
                <c:pt idx="2">
                  <c:v>319.88800436382894</c:v>
                </c:pt>
              </c:numCache>
            </c:numRef>
          </c:val>
          <c:smooth val="0"/>
          <c:extLst>
            <c:ext xmlns:c16="http://schemas.microsoft.com/office/drawing/2014/chart" uri="{C3380CC4-5D6E-409C-BE32-E72D297353CC}">
              <c16:uniqueId val="{00000002-B45D-164A-A680-9A7E84DC3037}"/>
            </c:ext>
          </c:extLst>
        </c:ser>
        <c:ser>
          <c:idx val="3"/>
          <c:order val="3"/>
          <c:tx>
            <c:strRef>
              <c:f>'vel skupiny'!$B$19</c:f>
              <c:strCache>
                <c:ptCount val="1"/>
                <c:pt idx="0">
                  <c:v>Největší</c:v>
                </c:pt>
              </c:strCache>
            </c:strRef>
          </c:tx>
          <c:spPr>
            <a:ln w="28575" cap="rnd">
              <a:solidFill>
                <a:schemeClr val="accent4"/>
              </a:solidFill>
              <a:round/>
            </a:ln>
            <a:effectLst/>
          </c:spPr>
          <c:marker>
            <c:symbol val="none"/>
          </c:marker>
          <c:cat>
            <c:numRef>
              <c:f>'vel skupiny'!$C$15:$E$15</c:f>
              <c:numCache>
                <c:formatCode>General</c:formatCode>
                <c:ptCount val="3"/>
                <c:pt idx="0">
                  <c:v>2014</c:v>
                </c:pt>
                <c:pt idx="1">
                  <c:v>2015</c:v>
                </c:pt>
                <c:pt idx="2">
                  <c:v>2016</c:v>
                </c:pt>
              </c:numCache>
            </c:numRef>
          </c:cat>
          <c:val>
            <c:numRef>
              <c:f>'vel skupiny'!$C$19:$E$19</c:f>
              <c:numCache>
                <c:formatCode>#,##0</c:formatCode>
                <c:ptCount val="3"/>
                <c:pt idx="0">
                  <c:v>886.94753698839168</c:v>
                </c:pt>
                <c:pt idx="1">
                  <c:v>890.20981926281672</c:v>
                </c:pt>
                <c:pt idx="2">
                  <c:v>864.39317855774323</c:v>
                </c:pt>
              </c:numCache>
            </c:numRef>
          </c:val>
          <c:smooth val="0"/>
          <c:extLst>
            <c:ext xmlns:c16="http://schemas.microsoft.com/office/drawing/2014/chart" uri="{C3380CC4-5D6E-409C-BE32-E72D297353CC}">
              <c16:uniqueId val="{00000003-B45D-164A-A680-9A7E84DC3037}"/>
            </c:ext>
          </c:extLst>
        </c:ser>
        <c:dLbls>
          <c:showLegendKey val="0"/>
          <c:showVal val="0"/>
          <c:showCatName val="0"/>
          <c:showSerName val="0"/>
          <c:showPercent val="0"/>
          <c:showBubbleSize val="0"/>
        </c:dLbls>
        <c:smooth val="0"/>
        <c:axId val="81361536"/>
        <c:axId val="81363328"/>
      </c:lineChart>
      <c:catAx>
        <c:axId val="8136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1363328"/>
        <c:crosses val="autoZero"/>
        <c:auto val="1"/>
        <c:lblAlgn val="ctr"/>
        <c:lblOffset val="100"/>
        <c:noMultiLvlLbl val="0"/>
      </c:catAx>
      <c:valAx>
        <c:axId val="81363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136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 AS'!$A$3</c:f>
              <c:strCache>
                <c:ptCount val="1"/>
                <c:pt idx="0">
                  <c:v>Podíl AS </c:v>
                </c:pt>
              </c:strCache>
            </c:strRef>
          </c:tx>
          <c:spPr>
            <a:ln w="28575" cap="rnd">
              <a:solidFill>
                <a:srgbClr val="00B050"/>
              </a:solidFill>
              <a:round/>
            </a:ln>
            <a:effectLst/>
          </c:spPr>
          <c:marker>
            <c:symbol val="none"/>
          </c:marker>
          <c:cat>
            <c:strRef>
              <c:f>'% AS'!$B$2:$L$2</c:f>
              <c:strCache>
                <c:ptCount val="11"/>
                <c:pt idx="0">
                  <c:v>do 99</c:v>
                </c:pt>
                <c:pt idx="1">
                  <c:v>100 až 199</c:v>
                </c:pt>
                <c:pt idx="2">
                  <c:v>200 až 499</c:v>
                </c:pt>
                <c:pt idx="3">
                  <c:v>500 až 999</c:v>
                </c:pt>
                <c:pt idx="4">
                  <c:v>1000 až 1999</c:v>
                </c:pt>
                <c:pt idx="5">
                  <c:v>2000 až 4999</c:v>
                </c:pt>
                <c:pt idx="6">
                  <c:v>5000 až 9999</c:v>
                </c:pt>
                <c:pt idx="7">
                  <c:v>10000 až 19999</c:v>
                </c:pt>
                <c:pt idx="8">
                  <c:v>20000 až 49999</c:v>
                </c:pt>
                <c:pt idx="9">
                  <c:v>50000 až 99999</c:v>
                </c:pt>
                <c:pt idx="10">
                  <c:v>100000 a více</c:v>
                </c:pt>
              </c:strCache>
            </c:strRef>
          </c:cat>
          <c:val>
            <c:numRef>
              <c:f>'% AS'!$B$3:$L$3</c:f>
              <c:numCache>
                <c:formatCode>0.0</c:formatCode>
                <c:ptCount val="11"/>
                <c:pt idx="0">
                  <c:v>14.590824104703007</c:v>
                </c:pt>
                <c:pt idx="1">
                  <c:v>11.00801674129468</c:v>
                </c:pt>
                <c:pt idx="2">
                  <c:v>8.3491454294374012</c:v>
                </c:pt>
                <c:pt idx="3">
                  <c:v>6.0404744193126279</c:v>
                </c:pt>
                <c:pt idx="4">
                  <c:v>4.8150577485849535</c:v>
                </c:pt>
                <c:pt idx="5">
                  <c:v>3.1299406419669733</c:v>
                </c:pt>
                <c:pt idx="6">
                  <c:v>2.2099748855221106</c:v>
                </c:pt>
                <c:pt idx="7">
                  <c:v>1.5578161910653676</c:v>
                </c:pt>
                <c:pt idx="8">
                  <c:v>1.1186448376890541</c:v>
                </c:pt>
                <c:pt idx="9">
                  <c:v>0.73686581864666056</c:v>
                </c:pt>
                <c:pt idx="10">
                  <c:v>0.45631426262362018</c:v>
                </c:pt>
              </c:numCache>
            </c:numRef>
          </c:val>
          <c:smooth val="0"/>
          <c:extLst>
            <c:ext xmlns:c16="http://schemas.microsoft.com/office/drawing/2014/chart" uri="{C3380CC4-5D6E-409C-BE32-E72D297353CC}">
              <c16:uniqueId val="{00000000-218B-414D-BE95-7433033E41DE}"/>
            </c:ext>
          </c:extLst>
        </c:ser>
        <c:dLbls>
          <c:showLegendKey val="0"/>
          <c:showVal val="0"/>
          <c:showCatName val="0"/>
          <c:showSerName val="0"/>
          <c:showPercent val="0"/>
          <c:showBubbleSize val="0"/>
        </c:dLbls>
        <c:smooth val="0"/>
        <c:axId val="81404672"/>
        <c:axId val="81406208"/>
      </c:lineChart>
      <c:catAx>
        <c:axId val="8140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1406208"/>
        <c:crosses val="autoZero"/>
        <c:auto val="1"/>
        <c:lblAlgn val="ctr"/>
        <c:lblOffset val="100"/>
        <c:noMultiLvlLbl val="0"/>
      </c:catAx>
      <c:valAx>
        <c:axId val="814062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1404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MiZa!$A$3</c:f>
              <c:strCache>
                <c:ptCount val="1"/>
                <c:pt idx="0">
                  <c:v>zemědělství (včetně lesnictví a rybolovu)</c:v>
                </c:pt>
              </c:strCache>
            </c:strRef>
          </c:tx>
          <c:spPr>
            <a:ln w="28575" cap="rnd">
              <a:solidFill>
                <a:srgbClr val="00B050"/>
              </a:solidFill>
              <a:round/>
            </a:ln>
            <a:effectLst/>
          </c:spPr>
          <c:marker>
            <c:symbol val="none"/>
          </c:marker>
          <c:cat>
            <c:strRef>
              <c:f>MiZa!$B$1:$L$2</c:f>
              <c:strCache>
                <c:ptCount val="11"/>
                <c:pt idx="0">
                  <c:v>do 99</c:v>
                </c:pt>
                <c:pt idx="1">
                  <c:v>100-199</c:v>
                </c:pt>
                <c:pt idx="2">
                  <c:v>200-499</c:v>
                </c:pt>
                <c:pt idx="3">
                  <c:v>500-999</c:v>
                </c:pt>
                <c:pt idx="4">
                  <c:v>1000-1999</c:v>
                </c:pt>
                <c:pt idx="5">
                  <c:v>2000-4999</c:v>
                </c:pt>
                <c:pt idx="6">
                  <c:v>5000-9999</c:v>
                </c:pt>
                <c:pt idx="7">
                  <c:v>10 000-19 999</c:v>
                </c:pt>
                <c:pt idx="8">
                  <c:v>20 000-49 999</c:v>
                </c:pt>
                <c:pt idx="9">
                  <c:v>50 000-99 999</c:v>
                </c:pt>
                <c:pt idx="10">
                  <c:v>100 000 a více</c:v>
                </c:pt>
              </c:strCache>
            </c:strRef>
          </c:cat>
          <c:val>
            <c:numRef>
              <c:f>MiZa!$B$3:$L$3</c:f>
              <c:numCache>
                <c:formatCode>#,##0.00</c:formatCode>
                <c:ptCount val="11"/>
                <c:pt idx="0">
                  <c:v>0.74507966260543579</c:v>
                </c:pt>
                <c:pt idx="1">
                  <c:v>0.82200132538104709</c:v>
                </c:pt>
                <c:pt idx="2">
                  <c:v>0.91859374362739099</c:v>
                </c:pt>
                <c:pt idx="3">
                  <c:v>0.95385970286414457</c:v>
                </c:pt>
                <c:pt idx="4">
                  <c:v>0.9714901450186324</c:v>
                </c:pt>
                <c:pt idx="5">
                  <c:v>0.93492517235580963</c:v>
                </c:pt>
                <c:pt idx="6">
                  <c:v>0.9503210188401221</c:v>
                </c:pt>
                <c:pt idx="7">
                  <c:v>0.92383397518185706</c:v>
                </c:pt>
                <c:pt idx="8">
                  <c:v>0.9197195191757298</c:v>
                </c:pt>
                <c:pt idx="9">
                  <c:v>0.98318240620957309</c:v>
                </c:pt>
                <c:pt idx="10">
                  <c:v>1.007497656982193</c:v>
                </c:pt>
              </c:numCache>
            </c:numRef>
          </c:val>
          <c:smooth val="0"/>
          <c:extLst>
            <c:ext xmlns:c16="http://schemas.microsoft.com/office/drawing/2014/chart" uri="{C3380CC4-5D6E-409C-BE32-E72D297353CC}">
              <c16:uniqueId val="{00000000-3570-C64D-9B30-1DA2A43E3B90}"/>
            </c:ext>
          </c:extLst>
        </c:ser>
        <c:ser>
          <c:idx val="1"/>
          <c:order val="1"/>
          <c:tx>
            <c:strRef>
              <c:f>MiZa!$A$4</c:f>
              <c:strCache>
                <c:ptCount val="1"/>
                <c:pt idx="0">
                  <c:v>průmysl, stavebnictví</c:v>
                </c:pt>
              </c:strCache>
            </c:strRef>
          </c:tx>
          <c:spPr>
            <a:ln w="28575" cap="rnd">
              <a:solidFill>
                <a:schemeClr val="accent2"/>
              </a:solidFill>
              <a:round/>
            </a:ln>
            <a:effectLst/>
          </c:spPr>
          <c:marker>
            <c:symbol val="none"/>
          </c:marker>
          <c:cat>
            <c:strRef>
              <c:f>MiZa!$B$1:$L$2</c:f>
              <c:strCache>
                <c:ptCount val="11"/>
                <c:pt idx="0">
                  <c:v>do 99</c:v>
                </c:pt>
                <c:pt idx="1">
                  <c:v>100-199</c:v>
                </c:pt>
                <c:pt idx="2">
                  <c:v>200-499</c:v>
                </c:pt>
                <c:pt idx="3">
                  <c:v>500-999</c:v>
                </c:pt>
                <c:pt idx="4">
                  <c:v>1000-1999</c:v>
                </c:pt>
                <c:pt idx="5">
                  <c:v>2000-4999</c:v>
                </c:pt>
                <c:pt idx="6">
                  <c:v>5000-9999</c:v>
                </c:pt>
                <c:pt idx="7">
                  <c:v>10 000-19 999</c:v>
                </c:pt>
                <c:pt idx="8">
                  <c:v>20 000-49 999</c:v>
                </c:pt>
                <c:pt idx="9">
                  <c:v>50 000-99 999</c:v>
                </c:pt>
                <c:pt idx="10">
                  <c:v>100 000 a více</c:v>
                </c:pt>
              </c:strCache>
            </c:strRef>
          </c:cat>
          <c:val>
            <c:numRef>
              <c:f>MiZa!$B$4:$L$4</c:f>
              <c:numCache>
                <c:formatCode>#,##0.00</c:formatCode>
                <c:ptCount val="11"/>
                <c:pt idx="0">
                  <c:v>0.60227920227920229</c:v>
                </c:pt>
                <c:pt idx="1">
                  <c:v>0.5780958544291751</c:v>
                </c:pt>
                <c:pt idx="2">
                  <c:v>0.64593249577759915</c:v>
                </c:pt>
                <c:pt idx="3">
                  <c:v>0.7098062516462178</c:v>
                </c:pt>
                <c:pt idx="4">
                  <c:v>0.75112055551684898</c:v>
                </c:pt>
                <c:pt idx="5">
                  <c:v>0.86390532544378695</c:v>
                </c:pt>
                <c:pt idx="6">
                  <c:v>0.98253855367569998</c:v>
                </c:pt>
                <c:pt idx="7">
                  <c:v>1.1131722758863263</c:v>
                </c:pt>
                <c:pt idx="8">
                  <c:v>1.102893213090101</c:v>
                </c:pt>
                <c:pt idx="9">
                  <c:v>1.0159494866233985</c:v>
                </c:pt>
                <c:pt idx="10">
                  <c:v>1.1499693540885123</c:v>
                </c:pt>
              </c:numCache>
            </c:numRef>
          </c:val>
          <c:smooth val="0"/>
          <c:extLst>
            <c:ext xmlns:c16="http://schemas.microsoft.com/office/drawing/2014/chart" uri="{C3380CC4-5D6E-409C-BE32-E72D297353CC}">
              <c16:uniqueId val="{00000001-3570-C64D-9B30-1DA2A43E3B90}"/>
            </c:ext>
          </c:extLst>
        </c:ser>
        <c:ser>
          <c:idx val="2"/>
          <c:order val="2"/>
          <c:tx>
            <c:strRef>
              <c:f>MiZa!$A$5</c:f>
              <c:strCache>
                <c:ptCount val="1"/>
                <c:pt idx="0">
                  <c:v>služby</c:v>
                </c:pt>
              </c:strCache>
            </c:strRef>
          </c:tx>
          <c:spPr>
            <a:ln w="28575" cap="rnd">
              <a:solidFill>
                <a:schemeClr val="accent3"/>
              </a:solidFill>
              <a:round/>
            </a:ln>
            <a:effectLst/>
          </c:spPr>
          <c:marker>
            <c:symbol val="none"/>
          </c:marker>
          <c:cat>
            <c:strRef>
              <c:f>MiZa!$B$1:$L$2</c:f>
              <c:strCache>
                <c:ptCount val="11"/>
                <c:pt idx="0">
                  <c:v>do 99</c:v>
                </c:pt>
                <c:pt idx="1">
                  <c:v>100-199</c:v>
                </c:pt>
                <c:pt idx="2">
                  <c:v>200-499</c:v>
                </c:pt>
                <c:pt idx="3">
                  <c:v>500-999</c:v>
                </c:pt>
                <c:pt idx="4">
                  <c:v>1000-1999</c:v>
                </c:pt>
                <c:pt idx="5">
                  <c:v>2000-4999</c:v>
                </c:pt>
                <c:pt idx="6">
                  <c:v>5000-9999</c:v>
                </c:pt>
                <c:pt idx="7">
                  <c:v>10 000-19 999</c:v>
                </c:pt>
                <c:pt idx="8">
                  <c:v>20 000-49 999</c:v>
                </c:pt>
                <c:pt idx="9">
                  <c:v>50 000-99 999</c:v>
                </c:pt>
                <c:pt idx="10">
                  <c:v>100 000 a více</c:v>
                </c:pt>
              </c:strCache>
            </c:strRef>
          </c:cat>
          <c:val>
            <c:numRef>
              <c:f>MiZa!$B$5:$L$5</c:f>
              <c:numCache>
                <c:formatCode>#,##0.00</c:formatCode>
                <c:ptCount val="11"/>
                <c:pt idx="0">
                  <c:v>0.51508771929824559</c:v>
                </c:pt>
                <c:pt idx="1">
                  <c:v>0.51678815992931304</c:v>
                </c:pt>
                <c:pt idx="2">
                  <c:v>0.55119009584664536</c:v>
                </c:pt>
                <c:pt idx="3">
                  <c:v>0.61477314672808281</c:v>
                </c:pt>
                <c:pt idx="4">
                  <c:v>0.64019474032278489</c:v>
                </c:pt>
                <c:pt idx="5">
                  <c:v>0.70297794008491432</c:v>
                </c:pt>
                <c:pt idx="6">
                  <c:v>0.86466607397043316</c:v>
                </c:pt>
                <c:pt idx="7">
                  <c:v>0.97884027079620817</c:v>
                </c:pt>
                <c:pt idx="8">
                  <c:v>1.0641740898468253</c:v>
                </c:pt>
                <c:pt idx="9">
                  <c:v>1.0822590520064908</c:v>
                </c:pt>
                <c:pt idx="10">
                  <c:v>1.1656615062235229</c:v>
                </c:pt>
              </c:numCache>
            </c:numRef>
          </c:val>
          <c:smooth val="0"/>
          <c:extLst>
            <c:ext xmlns:c16="http://schemas.microsoft.com/office/drawing/2014/chart" uri="{C3380CC4-5D6E-409C-BE32-E72D297353CC}">
              <c16:uniqueId val="{00000002-3570-C64D-9B30-1DA2A43E3B90}"/>
            </c:ext>
          </c:extLst>
        </c:ser>
        <c:dLbls>
          <c:showLegendKey val="0"/>
          <c:showVal val="0"/>
          <c:showCatName val="0"/>
          <c:showSerName val="0"/>
          <c:showPercent val="0"/>
          <c:showBubbleSize val="0"/>
        </c:dLbls>
        <c:smooth val="0"/>
        <c:axId val="81441536"/>
        <c:axId val="81443072"/>
      </c:lineChart>
      <c:catAx>
        <c:axId val="8144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1443072"/>
        <c:crosses val="autoZero"/>
        <c:auto val="1"/>
        <c:lblAlgn val="ctr"/>
        <c:lblOffset val="100"/>
        <c:noMultiLvlLbl val="0"/>
      </c:catAx>
      <c:valAx>
        <c:axId val="81443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144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zam.!$A$5</c:f>
              <c:strCache>
                <c:ptCount val="1"/>
                <c:pt idx="0">
                  <c:v>Podíl  pracovních míst na počtu zaměstnaných (%)</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zam.!$B$2:$L$2</c:f>
              <c:strCache>
                <c:ptCount val="11"/>
                <c:pt idx="0">
                  <c:v>do 99</c:v>
                </c:pt>
                <c:pt idx="1">
                  <c:v>100-199</c:v>
                </c:pt>
                <c:pt idx="2">
                  <c:v>200-499</c:v>
                </c:pt>
                <c:pt idx="3">
                  <c:v>500-999</c:v>
                </c:pt>
                <c:pt idx="4">
                  <c:v>1000-1999</c:v>
                </c:pt>
                <c:pt idx="5">
                  <c:v>2000-4999</c:v>
                </c:pt>
                <c:pt idx="6">
                  <c:v>5000-9999</c:v>
                </c:pt>
                <c:pt idx="7">
                  <c:v>10 000-19 999</c:v>
                </c:pt>
                <c:pt idx="8">
                  <c:v>20 000-49 999</c:v>
                </c:pt>
                <c:pt idx="9">
                  <c:v>50 000-99 999</c:v>
                </c:pt>
                <c:pt idx="10">
                  <c:v>100 000 a více</c:v>
                </c:pt>
              </c:strCache>
            </c:strRef>
          </c:cat>
          <c:val>
            <c:numRef>
              <c:f>zam.!$B$5:$L$5</c:f>
              <c:numCache>
                <c:formatCode>0.0</c:formatCode>
                <c:ptCount val="11"/>
                <c:pt idx="0">
                  <c:v>65.912727272727267</c:v>
                </c:pt>
                <c:pt idx="1">
                  <c:v>65.613799981300829</c:v>
                </c:pt>
                <c:pt idx="2">
                  <c:v>69.826337326037773</c:v>
                </c:pt>
                <c:pt idx="3">
                  <c:v>74.702021998025501</c:v>
                </c:pt>
                <c:pt idx="4">
                  <c:v>77.148677781472898</c:v>
                </c:pt>
                <c:pt idx="5">
                  <c:v>84.567303577033186</c:v>
                </c:pt>
                <c:pt idx="6">
                  <c:v>97.882509878935835</c:v>
                </c:pt>
                <c:pt idx="7">
                  <c:v>109.19334814110708</c:v>
                </c:pt>
                <c:pt idx="8">
                  <c:v>114.24847989127254</c:v>
                </c:pt>
                <c:pt idx="9">
                  <c:v>112.48420446487127</c:v>
                </c:pt>
                <c:pt idx="10">
                  <c:v>122.4930100771987</c:v>
                </c:pt>
              </c:numCache>
            </c:numRef>
          </c:val>
          <c:extLst>
            <c:ext xmlns:c16="http://schemas.microsoft.com/office/drawing/2014/chart" uri="{C3380CC4-5D6E-409C-BE32-E72D297353CC}">
              <c16:uniqueId val="{00000000-015E-104B-8B67-41D25F154D14}"/>
            </c:ext>
          </c:extLst>
        </c:ser>
        <c:dLbls>
          <c:showLegendKey val="0"/>
          <c:showVal val="0"/>
          <c:showCatName val="0"/>
          <c:showSerName val="0"/>
          <c:showPercent val="0"/>
          <c:showBubbleSize val="0"/>
        </c:dLbls>
        <c:gapWidth val="219"/>
        <c:axId val="81480704"/>
        <c:axId val="81479168"/>
      </c:barChart>
      <c:lineChart>
        <c:grouping val="standard"/>
        <c:varyColors val="0"/>
        <c:ser>
          <c:idx val="0"/>
          <c:order val="0"/>
          <c:tx>
            <c:strRef>
              <c:f>zam.!$A$3</c:f>
              <c:strCache>
                <c:ptCount val="1"/>
                <c:pt idx="0">
                  <c:v>zaměstnaní obyvatelé obce</c:v>
                </c:pt>
              </c:strCache>
            </c:strRef>
          </c:tx>
          <c:spPr>
            <a:ln w="28575" cap="rnd">
              <a:solidFill>
                <a:schemeClr val="accent1"/>
              </a:solidFill>
              <a:round/>
            </a:ln>
            <a:effectLst/>
          </c:spPr>
          <c:marker>
            <c:symbol val="none"/>
          </c:marker>
          <c:cat>
            <c:strRef>
              <c:f>zam.!$B$2:$L$2</c:f>
              <c:strCache>
                <c:ptCount val="11"/>
                <c:pt idx="0">
                  <c:v>do 99</c:v>
                </c:pt>
                <c:pt idx="1">
                  <c:v>100-199</c:v>
                </c:pt>
                <c:pt idx="2">
                  <c:v>200-499</c:v>
                </c:pt>
                <c:pt idx="3">
                  <c:v>500-999</c:v>
                </c:pt>
                <c:pt idx="4">
                  <c:v>1000-1999</c:v>
                </c:pt>
                <c:pt idx="5">
                  <c:v>2000-4999</c:v>
                </c:pt>
                <c:pt idx="6">
                  <c:v>5000-9999</c:v>
                </c:pt>
                <c:pt idx="7">
                  <c:v>10 000-19 999</c:v>
                </c:pt>
                <c:pt idx="8">
                  <c:v>20 000-49 999</c:v>
                </c:pt>
                <c:pt idx="9">
                  <c:v>50 000-99 999</c:v>
                </c:pt>
                <c:pt idx="10">
                  <c:v>100 000 a více</c:v>
                </c:pt>
              </c:strCache>
            </c:strRef>
          </c:cat>
          <c:val>
            <c:numRef>
              <c:f>zam.!$B$3:$L$3</c:f>
              <c:numCache>
                <c:formatCode>#,##0</c:formatCode>
                <c:ptCount val="11"/>
                <c:pt idx="0">
                  <c:v>13750</c:v>
                </c:pt>
                <c:pt idx="1">
                  <c:v>64174</c:v>
                </c:pt>
                <c:pt idx="2">
                  <c:v>275419</c:v>
                </c:pt>
                <c:pt idx="3">
                  <c:v>402127</c:v>
                </c:pt>
                <c:pt idx="4">
                  <c:v>429997</c:v>
                </c:pt>
                <c:pt idx="5">
                  <c:v>525715</c:v>
                </c:pt>
                <c:pt idx="6">
                  <c:v>397310</c:v>
                </c:pt>
                <c:pt idx="7">
                  <c:v>412396</c:v>
                </c:pt>
                <c:pt idx="8">
                  <c:v>563611</c:v>
                </c:pt>
                <c:pt idx="9">
                  <c:v>375106</c:v>
                </c:pt>
                <c:pt idx="10">
                  <c:v>1041857</c:v>
                </c:pt>
              </c:numCache>
            </c:numRef>
          </c:val>
          <c:smooth val="0"/>
          <c:extLst>
            <c:ext xmlns:c16="http://schemas.microsoft.com/office/drawing/2014/chart" uri="{C3380CC4-5D6E-409C-BE32-E72D297353CC}">
              <c16:uniqueId val="{00000001-015E-104B-8B67-41D25F154D14}"/>
            </c:ext>
          </c:extLst>
        </c:ser>
        <c:ser>
          <c:idx val="1"/>
          <c:order val="1"/>
          <c:tx>
            <c:strRef>
              <c:f>zam.!$A$4</c:f>
              <c:strCache>
                <c:ptCount val="1"/>
                <c:pt idx="0">
                  <c:v>pracovní místa v obci</c:v>
                </c:pt>
              </c:strCache>
            </c:strRef>
          </c:tx>
          <c:spPr>
            <a:ln w="28575" cap="rnd">
              <a:solidFill>
                <a:schemeClr val="accent2"/>
              </a:solidFill>
              <a:round/>
            </a:ln>
            <a:effectLst/>
          </c:spPr>
          <c:marker>
            <c:symbol val="none"/>
          </c:marker>
          <c:cat>
            <c:strRef>
              <c:f>zam.!$B$2:$L$2</c:f>
              <c:strCache>
                <c:ptCount val="11"/>
                <c:pt idx="0">
                  <c:v>do 99</c:v>
                </c:pt>
                <c:pt idx="1">
                  <c:v>100-199</c:v>
                </c:pt>
                <c:pt idx="2">
                  <c:v>200-499</c:v>
                </c:pt>
                <c:pt idx="3">
                  <c:v>500-999</c:v>
                </c:pt>
                <c:pt idx="4">
                  <c:v>1000-1999</c:v>
                </c:pt>
                <c:pt idx="5">
                  <c:v>2000-4999</c:v>
                </c:pt>
                <c:pt idx="6">
                  <c:v>5000-9999</c:v>
                </c:pt>
                <c:pt idx="7">
                  <c:v>10 000-19 999</c:v>
                </c:pt>
                <c:pt idx="8">
                  <c:v>20 000-49 999</c:v>
                </c:pt>
                <c:pt idx="9">
                  <c:v>50 000-99 999</c:v>
                </c:pt>
                <c:pt idx="10">
                  <c:v>100 000 a více</c:v>
                </c:pt>
              </c:strCache>
            </c:strRef>
          </c:cat>
          <c:val>
            <c:numRef>
              <c:f>zam.!$B$4:$L$4</c:f>
              <c:numCache>
                <c:formatCode>#,##0</c:formatCode>
                <c:ptCount val="11"/>
                <c:pt idx="0">
                  <c:v>9063</c:v>
                </c:pt>
                <c:pt idx="1">
                  <c:v>42107</c:v>
                </c:pt>
                <c:pt idx="2">
                  <c:v>192315</c:v>
                </c:pt>
                <c:pt idx="3">
                  <c:v>300397</c:v>
                </c:pt>
                <c:pt idx="4">
                  <c:v>331737</c:v>
                </c:pt>
                <c:pt idx="5">
                  <c:v>444583</c:v>
                </c:pt>
                <c:pt idx="6">
                  <c:v>388897</c:v>
                </c:pt>
                <c:pt idx="7">
                  <c:v>450309</c:v>
                </c:pt>
                <c:pt idx="8">
                  <c:v>643917</c:v>
                </c:pt>
                <c:pt idx="9">
                  <c:v>421935</c:v>
                </c:pt>
                <c:pt idx="10">
                  <c:v>1276202</c:v>
                </c:pt>
              </c:numCache>
            </c:numRef>
          </c:val>
          <c:smooth val="0"/>
          <c:extLst>
            <c:ext xmlns:c16="http://schemas.microsoft.com/office/drawing/2014/chart" uri="{C3380CC4-5D6E-409C-BE32-E72D297353CC}">
              <c16:uniqueId val="{00000002-015E-104B-8B67-41D25F154D14}"/>
            </c:ext>
          </c:extLst>
        </c:ser>
        <c:dLbls>
          <c:showLegendKey val="0"/>
          <c:showVal val="0"/>
          <c:showCatName val="0"/>
          <c:showSerName val="0"/>
          <c:showPercent val="0"/>
          <c:showBubbleSize val="0"/>
        </c:dLbls>
        <c:marker val="1"/>
        <c:smooth val="0"/>
        <c:axId val="81467648"/>
        <c:axId val="81477632"/>
      </c:lineChart>
      <c:catAx>
        <c:axId val="8146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1477632"/>
        <c:crosses val="autoZero"/>
        <c:auto val="1"/>
        <c:lblAlgn val="ctr"/>
        <c:lblOffset val="100"/>
        <c:noMultiLvlLbl val="0"/>
      </c:catAx>
      <c:valAx>
        <c:axId val="81477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1467648"/>
        <c:crosses val="autoZero"/>
        <c:crossBetween val="between"/>
      </c:valAx>
      <c:valAx>
        <c:axId val="8147916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1480704"/>
        <c:crosses val="max"/>
        <c:crossBetween val="between"/>
      </c:valAx>
      <c:catAx>
        <c:axId val="81480704"/>
        <c:scaling>
          <c:orientation val="minMax"/>
        </c:scaling>
        <c:delete val="1"/>
        <c:axPos val="b"/>
        <c:numFmt formatCode="General" sourceLinked="1"/>
        <c:majorTickMark val="out"/>
        <c:minorTickMark val="none"/>
        <c:tickLblPos val="nextTo"/>
        <c:crossAx val="814791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914260717410324E-2"/>
          <c:y val="5.5555555555555552E-2"/>
          <c:w val="0.9155301837270341"/>
          <c:h val="0.73577136191309422"/>
        </c:manualLayout>
      </c:layout>
      <c:lineChart>
        <c:grouping val="standard"/>
        <c:varyColors val="0"/>
        <c:ser>
          <c:idx val="0"/>
          <c:order val="0"/>
          <c:tx>
            <c:strRef>
              <c:f>'Tabulky TU 17'!$B$34</c:f>
              <c:strCache>
                <c:ptCount val="1"/>
                <c:pt idx="0">
                  <c:v>PNO město</c:v>
                </c:pt>
              </c:strCache>
            </c:strRef>
          </c:tx>
          <c:spPr>
            <a:ln w="28575" cap="rnd">
              <a:solidFill>
                <a:srgbClr val="FF0000"/>
              </a:solidFill>
              <a:round/>
            </a:ln>
            <a:effectLst/>
          </c:spPr>
          <c:marker>
            <c:symbol val="none"/>
          </c:marker>
          <c:dLbls>
            <c:dLbl>
              <c:idx val="1"/>
              <c:layout>
                <c:manualLayout>
                  <c:x val="-5.5555555555555809E-3"/>
                  <c:y val="-4.1666666666666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67-C245-ADDE-CE2E56ECF6FD}"/>
                </c:ext>
              </c:extLst>
            </c:dLbl>
            <c:dLbl>
              <c:idx val="2"/>
              <c:layout>
                <c:manualLayout>
                  <c:x val="-2.7777777777778286E-3"/>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67-C245-ADDE-CE2E56ECF6FD}"/>
                </c:ext>
              </c:extLst>
            </c:dLbl>
            <c:dLbl>
              <c:idx val="3"/>
              <c:layout>
                <c:manualLayout>
                  <c:x val="-5.5555555555556061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67-C245-ADDE-CE2E56ECF6FD}"/>
                </c:ext>
              </c:extLst>
            </c:dLbl>
            <c:dLbl>
              <c:idx val="5"/>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67-C245-ADDE-CE2E56ECF6FD}"/>
                </c:ext>
              </c:extLst>
            </c:dLbl>
            <c:dLbl>
              <c:idx val="6"/>
              <c:layout>
                <c:manualLayout>
                  <c:x val="-1.9444444444444445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67-C245-ADDE-CE2E56ECF6FD}"/>
                </c:ext>
              </c:extLst>
            </c:dLbl>
            <c:dLbl>
              <c:idx val="7"/>
              <c:layout>
                <c:manualLayout>
                  <c:x val="-1.0185067526415994E-16"/>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67-C245-ADDE-CE2E56ECF6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'Tabulky TU 17'!$C$33:$L$33</c:f>
              <c:strCache>
                <c:ptCount val="10"/>
                <c:pt idx="0">
                  <c:v>III.15</c:v>
                </c:pt>
                <c:pt idx="1">
                  <c:v>VI.15</c:v>
                </c:pt>
                <c:pt idx="2">
                  <c:v>IX.15</c:v>
                </c:pt>
                <c:pt idx="3">
                  <c:v>XII.15</c:v>
                </c:pt>
                <c:pt idx="4">
                  <c:v>III.16</c:v>
                </c:pt>
                <c:pt idx="5">
                  <c:v>VI.16</c:v>
                </c:pt>
                <c:pt idx="6">
                  <c:v>IX.16</c:v>
                </c:pt>
                <c:pt idx="7">
                  <c:v>XII.16</c:v>
                </c:pt>
                <c:pt idx="8">
                  <c:v>III.17</c:v>
                </c:pt>
                <c:pt idx="9">
                  <c:v>VI.17</c:v>
                </c:pt>
              </c:strCache>
            </c:strRef>
          </c:cat>
          <c:val>
            <c:numRef>
              <c:f>'Tabulky TU 17'!$C$34:$L$34</c:f>
              <c:numCache>
                <c:formatCode>General</c:formatCode>
                <c:ptCount val="10"/>
                <c:pt idx="0">
                  <c:v>7.2</c:v>
                </c:pt>
                <c:pt idx="1">
                  <c:v>6.4</c:v>
                </c:pt>
                <c:pt idx="2">
                  <c:v>6.2</c:v>
                </c:pt>
                <c:pt idx="3">
                  <c:v>6.2</c:v>
                </c:pt>
                <c:pt idx="4" formatCode="0.0">
                  <c:v>6.14457994614546</c:v>
                </c:pt>
                <c:pt idx="5" formatCode="0.0">
                  <c:v>5.4589352718193105</c:v>
                </c:pt>
                <c:pt idx="6" formatCode="0.0">
                  <c:v>5.3493523332091302</c:v>
                </c:pt>
                <c:pt idx="7" formatCode="0.0">
                  <c:v>5.2035887577608149</c:v>
                </c:pt>
                <c:pt idx="8">
                  <c:v>4.9000000000000004</c:v>
                </c:pt>
                <c:pt idx="9">
                  <c:v>4.2</c:v>
                </c:pt>
              </c:numCache>
            </c:numRef>
          </c:val>
          <c:smooth val="0"/>
          <c:extLst>
            <c:ext xmlns:c16="http://schemas.microsoft.com/office/drawing/2014/chart" uri="{C3380CC4-5D6E-409C-BE32-E72D297353CC}">
              <c16:uniqueId val="{00000006-8367-C245-ADDE-CE2E56ECF6FD}"/>
            </c:ext>
          </c:extLst>
        </c:ser>
        <c:ser>
          <c:idx val="1"/>
          <c:order val="1"/>
          <c:tx>
            <c:strRef>
              <c:f>'Tabulky TU 17'!$B$35</c:f>
              <c:strCache>
                <c:ptCount val="1"/>
                <c:pt idx="0">
                  <c:v>PNO venkov</c:v>
                </c:pt>
              </c:strCache>
            </c:strRef>
          </c:tx>
          <c:spPr>
            <a:ln w="28575" cap="rnd">
              <a:solidFill>
                <a:srgbClr val="00B050"/>
              </a:solidFill>
              <a:round/>
            </a:ln>
            <a:effectLst/>
          </c:spPr>
          <c:marker>
            <c:symbol val="none"/>
          </c:marker>
          <c:dLbls>
            <c:dLbl>
              <c:idx val="0"/>
              <c:layout>
                <c:manualLayout>
                  <c:x val="-6.1111111111111109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67-C245-ADDE-CE2E56ECF6FD}"/>
                </c:ext>
              </c:extLst>
            </c:dLbl>
            <c:dLbl>
              <c:idx val="1"/>
              <c:layout>
                <c:manualLayout>
                  <c:x val="-2.2222222222222247E-2"/>
                  <c:y val="-3.2407407407407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367-C245-ADDE-CE2E56ECF6FD}"/>
                </c:ext>
              </c:extLst>
            </c:dLbl>
            <c:dLbl>
              <c:idx val="4"/>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67-C245-ADDE-CE2E56ECF6FD}"/>
                </c:ext>
              </c:extLst>
            </c:dLbl>
            <c:dLbl>
              <c:idx val="5"/>
              <c:layout>
                <c:manualLayout>
                  <c:x val="0"/>
                  <c:y val="-2.31481481481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367-C245-ADDE-CE2E56ECF6FD}"/>
                </c:ext>
              </c:extLst>
            </c:dLbl>
            <c:dLbl>
              <c:idx val="6"/>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367-C245-ADDE-CE2E56ECF6FD}"/>
                </c:ext>
              </c:extLst>
            </c:dLbl>
            <c:dLbl>
              <c:idx val="8"/>
              <c:layout>
                <c:manualLayout>
                  <c:x val="5.5555555555554534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367-C245-ADDE-CE2E56ECF6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'Tabulky TU 17'!$C$33:$L$33</c:f>
              <c:strCache>
                <c:ptCount val="10"/>
                <c:pt idx="0">
                  <c:v>III.15</c:v>
                </c:pt>
                <c:pt idx="1">
                  <c:v>VI.15</c:v>
                </c:pt>
                <c:pt idx="2">
                  <c:v>IX.15</c:v>
                </c:pt>
                <c:pt idx="3">
                  <c:v>XII.15</c:v>
                </c:pt>
                <c:pt idx="4">
                  <c:v>III.16</c:v>
                </c:pt>
                <c:pt idx="5">
                  <c:v>VI.16</c:v>
                </c:pt>
                <c:pt idx="6">
                  <c:v>IX.16</c:v>
                </c:pt>
                <c:pt idx="7">
                  <c:v>XII.16</c:v>
                </c:pt>
                <c:pt idx="8">
                  <c:v>III.17</c:v>
                </c:pt>
                <c:pt idx="9">
                  <c:v>VI.17</c:v>
                </c:pt>
              </c:strCache>
            </c:strRef>
          </c:cat>
          <c:val>
            <c:numRef>
              <c:f>'Tabulky TU 17'!$C$35:$L$35</c:f>
              <c:numCache>
                <c:formatCode>General</c:formatCode>
                <c:ptCount val="10"/>
                <c:pt idx="0">
                  <c:v>6.7</c:v>
                </c:pt>
                <c:pt idx="1">
                  <c:v>5.2</c:v>
                </c:pt>
                <c:pt idx="2">
                  <c:v>5.2</c:v>
                </c:pt>
                <c:pt idx="3">
                  <c:v>5.8</c:v>
                </c:pt>
                <c:pt idx="4" formatCode="0.0">
                  <c:v>5.6004057497296227</c:v>
                </c:pt>
                <c:pt idx="5" formatCode="0.0">
                  <c:v>4.3550436013120777</c:v>
                </c:pt>
                <c:pt idx="6" formatCode="0.0">
                  <c:v>4.3108286294827316</c:v>
                </c:pt>
                <c:pt idx="7" formatCode="0.0">
                  <c:v>4.7651466437007564</c:v>
                </c:pt>
                <c:pt idx="8">
                  <c:v>4.3</c:v>
                </c:pt>
                <c:pt idx="9">
                  <c:v>3.2</c:v>
                </c:pt>
              </c:numCache>
            </c:numRef>
          </c:val>
          <c:smooth val="0"/>
          <c:extLst>
            <c:ext xmlns:c16="http://schemas.microsoft.com/office/drawing/2014/chart" uri="{C3380CC4-5D6E-409C-BE32-E72D297353CC}">
              <c16:uniqueId val="{0000000D-8367-C245-ADDE-CE2E56ECF6FD}"/>
            </c:ext>
          </c:extLst>
        </c:ser>
        <c:ser>
          <c:idx val="2"/>
          <c:order val="2"/>
          <c:tx>
            <c:strRef>
              <c:f>'Tabulky TU 17'!$B$36</c:f>
              <c:strCache>
                <c:ptCount val="1"/>
                <c:pt idx="0">
                  <c:v>PNO celkem</c:v>
                </c:pt>
              </c:strCache>
            </c:strRef>
          </c:tx>
          <c:spPr>
            <a:ln w="28575" cap="rnd">
              <a:solidFill>
                <a:schemeClr val="accent3"/>
              </a:solidFill>
              <a:round/>
            </a:ln>
            <a:effectLst/>
          </c:spPr>
          <c:marker>
            <c:symbol val="none"/>
          </c:marker>
          <c:cat>
            <c:strRef>
              <c:f>'Tabulky TU 17'!$C$33:$L$33</c:f>
              <c:strCache>
                <c:ptCount val="10"/>
                <c:pt idx="0">
                  <c:v>III.15</c:v>
                </c:pt>
                <c:pt idx="1">
                  <c:v>VI.15</c:v>
                </c:pt>
                <c:pt idx="2">
                  <c:v>IX.15</c:v>
                </c:pt>
                <c:pt idx="3">
                  <c:v>XII.15</c:v>
                </c:pt>
                <c:pt idx="4">
                  <c:v>III.16</c:v>
                </c:pt>
                <c:pt idx="5">
                  <c:v>VI.16</c:v>
                </c:pt>
                <c:pt idx="6">
                  <c:v>IX.16</c:v>
                </c:pt>
                <c:pt idx="7">
                  <c:v>XII.16</c:v>
                </c:pt>
                <c:pt idx="8">
                  <c:v>III.17</c:v>
                </c:pt>
                <c:pt idx="9">
                  <c:v>VI.17</c:v>
                </c:pt>
              </c:strCache>
            </c:strRef>
          </c:cat>
          <c:val>
            <c:numRef>
              <c:f>'Tabulky TU 17'!$C$36:$L$36</c:f>
              <c:numCache>
                <c:formatCode>General</c:formatCode>
                <c:ptCount val="10"/>
                <c:pt idx="0">
                  <c:v>7.1</c:v>
                </c:pt>
                <c:pt idx="1">
                  <c:v>6.1</c:v>
                </c:pt>
                <c:pt idx="2">
                  <c:v>5.9</c:v>
                </c:pt>
                <c:pt idx="3">
                  <c:v>6.1</c:v>
                </c:pt>
                <c:pt idx="4" formatCode="0.0">
                  <c:v>5.9963145112368821</c:v>
                </c:pt>
                <c:pt idx="5" formatCode="0.0">
                  <c:v>5.1581694881829279</c:v>
                </c:pt>
                <c:pt idx="6" formatCode="0.0">
                  <c:v>5.0663966737713668</c:v>
                </c:pt>
                <c:pt idx="7" formatCode="0.0">
                  <c:v>5.0841310342018788</c:v>
                </c:pt>
                <c:pt idx="8" formatCode="0.0">
                  <c:v>4.7</c:v>
                </c:pt>
                <c:pt idx="9" formatCode="0.0">
                  <c:v>3.9</c:v>
                </c:pt>
              </c:numCache>
            </c:numRef>
          </c:val>
          <c:smooth val="0"/>
          <c:extLst>
            <c:ext xmlns:c16="http://schemas.microsoft.com/office/drawing/2014/chart" uri="{C3380CC4-5D6E-409C-BE32-E72D297353CC}">
              <c16:uniqueId val="{0000000E-8367-C245-ADDE-CE2E56ECF6FD}"/>
            </c:ext>
          </c:extLst>
        </c:ser>
        <c:dLbls>
          <c:showLegendKey val="0"/>
          <c:showVal val="0"/>
          <c:showCatName val="0"/>
          <c:showSerName val="0"/>
          <c:showPercent val="0"/>
          <c:showBubbleSize val="0"/>
        </c:dLbls>
        <c:smooth val="0"/>
        <c:axId val="81525760"/>
        <c:axId val="82465536"/>
      </c:lineChart>
      <c:catAx>
        <c:axId val="815257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2465536"/>
        <c:crosses val="autoZero"/>
        <c:auto val="1"/>
        <c:lblAlgn val="ctr"/>
        <c:lblOffset val="100"/>
        <c:noMultiLvlLbl val="0"/>
      </c:catAx>
      <c:valAx>
        <c:axId val="82465536"/>
        <c:scaling>
          <c:orientation val="minMax"/>
          <c:min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1525760"/>
        <c:crosses val="autoZero"/>
        <c:crossBetween val="between"/>
      </c:valAx>
      <c:spPr>
        <a:noFill/>
        <a:ln>
          <a:noFill/>
        </a:ln>
        <a:effectLst/>
      </c:spPr>
    </c:plotArea>
    <c:legend>
      <c:legendPos val="b"/>
      <c:layout>
        <c:manualLayout>
          <c:xMode val="edge"/>
          <c:yMode val="edge"/>
          <c:x val="4.9894360219897876E-2"/>
          <c:y val="0.89068043913865602"/>
          <c:w val="0.91790043657478126"/>
          <c:h val="8.06457257358959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cs-CZ"/>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'FINAL TU'!$L$3</c:f>
              <c:strCache>
                <c:ptCount val="1"/>
                <c:pt idx="0">
                  <c:v>DU město</c:v>
                </c:pt>
              </c:strCache>
            </c:strRef>
          </c:tx>
          <c:spPr>
            <a:ln w="28575" cap="rnd">
              <a:solidFill>
                <a:srgbClr val="FF0000"/>
              </a:solidFill>
              <a:round/>
            </a:ln>
            <a:effectLst/>
          </c:spPr>
          <c:marker>
            <c:symbol val="none"/>
          </c:marker>
          <c:cat>
            <c:strRef>
              <c:f>'FINAL TU'!$M$2:$V$2</c:f>
              <c:strCache>
                <c:ptCount val="10"/>
                <c:pt idx="0">
                  <c:v>III.15</c:v>
                </c:pt>
                <c:pt idx="1">
                  <c:v>VI.15</c:v>
                </c:pt>
                <c:pt idx="2">
                  <c:v>IX.15</c:v>
                </c:pt>
                <c:pt idx="3">
                  <c:v>XII.15</c:v>
                </c:pt>
                <c:pt idx="4">
                  <c:v>III.16</c:v>
                </c:pt>
                <c:pt idx="5">
                  <c:v>VI.16</c:v>
                </c:pt>
                <c:pt idx="6">
                  <c:v>IX.16</c:v>
                </c:pt>
                <c:pt idx="7">
                  <c:v>XII.16</c:v>
                </c:pt>
                <c:pt idx="8">
                  <c:v>III.17</c:v>
                </c:pt>
                <c:pt idx="9">
                  <c:v>VI.17</c:v>
                </c:pt>
              </c:strCache>
            </c:strRef>
          </c:cat>
          <c:val>
            <c:numRef>
              <c:f>'FINAL TU'!$M$3:$V$3</c:f>
              <c:numCache>
                <c:formatCode>General</c:formatCode>
                <c:ptCount val="10"/>
                <c:pt idx="0">
                  <c:v>371856</c:v>
                </c:pt>
                <c:pt idx="1">
                  <c:v>329280</c:v>
                </c:pt>
                <c:pt idx="2">
                  <c:v>320216</c:v>
                </c:pt>
                <c:pt idx="3">
                  <c:v>320682</c:v>
                </c:pt>
                <c:pt idx="4" formatCode="#,##0">
                  <c:v>312828</c:v>
                </c:pt>
                <c:pt idx="5">
                  <c:v>277921</c:v>
                </c:pt>
                <c:pt idx="6">
                  <c:v>272342</c:v>
                </c:pt>
                <c:pt idx="7">
                  <c:v>264921</c:v>
                </c:pt>
                <c:pt idx="8">
                  <c:v>244394</c:v>
                </c:pt>
                <c:pt idx="9">
                  <c:v>209010</c:v>
                </c:pt>
              </c:numCache>
            </c:numRef>
          </c:val>
          <c:smooth val="0"/>
          <c:extLst>
            <c:ext xmlns:c16="http://schemas.microsoft.com/office/drawing/2014/chart" uri="{C3380CC4-5D6E-409C-BE32-E72D297353CC}">
              <c16:uniqueId val="{00000000-1A95-8E43-BFF5-47824CB5CA7B}"/>
            </c:ext>
          </c:extLst>
        </c:ser>
        <c:ser>
          <c:idx val="1"/>
          <c:order val="1"/>
          <c:tx>
            <c:strRef>
              <c:f>'FINAL TU'!$L$4</c:f>
              <c:strCache>
                <c:ptCount val="1"/>
                <c:pt idx="0">
                  <c:v>DU venkov</c:v>
                </c:pt>
              </c:strCache>
            </c:strRef>
          </c:tx>
          <c:spPr>
            <a:ln w="28575" cap="rnd">
              <a:solidFill>
                <a:srgbClr val="00B050"/>
              </a:solidFill>
              <a:round/>
            </a:ln>
            <a:effectLst/>
          </c:spPr>
          <c:marker>
            <c:symbol val="none"/>
          </c:marker>
          <c:cat>
            <c:strRef>
              <c:f>'FINAL TU'!$M$2:$V$2</c:f>
              <c:strCache>
                <c:ptCount val="10"/>
                <c:pt idx="0">
                  <c:v>III.15</c:v>
                </c:pt>
                <c:pt idx="1">
                  <c:v>VI.15</c:v>
                </c:pt>
                <c:pt idx="2">
                  <c:v>IX.15</c:v>
                </c:pt>
                <c:pt idx="3">
                  <c:v>XII.15</c:v>
                </c:pt>
                <c:pt idx="4">
                  <c:v>III.16</c:v>
                </c:pt>
                <c:pt idx="5">
                  <c:v>VI.16</c:v>
                </c:pt>
                <c:pt idx="6">
                  <c:v>IX.16</c:v>
                </c:pt>
                <c:pt idx="7">
                  <c:v>XII.16</c:v>
                </c:pt>
                <c:pt idx="8">
                  <c:v>III.17</c:v>
                </c:pt>
                <c:pt idx="9">
                  <c:v>VI.17</c:v>
                </c:pt>
              </c:strCache>
            </c:strRef>
          </c:cat>
          <c:val>
            <c:numRef>
              <c:f>'FINAL TU'!$M$4:$V$4</c:f>
              <c:numCache>
                <c:formatCode>General</c:formatCode>
                <c:ptCount val="10"/>
                <c:pt idx="0">
                  <c:v>129412</c:v>
                </c:pt>
                <c:pt idx="1">
                  <c:v>100240</c:v>
                </c:pt>
                <c:pt idx="2">
                  <c:v>98821</c:v>
                </c:pt>
                <c:pt idx="3">
                  <c:v>110751</c:v>
                </c:pt>
                <c:pt idx="4">
                  <c:v>106777</c:v>
                </c:pt>
                <c:pt idx="5">
                  <c:v>83033</c:v>
                </c:pt>
                <c:pt idx="6">
                  <c:v>82190</c:v>
                </c:pt>
                <c:pt idx="7">
                  <c:v>90852</c:v>
                </c:pt>
                <c:pt idx="8">
                  <c:v>86632</c:v>
                </c:pt>
                <c:pt idx="9">
                  <c:v>61779</c:v>
                </c:pt>
              </c:numCache>
            </c:numRef>
          </c:val>
          <c:smooth val="0"/>
          <c:extLst>
            <c:ext xmlns:c16="http://schemas.microsoft.com/office/drawing/2014/chart" uri="{C3380CC4-5D6E-409C-BE32-E72D297353CC}">
              <c16:uniqueId val="{00000001-1A95-8E43-BFF5-47824CB5CA7B}"/>
            </c:ext>
          </c:extLst>
        </c:ser>
        <c:ser>
          <c:idx val="2"/>
          <c:order val="2"/>
          <c:tx>
            <c:strRef>
              <c:f>'FINAL TU'!$L$5</c:f>
              <c:strCache>
                <c:ptCount val="1"/>
                <c:pt idx="0">
                  <c:v>VPM město</c:v>
                </c:pt>
              </c:strCache>
            </c:strRef>
          </c:tx>
          <c:spPr>
            <a:ln w="28575" cap="rnd">
              <a:solidFill>
                <a:srgbClr val="FF0000"/>
              </a:solidFill>
              <a:prstDash val="sysDash"/>
              <a:round/>
            </a:ln>
            <a:effectLst/>
          </c:spPr>
          <c:marker>
            <c:symbol val="none"/>
          </c:marker>
          <c:cat>
            <c:strRef>
              <c:f>'FINAL TU'!$M$2:$V$2</c:f>
              <c:strCache>
                <c:ptCount val="10"/>
                <c:pt idx="0">
                  <c:v>III.15</c:v>
                </c:pt>
                <c:pt idx="1">
                  <c:v>VI.15</c:v>
                </c:pt>
                <c:pt idx="2">
                  <c:v>IX.15</c:v>
                </c:pt>
                <c:pt idx="3">
                  <c:v>XII.15</c:v>
                </c:pt>
                <c:pt idx="4">
                  <c:v>III.16</c:v>
                </c:pt>
                <c:pt idx="5">
                  <c:v>VI.16</c:v>
                </c:pt>
                <c:pt idx="6">
                  <c:v>IX.16</c:v>
                </c:pt>
                <c:pt idx="7">
                  <c:v>XII.16</c:v>
                </c:pt>
                <c:pt idx="8">
                  <c:v>III.17</c:v>
                </c:pt>
                <c:pt idx="9">
                  <c:v>VI.17</c:v>
                </c:pt>
              </c:strCache>
            </c:strRef>
          </c:cat>
          <c:val>
            <c:numRef>
              <c:f>'FINAL TU'!$M$5:$V$5</c:f>
              <c:numCache>
                <c:formatCode>General</c:formatCode>
                <c:ptCount val="10"/>
                <c:pt idx="0">
                  <c:v>61334</c:v>
                </c:pt>
                <c:pt idx="1">
                  <c:v>78404</c:v>
                </c:pt>
                <c:pt idx="2">
                  <c:v>88831</c:v>
                </c:pt>
                <c:pt idx="3">
                  <c:v>84609</c:v>
                </c:pt>
                <c:pt idx="4" formatCode="#,##0">
                  <c:v>93228</c:v>
                </c:pt>
                <c:pt idx="5" formatCode="#,##0">
                  <c:v>103418</c:v>
                </c:pt>
                <c:pt idx="6" formatCode="#,##0">
                  <c:v>108472</c:v>
                </c:pt>
                <c:pt idx="7" formatCode="#,##0">
                  <c:v>97985</c:v>
                </c:pt>
                <c:pt idx="8" formatCode="#,##0">
                  <c:v>108515</c:v>
                </c:pt>
                <c:pt idx="9" formatCode="#,##0">
                  <c:v>127351</c:v>
                </c:pt>
              </c:numCache>
            </c:numRef>
          </c:val>
          <c:smooth val="0"/>
          <c:extLst>
            <c:ext xmlns:c16="http://schemas.microsoft.com/office/drawing/2014/chart" uri="{C3380CC4-5D6E-409C-BE32-E72D297353CC}">
              <c16:uniqueId val="{00000002-1A95-8E43-BFF5-47824CB5CA7B}"/>
            </c:ext>
          </c:extLst>
        </c:ser>
        <c:ser>
          <c:idx val="3"/>
          <c:order val="3"/>
          <c:tx>
            <c:strRef>
              <c:f>'FINAL TU'!$L$6</c:f>
              <c:strCache>
                <c:ptCount val="1"/>
                <c:pt idx="0">
                  <c:v>VPM venkov</c:v>
                </c:pt>
              </c:strCache>
            </c:strRef>
          </c:tx>
          <c:spPr>
            <a:ln w="28575" cap="rnd">
              <a:solidFill>
                <a:srgbClr val="00B050"/>
              </a:solidFill>
              <a:prstDash val="sysDash"/>
              <a:round/>
            </a:ln>
            <a:effectLst/>
          </c:spPr>
          <c:marker>
            <c:symbol val="none"/>
          </c:marker>
          <c:cat>
            <c:strRef>
              <c:f>'FINAL TU'!$M$2:$V$2</c:f>
              <c:strCache>
                <c:ptCount val="10"/>
                <c:pt idx="0">
                  <c:v>III.15</c:v>
                </c:pt>
                <c:pt idx="1">
                  <c:v>VI.15</c:v>
                </c:pt>
                <c:pt idx="2">
                  <c:v>IX.15</c:v>
                </c:pt>
                <c:pt idx="3">
                  <c:v>XII.15</c:v>
                </c:pt>
                <c:pt idx="4">
                  <c:v>III.16</c:v>
                </c:pt>
                <c:pt idx="5">
                  <c:v>VI.16</c:v>
                </c:pt>
                <c:pt idx="6">
                  <c:v>IX.16</c:v>
                </c:pt>
                <c:pt idx="7">
                  <c:v>XII.16</c:v>
                </c:pt>
                <c:pt idx="8">
                  <c:v>III.17</c:v>
                </c:pt>
                <c:pt idx="9">
                  <c:v>VI.17</c:v>
                </c:pt>
              </c:strCache>
            </c:strRef>
          </c:cat>
          <c:val>
            <c:numRef>
              <c:f>'FINAL TU'!$M$6:$V$6</c:f>
              <c:numCache>
                <c:formatCode>General</c:formatCode>
                <c:ptCount val="10"/>
                <c:pt idx="0">
                  <c:v>14504</c:v>
                </c:pt>
                <c:pt idx="1">
                  <c:v>18055</c:v>
                </c:pt>
                <c:pt idx="2">
                  <c:v>19188</c:v>
                </c:pt>
                <c:pt idx="3">
                  <c:v>17486</c:v>
                </c:pt>
                <c:pt idx="4" formatCode="#,##0">
                  <c:v>20143</c:v>
                </c:pt>
                <c:pt idx="5" formatCode="#,##0">
                  <c:v>22632</c:v>
                </c:pt>
                <c:pt idx="6" formatCode="#,##0">
                  <c:v>22903</c:v>
                </c:pt>
                <c:pt idx="7" formatCode="#,##0">
                  <c:v>22790</c:v>
                </c:pt>
                <c:pt idx="8" formatCode="#,##0">
                  <c:v>26615</c:v>
                </c:pt>
                <c:pt idx="9" formatCode="#,##0">
                  <c:v>31360</c:v>
                </c:pt>
              </c:numCache>
            </c:numRef>
          </c:val>
          <c:smooth val="0"/>
          <c:extLst>
            <c:ext xmlns:c16="http://schemas.microsoft.com/office/drawing/2014/chart" uri="{C3380CC4-5D6E-409C-BE32-E72D297353CC}">
              <c16:uniqueId val="{00000003-1A95-8E43-BFF5-47824CB5CA7B}"/>
            </c:ext>
          </c:extLst>
        </c:ser>
        <c:dLbls>
          <c:showLegendKey val="0"/>
          <c:showVal val="0"/>
          <c:showCatName val="0"/>
          <c:showSerName val="0"/>
          <c:showPercent val="0"/>
          <c:showBubbleSize val="0"/>
        </c:dLbls>
        <c:smooth val="0"/>
        <c:axId val="82591744"/>
        <c:axId val="82593280"/>
      </c:lineChart>
      <c:catAx>
        <c:axId val="8259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2593280"/>
        <c:crosses val="autoZero"/>
        <c:auto val="1"/>
        <c:lblAlgn val="ctr"/>
        <c:lblOffset val="100"/>
        <c:noMultiLvlLbl val="0"/>
      </c:catAx>
      <c:valAx>
        <c:axId val="8259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2591744"/>
        <c:crosses val="autoZero"/>
        <c:crossBetween val="between"/>
      </c:valAx>
      <c:spPr>
        <a:noFill/>
        <a:ln>
          <a:noFill/>
        </a:ln>
        <a:effectLst/>
      </c:spPr>
    </c:plotArea>
    <c:legend>
      <c:legendPos val="b"/>
      <c:layout>
        <c:manualLayout>
          <c:xMode val="edge"/>
          <c:yMode val="edge"/>
          <c:x val="8.8321655953272959E-2"/>
          <c:y val="0.88619344223763075"/>
          <c:w val="0.88345685503836224"/>
          <c:h val="8.39558114937125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cs-CZ"/>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84955451997072E-2"/>
          <c:y val="6.7796610169491525E-2"/>
          <c:w val="0.93007445497884211"/>
          <c:h val="0.74204119400329194"/>
        </c:manualLayout>
      </c:layout>
      <c:lineChart>
        <c:grouping val="standard"/>
        <c:varyColors val="0"/>
        <c:ser>
          <c:idx val="0"/>
          <c:order val="0"/>
          <c:tx>
            <c:strRef>
              <c:f>'FINAL TU'!$M$47</c:f>
              <c:strCache>
                <c:ptCount val="1"/>
                <c:pt idx="0">
                  <c:v>DU/VPM město</c:v>
                </c:pt>
              </c:strCache>
            </c:strRef>
          </c:tx>
          <c:spPr>
            <a:ln w="28575" cap="rnd">
              <a:solidFill>
                <a:srgbClr val="FF0000"/>
              </a:solidFill>
              <a:round/>
            </a:ln>
            <a:effectLst/>
          </c:spPr>
          <c:marker>
            <c:symbol val="none"/>
          </c:marker>
          <c:dLbls>
            <c:dLbl>
              <c:idx val="1"/>
              <c:layout>
                <c:manualLayout>
                  <c:x val="-2.7777777777777804E-2"/>
                  <c:y val="4.9717514124293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AE-5848-A67F-E716ED64C9A6}"/>
                </c:ext>
              </c:extLst>
            </c:dLbl>
            <c:dLbl>
              <c:idx val="2"/>
              <c:layout>
                <c:manualLayout>
                  <c:x val="0"/>
                  <c:y val="4.519774011299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AE-5848-A67F-E716ED64C9A6}"/>
                </c:ext>
              </c:extLst>
            </c:dLbl>
            <c:dLbl>
              <c:idx val="3"/>
              <c:layout>
                <c:manualLayout>
                  <c:x val="-5.0925337632079971E-17"/>
                  <c:y val="6.77966101694915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AE-5848-A67F-E716ED64C9A6}"/>
                </c:ext>
              </c:extLst>
            </c:dLbl>
            <c:dLbl>
              <c:idx val="4"/>
              <c:layout>
                <c:manualLayout>
                  <c:x val="-1.1111111111111112E-2"/>
                  <c:y val="5.4237288135593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AE-5848-A67F-E716ED64C9A6}"/>
                </c:ext>
              </c:extLst>
            </c:dLbl>
            <c:dLbl>
              <c:idx val="5"/>
              <c:layout>
                <c:manualLayout>
                  <c:x val="8.3333333333332309E-3"/>
                  <c:y val="4.0677966101694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AE-5848-A67F-E716ED64C9A6}"/>
                </c:ext>
              </c:extLst>
            </c:dLbl>
            <c:dLbl>
              <c:idx val="6"/>
              <c:layout>
                <c:manualLayout>
                  <c:x val="-1.0185067526415994E-16"/>
                  <c:y val="3.6158192090395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AE-5848-A67F-E716ED64C9A6}"/>
                </c:ext>
              </c:extLst>
            </c:dLbl>
            <c:dLbl>
              <c:idx val="7"/>
              <c:layout>
                <c:manualLayout>
                  <c:x val="5.5555555555555558E-3"/>
                  <c:y val="4.519774011299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AE-5848-A67F-E716ED64C9A6}"/>
                </c:ext>
              </c:extLst>
            </c:dLbl>
            <c:dLbl>
              <c:idx val="8"/>
              <c:layout>
                <c:manualLayout>
                  <c:x val="5.5555555555555558E-3"/>
                  <c:y val="3.6158192090395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AE-5848-A67F-E716ED64C9A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'FINAL TU'!$N$46:$W$46</c:f>
              <c:strCache>
                <c:ptCount val="10"/>
                <c:pt idx="0">
                  <c:v>III.15</c:v>
                </c:pt>
                <c:pt idx="1">
                  <c:v>VI.15</c:v>
                </c:pt>
                <c:pt idx="2">
                  <c:v>IX.15</c:v>
                </c:pt>
                <c:pt idx="3">
                  <c:v>XII.15</c:v>
                </c:pt>
                <c:pt idx="4">
                  <c:v>III.16</c:v>
                </c:pt>
                <c:pt idx="5">
                  <c:v>VI.16</c:v>
                </c:pt>
                <c:pt idx="6">
                  <c:v>IX.16</c:v>
                </c:pt>
                <c:pt idx="7">
                  <c:v>XII.16</c:v>
                </c:pt>
                <c:pt idx="8">
                  <c:v>III.17</c:v>
                </c:pt>
                <c:pt idx="9">
                  <c:v>VI.17</c:v>
                </c:pt>
              </c:strCache>
            </c:strRef>
          </c:cat>
          <c:val>
            <c:numRef>
              <c:f>'FINAL TU'!$N$47:$W$47</c:f>
              <c:numCache>
                <c:formatCode>General</c:formatCode>
                <c:ptCount val="10"/>
                <c:pt idx="0">
                  <c:v>6.0628036651775528</c:v>
                </c:pt>
                <c:pt idx="1">
                  <c:v>4.199785725218101</c:v>
                </c:pt>
                <c:pt idx="2">
                  <c:v>3.6047776114194368</c:v>
                </c:pt>
                <c:pt idx="3">
                  <c:v>3.7901641669325956</c:v>
                </c:pt>
                <c:pt idx="4">
                  <c:v>3.3555155103616938</c:v>
                </c:pt>
                <c:pt idx="5">
                  <c:v>2.6873561662379855</c:v>
                </c:pt>
                <c:pt idx="6">
                  <c:v>2.5107124419204956</c:v>
                </c:pt>
                <c:pt idx="7">
                  <c:v>2.7036893402051336</c:v>
                </c:pt>
                <c:pt idx="8">
                  <c:v>2.2521679030548771</c:v>
                </c:pt>
                <c:pt idx="9">
                  <c:v>1.6412120831402972</c:v>
                </c:pt>
              </c:numCache>
            </c:numRef>
          </c:val>
          <c:smooth val="0"/>
          <c:extLst>
            <c:ext xmlns:c16="http://schemas.microsoft.com/office/drawing/2014/chart" uri="{C3380CC4-5D6E-409C-BE32-E72D297353CC}">
              <c16:uniqueId val="{00000008-40AE-5848-A67F-E716ED64C9A6}"/>
            </c:ext>
          </c:extLst>
        </c:ser>
        <c:ser>
          <c:idx val="1"/>
          <c:order val="1"/>
          <c:tx>
            <c:strRef>
              <c:f>'FINAL TU'!$M$48</c:f>
              <c:strCache>
                <c:ptCount val="1"/>
                <c:pt idx="0">
                  <c:v>DU/VPM venkov</c:v>
                </c:pt>
              </c:strCache>
            </c:strRef>
          </c:tx>
          <c:spPr>
            <a:ln w="28575" cap="rnd">
              <a:solidFill>
                <a:srgbClr val="00B050"/>
              </a:solidFill>
              <a:prstDash val="solid"/>
              <a:round/>
            </a:ln>
            <a:effectLst/>
          </c:spPr>
          <c:marker>
            <c:symbol val="none"/>
          </c:marker>
          <c:dLbls>
            <c:dLbl>
              <c:idx val="5"/>
              <c:layout>
                <c:manualLayout>
                  <c:x val="0"/>
                  <c:y val="-3.1638418079096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AE-5848-A67F-E716ED64C9A6}"/>
                </c:ext>
              </c:extLst>
            </c:dLbl>
            <c:dLbl>
              <c:idx val="6"/>
              <c:layout>
                <c:manualLayout>
                  <c:x val="2.7777777777777779E-3"/>
                  <c:y val="-5.4237288135593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0AE-5848-A67F-E716ED64C9A6}"/>
                </c:ext>
              </c:extLst>
            </c:dLbl>
            <c:dLbl>
              <c:idx val="9"/>
              <c:layout>
                <c:manualLayout>
                  <c:x val="-2.2675736961451248E-3"/>
                  <c:y val="-4.4444444444444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0AE-5848-A67F-E716ED64C9A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'FINAL TU'!$N$46:$W$46</c:f>
              <c:strCache>
                <c:ptCount val="10"/>
                <c:pt idx="0">
                  <c:v>III.15</c:v>
                </c:pt>
                <c:pt idx="1">
                  <c:v>VI.15</c:v>
                </c:pt>
                <c:pt idx="2">
                  <c:v>IX.15</c:v>
                </c:pt>
                <c:pt idx="3">
                  <c:v>XII.15</c:v>
                </c:pt>
                <c:pt idx="4">
                  <c:v>III.16</c:v>
                </c:pt>
                <c:pt idx="5">
                  <c:v>VI.16</c:v>
                </c:pt>
                <c:pt idx="6">
                  <c:v>IX.16</c:v>
                </c:pt>
                <c:pt idx="7">
                  <c:v>XII.16</c:v>
                </c:pt>
                <c:pt idx="8">
                  <c:v>III.17</c:v>
                </c:pt>
                <c:pt idx="9">
                  <c:v>VI.17</c:v>
                </c:pt>
              </c:strCache>
            </c:strRef>
          </c:cat>
          <c:val>
            <c:numRef>
              <c:f>'FINAL TU'!$N$48:$W$48</c:f>
              <c:numCache>
                <c:formatCode>General</c:formatCode>
                <c:ptCount val="10"/>
                <c:pt idx="0">
                  <c:v>8.9225041367898505</c:v>
                </c:pt>
                <c:pt idx="1">
                  <c:v>5.5519246746053721</c:v>
                </c:pt>
                <c:pt idx="2">
                  <c:v>5.1501459245361687</c:v>
                </c:pt>
                <c:pt idx="3">
                  <c:v>6.3336955278508524</c:v>
                </c:pt>
                <c:pt idx="4">
                  <c:v>5.3009482202253881</c:v>
                </c:pt>
                <c:pt idx="5">
                  <c:v>3.6688317426652528</c:v>
                </c:pt>
                <c:pt idx="6">
                  <c:v>3.588612845478758</c:v>
                </c:pt>
                <c:pt idx="7">
                  <c:v>3.9864853005704255</c:v>
                </c:pt>
                <c:pt idx="8">
                  <c:v>3.2550065752395265</c:v>
                </c:pt>
                <c:pt idx="9">
                  <c:v>1.9699936224489796</c:v>
                </c:pt>
              </c:numCache>
            </c:numRef>
          </c:val>
          <c:smooth val="0"/>
          <c:extLst>
            <c:ext xmlns:c16="http://schemas.microsoft.com/office/drawing/2014/chart" uri="{C3380CC4-5D6E-409C-BE32-E72D297353CC}">
              <c16:uniqueId val="{0000000C-40AE-5848-A67F-E716ED64C9A6}"/>
            </c:ext>
          </c:extLst>
        </c:ser>
        <c:dLbls>
          <c:showLegendKey val="0"/>
          <c:showVal val="0"/>
          <c:showCatName val="0"/>
          <c:showSerName val="0"/>
          <c:showPercent val="0"/>
          <c:showBubbleSize val="0"/>
        </c:dLbls>
        <c:smooth val="0"/>
        <c:axId val="82644992"/>
        <c:axId val="82646528"/>
      </c:lineChart>
      <c:catAx>
        <c:axId val="8264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2646528"/>
        <c:crosses val="autoZero"/>
        <c:auto val="1"/>
        <c:lblAlgn val="ctr"/>
        <c:lblOffset val="100"/>
        <c:noMultiLvlLbl val="0"/>
      </c:catAx>
      <c:valAx>
        <c:axId val="82646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2644992"/>
        <c:crosses val="autoZero"/>
        <c:crossBetween val="between"/>
      </c:valAx>
      <c:spPr>
        <a:noFill/>
        <a:ln>
          <a:noFill/>
        </a:ln>
        <a:effectLst/>
      </c:spPr>
    </c:plotArea>
    <c:legend>
      <c:legendPos val="b"/>
      <c:layout>
        <c:manualLayout>
          <c:xMode val="edge"/>
          <c:yMode val="edge"/>
          <c:x val="5.4649954469976954E-2"/>
          <c:y val="0.90504585333207854"/>
          <c:w val="0.93151641759065829"/>
          <c:h val="7.9017891687841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cs-CZ"/>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Výpočty!$S$279</c:f>
              <c:strCache>
                <c:ptCount val="1"/>
                <c:pt idx="0">
                  <c:v>Počet DU</c:v>
                </c:pt>
              </c:strCache>
            </c:strRef>
          </c:tx>
          <c:spPr>
            <a:solidFill>
              <a:schemeClr val="accent1"/>
            </a:solidFill>
            <a:ln>
              <a:noFill/>
            </a:ln>
            <a:effectLst/>
          </c:spPr>
          <c:invertIfNegative val="0"/>
          <c:cat>
            <c:strRef>
              <c:f>Výpočty!$R$280:$R$286</c:f>
              <c:strCache>
                <c:ptCount val="7"/>
                <c:pt idx="0">
                  <c:v>do 99 obyv</c:v>
                </c:pt>
                <c:pt idx="1">
                  <c:v>100-199</c:v>
                </c:pt>
                <c:pt idx="2">
                  <c:v>500-999</c:v>
                </c:pt>
                <c:pt idx="3">
                  <c:v>200-499</c:v>
                </c:pt>
                <c:pt idx="4">
                  <c:v>1000-1999</c:v>
                </c:pt>
                <c:pt idx="5">
                  <c:v>2000-9999</c:v>
                </c:pt>
                <c:pt idx="6">
                  <c:v>10 tis. a více</c:v>
                </c:pt>
              </c:strCache>
            </c:strRef>
          </c:cat>
          <c:val>
            <c:numRef>
              <c:f>Výpočty!$S$280:$S$286</c:f>
              <c:numCache>
                <c:formatCode>General</c:formatCode>
                <c:ptCount val="7"/>
                <c:pt idx="0">
                  <c:v>843</c:v>
                </c:pt>
                <c:pt idx="1">
                  <c:v>3729.5</c:v>
                </c:pt>
                <c:pt idx="2">
                  <c:v>22630</c:v>
                </c:pt>
                <c:pt idx="3">
                  <c:v>16129.75</c:v>
                </c:pt>
                <c:pt idx="4">
                  <c:v>23673.5</c:v>
                </c:pt>
                <c:pt idx="5">
                  <c:v>53462.25</c:v>
                </c:pt>
                <c:pt idx="6">
                  <c:v>158095.5</c:v>
                </c:pt>
              </c:numCache>
            </c:numRef>
          </c:val>
          <c:extLst>
            <c:ext xmlns:c16="http://schemas.microsoft.com/office/drawing/2014/chart" uri="{C3380CC4-5D6E-409C-BE32-E72D297353CC}">
              <c16:uniqueId val="{00000000-63DC-9C49-BD20-186CAC0482CC}"/>
            </c:ext>
          </c:extLst>
        </c:ser>
        <c:ser>
          <c:idx val="1"/>
          <c:order val="1"/>
          <c:tx>
            <c:strRef>
              <c:f>Výpočty!$T$279</c:f>
              <c:strCache>
                <c:ptCount val="1"/>
                <c:pt idx="0">
                  <c:v>Počet VPM</c:v>
                </c:pt>
              </c:strCache>
            </c:strRef>
          </c:tx>
          <c:spPr>
            <a:solidFill>
              <a:schemeClr val="accent2"/>
            </a:solidFill>
            <a:ln>
              <a:noFill/>
            </a:ln>
            <a:effectLst/>
          </c:spPr>
          <c:invertIfNegative val="0"/>
          <c:cat>
            <c:strRef>
              <c:f>Výpočty!$R$280:$R$286</c:f>
              <c:strCache>
                <c:ptCount val="7"/>
                <c:pt idx="0">
                  <c:v>do 99 obyv</c:v>
                </c:pt>
                <c:pt idx="1">
                  <c:v>100-199</c:v>
                </c:pt>
                <c:pt idx="2">
                  <c:v>500-999</c:v>
                </c:pt>
                <c:pt idx="3">
                  <c:v>200-499</c:v>
                </c:pt>
                <c:pt idx="4">
                  <c:v>1000-1999</c:v>
                </c:pt>
                <c:pt idx="5">
                  <c:v>2000-9999</c:v>
                </c:pt>
                <c:pt idx="6">
                  <c:v>10 tis. a více</c:v>
                </c:pt>
              </c:strCache>
            </c:strRef>
          </c:cat>
          <c:val>
            <c:numRef>
              <c:f>Výpočty!$T$280:$T$286</c:f>
              <c:numCache>
                <c:formatCode>General</c:formatCode>
                <c:ptCount val="7"/>
                <c:pt idx="0">
                  <c:v>163.5</c:v>
                </c:pt>
                <c:pt idx="1">
                  <c:v>1128.5</c:v>
                </c:pt>
                <c:pt idx="2">
                  <c:v>9749.75</c:v>
                </c:pt>
                <c:pt idx="3">
                  <c:v>7450.25</c:v>
                </c:pt>
                <c:pt idx="4">
                  <c:v>12531.5</c:v>
                </c:pt>
                <c:pt idx="5">
                  <c:v>36031</c:v>
                </c:pt>
                <c:pt idx="6">
                  <c:v>96276</c:v>
                </c:pt>
              </c:numCache>
            </c:numRef>
          </c:val>
          <c:extLst>
            <c:ext xmlns:c16="http://schemas.microsoft.com/office/drawing/2014/chart" uri="{C3380CC4-5D6E-409C-BE32-E72D297353CC}">
              <c16:uniqueId val="{00000001-63DC-9C49-BD20-186CAC0482CC}"/>
            </c:ext>
          </c:extLst>
        </c:ser>
        <c:dLbls>
          <c:showLegendKey val="0"/>
          <c:showVal val="0"/>
          <c:showCatName val="0"/>
          <c:showSerName val="0"/>
          <c:showPercent val="0"/>
          <c:showBubbleSize val="0"/>
        </c:dLbls>
        <c:gapWidth val="219"/>
        <c:overlap val="-27"/>
        <c:axId val="82679680"/>
        <c:axId val="82681216"/>
      </c:barChart>
      <c:lineChart>
        <c:grouping val="standard"/>
        <c:varyColors val="0"/>
        <c:ser>
          <c:idx val="2"/>
          <c:order val="2"/>
          <c:tx>
            <c:strRef>
              <c:f>Výpočty!$U$279</c:f>
              <c:strCache>
                <c:ptCount val="1"/>
                <c:pt idx="0">
                  <c:v>DU/VPM</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Výpočty!$R$280:$R$286</c:f>
              <c:strCache>
                <c:ptCount val="7"/>
                <c:pt idx="0">
                  <c:v>do 99 obyv</c:v>
                </c:pt>
                <c:pt idx="1">
                  <c:v>100-199</c:v>
                </c:pt>
                <c:pt idx="2">
                  <c:v>500-999</c:v>
                </c:pt>
                <c:pt idx="3">
                  <c:v>200-499</c:v>
                </c:pt>
                <c:pt idx="4">
                  <c:v>1000-1999</c:v>
                </c:pt>
                <c:pt idx="5">
                  <c:v>2000-9999</c:v>
                </c:pt>
                <c:pt idx="6">
                  <c:v>10 tis. a více</c:v>
                </c:pt>
              </c:strCache>
            </c:strRef>
          </c:cat>
          <c:val>
            <c:numRef>
              <c:f>Výpočty!$U$280:$U$286</c:f>
              <c:numCache>
                <c:formatCode>0.0</c:formatCode>
                <c:ptCount val="7"/>
                <c:pt idx="0">
                  <c:v>5.4204738570838495</c:v>
                </c:pt>
                <c:pt idx="1">
                  <c:v>3.4603242521599684</c:v>
                </c:pt>
                <c:pt idx="2">
                  <c:v>2.3672101457461898</c:v>
                </c:pt>
                <c:pt idx="3">
                  <c:v>2.2548669021111283</c:v>
                </c:pt>
                <c:pt idx="4">
                  <c:v>1.929615747497381</c:v>
                </c:pt>
                <c:pt idx="5">
                  <c:v>1.5449703404613668</c:v>
                </c:pt>
                <c:pt idx="6">
                  <c:v>1.6777577148691936</c:v>
                </c:pt>
              </c:numCache>
            </c:numRef>
          </c:val>
          <c:smooth val="0"/>
          <c:extLst>
            <c:ext xmlns:c16="http://schemas.microsoft.com/office/drawing/2014/chart" uri="{C3380CC4-5D6E-409C-BE32-E72D297353CC}">
              <c16:uniqueId val="{00000002-63DC-9C49-BD20-186CAC0482CC}"/>
            </c:ext>
          </c:extLst>
        </c:ser>
        <c:dLbls>
          <c:showLegendKey val="0"/>
          <c:showVal val="0"/>
          <c:showCatName val="0"/>
          <c:showSerName val="0"/>
          <c:showPercent val="0"/>
          <c:showBubbleSize val="0"/>
        </c:dLbls>
        <c:marker val="1"/>
        <c:smooth val="0"/>
        <c:axId val="82696832"/>
        <c:axId val="82695296"/>
      </c:lineChart>
      <c:catAx>
        <c:axId val="8267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2681216"/>
        <c:crosses val="autoZero"/>
        <c:auto val="1"/>
        <c:lblAlgn val="ctr"/>
        <c:lblOffset val="100"/>
        <c:noMultiLvlLbl val="0"/>
      </c:catAx>
      <c:valAx>
        <c:axId val="82681216"/>
        <c:scaling>
          <c:orientation val="minMax"/>
          <c:max val="170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2679680"/>
        <c:crosses val="autoZero"/>
        <c:crossBetween val="between"/>
      </c:valAx>
      <c:valAx>
        <c:axId val="8269529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2696832"/>
        <c:crosses val="max"/>
        <c:crossBetween val="between"/>
      </c:valAx>
      <c:catAx>
        <c:axId val="82696832"/>
        <c:scaling>
          <c:orientation val="minMax"/>
        </c:scaling>
        <c:delete val="1"/>
        <c:axPos val="b"/>
        <c:numFmt formatCode="General" sourceLinked="1"/>
        <c:majorTickMark val="out"/>
        <c:minorTickMark val="none"/>
        <c:tickLblPos val="nextTo"/>
        <c:crossAx val="82695296"/>
        <c:crosses val="autoZero"/>
        <c:auto val="1"/>
        <c:lblAlgn val="ctr"/>
        <c:lblOffset val="100"/>
        <c:noMultiLvlLbl val="0"/>
      </c:catAx>
      <c:spPr>
        <a:noFill/>
        <a:ln>
          <a:noFill/>
        </a:ln>
        <a:effectLst/>
      </c:spPr>
    </c:plotArea>
    <c:legend>
      <c:legendPos val="b"/>
      <c:layout>
        <c:manualLayout>
          <c:xMode val="edge"/>
          <c:yMode val="edge"/>
          <c:x val="0.26086337197800025"/>
          <c:y val="0.89298190357784224"/>
          <c:w val="0.52070747437977283"/>
          <c:h val="7.89479209835612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fin!$A$3</c:f>
              <c:strCache>
                <c:ptCount val="1"/>
                <c:pt idx="0">
                  <c:v>Převážně městské</c:v>
                </c:pt>
              </c:strCache>
            </c:strRef>
          </c:tx>
          <c:spPr>
            <a:ln w="28575" cap="rnd">
              <a:solidFill>
                <a:schemeClr val="accent1"/>
              </a:solidFill>
              <a:round/>
            </a:ln>
            <a:effectLst/>
          </c:spPr>
          <c:marker>
            <c:symbol val="none"/>
          </c:marker>
          <c:cat>
            <c:numRef>
              <c:f>fin!$B$2:$H$2</c:f>
              <c:numCache>
                <c:formatCode>General</c:formatCode>
                <c:ptCount val="7"/>
                <c:pt idx="0">
                  <c:v>2011</c:v>
                </c:pt>
                <c:pt idx="1">
                  <c:v>2012</c:v>
                </c:pt>
                <c:pt idx="2">
                  <c:v>2013</c:v>
                </c:pt>
                <c:pt idx="3">
                  <c:v>2014</c:v>
                </c:pt>
                <c:pt idx="4">
                  <c:v>2015</c:v>
                </c:pt>
                <c:pt idx="5">
                  <c:v>2016</c:v>
                </c:pt>
                <c:pt idx="6">
                  <c:v>2017</c:v>
                </c:pt>
              </c:numCache>
            </c:numRef>
          </c:cat>
          <c:val>
            <c:numRef>
              <c:f>fin!$B$3:$H$3</c:f>
              <c:numCache>
                <c:formatCode>0</c:formatCode>
                <c:ptCount val="7"/>
                <c:pt idx="0">
                  <c:v>29934.58214285714</c:v>
                </c:pt>
                <c:pt idx="1">
                  <c:v>30436.325168236875</c:v>
                </c:pt>
                <c:pt idx="2">
                  <c:v>30153.335615204469</c:v>
                </c:pt>
                <c:pt idx="3">
                  <c:v>30903.38611135778</c:v>
                </c:pt>
                <c:pt idx="4">
                  <c:v>31835.357553580765</c:v>
                </c:pt>
                <c:pt idx="5">
                  <c:v>32913.671922173766</c:v>
                </c:pt>
                <c:pt idx="6">
                  <c:v>34649.092789358423</c:v>
                </c:pt>
              </c:numCache>
            </c:numRef>
          </c:val>
          <c:smooth val="0"/>
          <c:extLst>
            <c:ext xmlns:c16="http://schemas.microsoft.com/office/drawing/2014/chart" uri="{C3380CC4-5D6E-409C-BE32-E72D297353CC}">
              <c16:uniqueId val="{00000000-2910-C74B-AED8-3F6B1D0CB13B}"/>
            </c:ext>
          </c:extLst>
        </c:ser>
        <c:ser>
          <c:idx val="1"/>
          <c:order val="1"/>
          <c:tx>
            <c:strRef>
              <c:f>fin!$A$4</c:f>
              <c:strCache>
                <c:ptCount val="1"/>
                <c:pt idx="0">
                  <c:v>Převážně venkovské</c:v>
                </c:pt>
              </c:strCache>
            </c:strRef>
          </c:tx>
          <c:spPr>
            <a:ln w="28575" cap="rnd">
              <a:solidFill>
                <a:schemeClr val="accent2"/>
              </a:solidFill>
              <a:round/>
            </a:ln>
            <a:effectLst/>
          </c:spPr>
          <c:marker>
            <c:symbol val="none"/>
          </c:marker>
          <c:cat>
            <c:numRef>
              <c:f>fin!$B$2:$H$2</c:f>
              <c:numCache>
                <c:formatCode>General</c:formatCode>
                <c:ptCount val="7"/>
                <c:pt idx="0">
                  <c:v>2011</c:v>
                </c:pt>
                <c:pt idx="1">
                  <c:v>2012</c:v>
                </c:pt>
                <c:pt idx="2">
                  <c:v>2013</c:v>
                </c:pt>
                <c:pt idx="3">
                  <c:v>2014</c:v>
                </c:pt>
                <c:pt idx="4">
                  <c:v>2015</c:v>
                </c:pt>
                <c:pt idx="5">
                  <c:v>2016</c:v>
                </c:pt>
                <c:pt idx="6">
                  <c:v>2017</c:v>
                </c:pt>
              </c:numCache>
            </c:numRef>
          </c:cat>
          <c:val>
            <c:numRef>
              <c:f>fin!$B$4:$H$4</c:f>
              <c:numCache>
                <c:formatCode>0</c:formatCode>
                <c:ptCount val="7"/>
                <c:pt idx="0">
                  <c:v>21869.772856527357</c:v>
                </c:pt>
                <c:pt idx="1">
                  <c:v>22437.934082073425</c:v>
                </c:pt>
                <c:pt idx="2">
                  <c:v>22461.605817801777</c:v>
                </c:pt>
                <c:pt idx="3">
                  <c:v>23252.343313201032</c:v>
                </c:pt>
                <c:pt idx="4">
                  <c:v>24032.897453196158</c:v>
                </c:pt>
                <c:pt idx="5">
                  <c:v>25162.908212966075</c:v>
                </c:pt>
                <c:pt idx="6">
                  <c:v>26862.283280704669</c:v>
                </c:pt>
              </c:numCache>
            </c:numRef>
          </c:val>
          <c:smooth val="0"/>
          <c:extLst>
            <c:ext xmlns:c16="http://schemas.microsoft.com/office/drawing/2014/chart" uri="{C3380CC4-5D6E-409C-BE32-E72D297353CC}">
              <c16:uniqueId val="{00000001-2910-C74B-AED8-3F6B1D0CB13B}"/>
            </c:ext>
          </c:extLst>
        </c:ser>
        <c:ser>
          <c:idx val="2"/>
          <c:order val="2"/>
          <c:tx>
            <c:strRef>
              <c:f>fin!$A$5</c:f>
              <c:strCache>
                <c:ptCount val="1"/>
                <c:pt idx="0">
                  <c:v>Přechodné</c:v>
                </c:pt>
              </c:strCache>
            </c:strRef>
          </c:tx>
          <c:spPr>
            <a:ln w="28575" cap="rnd">
              <a:solidFill>
                <a:schemeClr val="accent3"/>
              </a:solidFill>
              <a:round/>
            </a:ln>
            <a:effectLst/>
          </c:spPr>
          <c:marker>
            <c:symbol val="none"/>
          </c:marker>
          <c:cat>
            <c:numRef>
              <c:f>fin!$B$2:$H$2</c:f>
              <c:numCache>
                <c:formatCode>General</c:formatCode>
                <c:ptCount val="7"/>
                <c:pt idx="0">
                  <c:v>2011</c:v>
                </c:pt>
                <c:pt idx="1">
                  <c:v>2012</c:v>
                </c:pt>
                <c:pt idx="2">
                  <c:v>2013</c:v>
                </c:pt>
                <c:pt idx="3">
                  <c:v>2014</c:v>
                </c:pt>
                <c:pt idx="4">
                  <c:v>2015</c:v>
                </c:pt>
                <c:pt idx="5">
                  <c:v>2016</c:v>
                </c:pt>
                <c:pt idx="6">
                  <c:v>2017</c:v>
                </c:pt>
              </c:numCache>
            </c:numRef>
          </c:cat>
          <c:val>
            <c:numRef>
              <c:f>fin!$B$5:$H$5</c:f>
              <c:numCache>
                <c:formatCode>0</c:formatCode>
                <c:ptCount val="7"/>
                <c:pt idx="0">
                  <c:v>22468.281048333993</c:v>
                </c:pt>
                <c:pt idx="1">
                  <c:v>23073.828807792383</c:v>
                </c:pt>
                <c:pt idx="2">
                  <c:v>23163.894683372841</c:v>
                </c:pt>
                <c:pt idx="3">
                  <c:v>23809.979739702132</c:v>
                </c:pt>
                <c:pt idx="4">
                  <c:v>24592.054517953442</c:v>
                </c:pt>
                <c:pt idx="5">
                  <c:v>25749.712300298735</c:v>
                </c:pt>
                <c:pt idx="6">
                  <c:v>27422.743340785695</c:v>
                </c:pt>
              </c:numCache>
            </c:numRef>
          </c:val>
          <c:smooth val="0"/>
          <c:extLst>
            <c:ext xmlns:c16="http://schemas.microsoft.com/office/drawing/2014/chart" uri="{C3380CC4-5D6E-409C-BE32-E72D297353CC}">
              <c16:uniqueId val="{00000002-2910-C74B-AED8-3F6B1D0CB13B}"/>
            </c:ext>
          </c:extLst>
        </c:ser>
        <c:dLbls>
          <c:showLegendKey val="0"/>
          <c:showVal val="0"/>
          <c:showCatName val="0"/>
          <c:showSerName val="0"/>
          <c:showPercent val="0"/>
          <c:showBubbleSize val="0"/>
        </c:dLbls>
        <c:smooth val="0"/>
        <c:axId val="83445248"/>
        <c:axId val="83446784"/>
      </c:lineChart>
      <c:catAx>
        <c:axId val="8344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3446784"/>
        <c:crosses val="autoZero"/>
        <c:auto val="1"/>
        <c:lblAlgn val="ctr"/>
        <c:lblOffset val="100"/>
        <c:noMultiLvlLbl val="0"/>
      </c:catAx>
      <c:valAx>
        <c:axId val="83446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344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'Hustota okresy'!$AG$20</c:f>
              <c:strCache>
                <c:ptCount val="1"/>
                <c:pt idx="0">
                  <c:v>Podíl obcí s hustotou do 150 ob./km2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'Hustota okresy'!$AF$21:$AF$36</c:f>
              <c:strCache>
                <c:ptCount val="16"/>
                <c:pt idx="0">
                  <c:v>Kraj Vysočina</c:v>
                </c:pt>
                <c:pt idx="1">
                  <c:v>Jihočeský kraj</c:v>
                </c:pt>
                <c:pt idx="2">
                  <c:v>Pardubický kraj</c:v>
                </c:pt>
                <c:pt idx="3">
                  <c:v>Plzeňský kraj</c:v>
                </c:pt>
                <c:pt idx="4">
                  <c:v>Olomoucký kraj</c:v>
                </c:pt>
                <c:pt idx="5">
                  <c:v>Zlínský kraj</c:v>
                </c:pt>
                <c:pt idx="6">
                  <c:v>Královéhradecký kraj</c:v>
                </c:pt>
                <c:pt idx="7">
                  <c:v>Středočeský kraj</c:v>
                </c:pt>
                <c:pt idx="8">
                  <c:v>Karlovarský kraj</c:v>
                </c:pt>
                <c:pt idx="9">
                  <c:v>Jihomoravský kraj</c:v>
                </c:pt>
                <c:pt idx="10">
                  <c:v>Liberecký kraj</c:v>
                </c:pt>
                <c:pt idx="11">
                  <c:v>Ústecký kraj</c:v>
                </c:pt>
                <c:pt idx="12">
                  <c:v>Moravskoslezský kraj</c:v>
                </c:pt>
                <c:pt idx="13">
                  <c:v>Hl. m. Praha</c:v>
                </c:pt>
                <c:pt idx="15">
                  <c:v>ČR</c:v>
                </c:pt>
              </c:strCache>
            </c:strRef>
          </c:cat>
          <c:val>
            <c:numRef>
              <c:f>'Hustota okresy'!$AG$21:$AG$36</c:f>
              <c:numCache>
                <c:formatCode>0.0</c:formatCode>
                <c:ptCount val="16"/>
                <c:pt idx="0">
                  <c:v>53.825901067291213</c:v>
                </c:pt>
                <c:pt idx="1">
                  <c:v>48.2551167691012</c:v>
                </c:pt>
                <c:pt idx="2">
                  <c:v>39.92693685975474</c:v>
                </c:pt>
                <c:pt idx="3">
                  <c:v>38.196322686903002</c:v>
                </c:pt>
                <c:pt idx="4">
                  <c:v>36.671530543834052</c:v>
                </c:pt>
                <c:pt idx="5">
                  <c:v>35.861524281392086</c:v>
                </c:pt>
                <c:pt idx="6">
                  <c:v>35.779878141770936</c:v>
                </c:pt>
                <c:pt idx="7">
                  <c:v>35.477997463744842</c:v>
                </c:pt>
                <c:pt idx="8">
                  <c:v>32.727321743291469</c:v>
                </c:pt>
                <c:pt idx="9">
                  <c:v>31.854358455801261</c:v>
                </c:pt>
                <c:pt idx="10">
                  <c:v>29.732477600559193</c:v>
                </c:pt>
                <c:pt idx="11">
                  <c:v>24.445534754442843</c:v>
                </c:pt>
                <c:pt idx="12">
                  <c:v>18.059987816963517</c:v>
                </c:pt>
                <c:pt idx="13">
                  <c:v>0</c:v>
                </c:pt>
                <c:pt idx="15">
                  <c:v>29.743449647503219</c:v>
                </c:pt>
              </c:numCache>
            </c:numRef>
          </c:val>
          <c:extLst>
            <c:ext xmlns:c16="http://schemas.microsoft.com/office/drawing/2014/chart" uri="{C3380CC4-5D6E-409C-BE32-E72D297353CC}">
              <c16:uniqueId val="{00000000-2609-5F46-9EBF-196A0CBA366C}"/>
            </c:ext>
          </c:extLst>
        </c:ser>
        <c:dLbls>
          <c:showLegendKey val="0"/>
          <c:showVal val="0"/>
          <c:showCatName val="0"/>
          <c:showSerName val="0"/>
          <c:showPercent val="0"/>
          <c:showBubbleSize val="0"/>
        </c:dLbls>
        <c:gapWidth val="219"/>
        <c:overlap val="-27"/>
        <c:axId val="118457088"/>
        <c:axId val="118458624"/>
      </c:barChart>
      <c:catAx>
        <c:axId val="11845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8458624"/>
        <c:crosses val="autoZero"/>
        <c:auto val="1"/>
        <c:lblAlgn val="ctr"/>
        <c:lblOffset val="100"/>
        <c:noMultiLvlLbl val="0"/>
      </c:catAx>
      <c:valAx>
        <c:axId val="1184586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8457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88670166229222"/>
          <c:y val="8.3333333333333329E-2"/>
          <c:w val="0.85355774278215224"/>
          <c:h val="0.63218285214348202"/>
        </c:manualLayout>
      </c:layout>
      <c:lineChart>
        <c:grouping val="standard"/>
        <c:varyColors val="0"/>
        <c:ser>
          <c:idx val="0"/>
          <c:order val="0"/>
          <c:tx>
            <c:strRef>
              <c:f>č.ř.!$A$20</c:f>
              <c:strCache>
                <c:ptCount val="1"/>
                <c:pt idx="0">
                  <c:v>PHA-Zeměděl.</c:v>
                </c:pt>
              </c:strCache>
            </c:strRef>
          </c:tx>
          <c:spPr>
            <a:ln w="28575" cap="rnd">
              <a:solidFill>
                <a:srgbClr val="00B050"/>
              </a:solidFill>
              <a:round/>
            </a:ln>
            <a:effectLst/>
          </c:spPr>
          <c:marker>
            <c:symbol val="none"/>
          </c:marker>
          <c:cat>
            <c:numRef>
              <c:f>č.ř.!$B$19:$F$19</c:f>
              <c:numCache>
                <c:formatCode>#,##0_ ;\-#,##0\ </c:formatCode>
                <c:ptCount val="5"/>
                <c:pt idx="0">
                  <c:v>2011</c:v>
                </c:pt>
                <c:pt idx="1">
                  <c:v>2012</c:v>
                </c:pt>
                <c:pt idx="2">
                  <c:v>2013</c:v>
                </c:pt>
                <c:pt idx="3">
                  <c:v>2014</c:v>
                </c:pt>
                <c:pt idx="4">
                  <c:v>2015</c:v>
                </c:pt>
              </c:numCache>
            </c:numRef>
          </c:cat>
          <c:val>
            <c:numRef>
              <c:f>č.ř.!$B$20:$F$20</c:f>
              <c:numCache>
                <c:formatCode>#,##0_ ;\-#,##0\ </c:formatCode>
                <c:ptCount val="5"/>
                <c:pt idx="0">
                  <c:v>16201</c:v>
                </c:pt>
                <c:pt idx="1">
                  <c:v>15214</c:v>
                </c:pt>
                <c:pt idx="2">
                  <c:v>14887</c:v>
                </c:pt>
                <c:pt idx="3">
                  <c:v>14779</c:v>
                </c:pt>
                <c:pt idx="4">
                  <c:v>16705</c:v>
                </c:pt>
              </c:numCache>
            </c:numRef>
          </c:val>
          <c:smooth val="0"/>
          <c:extLst>
            <c:ext xmlns:c16="http://schemas.microsoft.com/office/drawing/2014/chart" uri="{C3380CC4-5D6E-409C-BE32-E72D297353CC}">
              <c16:uniqueId val="{00000000-FDCD-4BC3-BDA0-B3D40323B6A1}"/>
            </c:ext>
          </c:extLst>
        </c:ser>
        <c:ser>
          <c:idx val="1"/>
          <c:order val="1"/>
          <c:tx>
            <c:strRef>
              <c:f>č.ř.!$A$21</c:f>
              <c:strCache>
                <c:ptCount val="1"/>
                <c:pt idx="0">
                  <c:v>PHA-Průmysl</c:v>
                </c:pt>
              </c:strCache>
            </c:strRef>
          </c:tx>
          <c:spPr>
            <a:ln w="28575" cap="rnd">
              <a:solidFill>
                <a:srgbClr val="FF0000"/>
              </a:solidFill>
              <a:round/>
            </a:ln>
            <a:effectLst/>
          </c:spPr>
          <c:marker>
            <c:symbol val="none"/>
          </c:marker>
          <c:cat>
            <c:numRef>
              <c:f>č.ř.!$B$19:$F$19</c:f>
              <c:numCache>
                <c:formatCode>#,##0_ ;\-#,##0\ </c:formatCode>
                <c:ptCount val="5"/>
                <c:pt idx="0">
                  <c:v>2011</c:v>
                </c:pt>
                <c:pt idx="1">
                  <c:v>2012</c:v>
                </c:pt>
                <c:pt idx="2">
                  <c:v>2013</c:v>
                </c:pt>
                <c:pt idx="3">
                  <c:v>2014</c:v>
                </c:pt>
                <c:pt idx="4">
                  <c:v>2015</c:v>
                </c:pt>
              </c:numCache>
            </c:numRef>
          </c:cat>
          <c:val>
            <c:numRef>
              <c:f>č.ř.!$B$21:$F$21</c:f>
              <c:numCache>
                <c:formatCode>#,##0_ ;\-#,##0\ </c:formatCode>
                <c:ptCount val="5"/>
                <c:pt idx="0">
                  <c:v>32005</c:v>
                </c:pt>
                <c:pt idx="1">
                  <c:v>32757</c:v>
                </c:pt>
                <c:pt idx="2">
                  <c:v>31845</c:v>
                </c:pt>
                <c:pt idx="3">
                  <c:v>33013</c:v>
                </c:pt>
                <c:pt idx="4">
                  <c:v>33190</c:v>
                </c:pt>
              </c:numCache>
            </c:numRef>
          </c:val>
          <c:smooth val="0"/>
          <c:extLst>
            <c:ext xmlns:c16="http://schemas.microsoft.com/office/drawing/2014/chart" uri="{C3380CC4-5D6E-409C-BE32-E72D297353CC}">
              <c16:uniqueId val="{00000001-FDCD-4BC3-BDA0-B3D40323B6A1}"/>
            </c:ext>
          </c:extLst>
        </c:ser>
        <c:ser>
          <c:idx val="2"/>
          <c:order val="2"/>
          <c:tx>
            <c:strRef>
              <c:f>č.ř.!$A$22</c:f>
              <c:strCache>
                <c:ptCount val="1"/>
                <c:pt idx="0">
                  <c:v>PHA-NH</c:v>
                </c:pt>
              </c:strCache>
            </c:strRef>
          </c:tx>
          <c:spPr>
            <a:ln w="28575" cap="rnd">
              <a:solidFill>
                <a:srgbClr val="0070C0"/>
              </a:solidFill>
              <a:round/>
            </a:ln>
            <a:effectLst/>
          </c:spPr>
          <c:marker>
            <c:symbol val="none"/>
          </c:marker>
          <c:cat>
            <c:numRef>
              <c:f>č.ř.!$B$19:$F$19</c:f>
              <c:numCache>
                <c:formatCode>#,##0_ ;\-#,##0\ </c:formatCode>
                <c:ptCount val="5"/>
                <c:pt idx="0">
                  <c:v>2011</c:v>
                </c:pt>
                <c:pt idx="1">
                  <c:v>2012</c:v>
                </c:pt>
                <c:pt idx="2">
                  <c:v>2013</c:v>
                </c:pt>
                <c:pt idx="3">
                  <c:v>2014</c:v>
                </c:pt>
                <c:pt idx="4">
                  <c:v>2015</c:v>
                </c:pt>
              </c:numCache>
            </c:numRef>
          </c:cat>
          <c:val>
            <c:numRef>
              <c:f>č.ř.!$B$22:$F$22</c:f>
              <c:numCache>
                <c:formatCode>#,##0_ ;\-#,##0\ </c:formatCode>
                <c:ptCount val="5"/>
                <c:pt idx="0">
                  <c:v>31252</c:v>
                </c:pt>
                <c:pt idx="1">
                  <c:v>31834</c:v>
                </c:pt>
                <c:pt idx="2">
                  <c:v>30847</c:v>
                </c:pt>
                <c:pt idx="3">
                  <c:v>31811</c:v>
                </c:pt>
                <c:pt idx="4">
                  <c:v>32752</c:v>
                </c:pt>
              </c:numCache>
            </c:numRef>
          </c:val>
          <c:smooth val="0"/>
          <c:extLst>
            <c:ext xmlns:c16="http://schemas.microsoft.com/office/drawing/2014/chart" uri="{C3380CC4-5D6E-409C-BE32-E72D297353CC}">
              <c16:uniqueId val="{00000002-FDCD-4BC3-BDA0-B3D40323B6A1}"/>
            </c:ext>
          </c:extLst>
        </c:ser>
        <c:ser>
          <c:idx val="3"/>
          <c:order val="3"/>
          <c:tx>
            <c:strRef>
              <c:f>č.ř.!$A$23</c:f>
              <c:strCache>
                <c:ptCount val="1"/>
                <c:pt idx="0">
                  <c:v>STC-Zeměděl.</c:v>
                </c:pt>
              </c:strCache>
            </c:strRef>
          </c:tx>
          <c:spPr>
            <a:ln w="28575" cap="rnd">
              <a:solidFill>
                <a:srgbClr val="00B050"/>
              </a:solidFill>
              <a:prstDash val="dash"/>
              <a:round/>
            </a:ln>
            <a:effectLst/>
          </c:spPr>
          <c:marker>
            <c:symbol val="none"/>
          </c:marker>
          <c:cat>
            <c:numRef>
              <c:f>č.ř.!$B$19:$F$19</c:f>
              <c:numCache>
                <c:formatCode>#,##0_ ;\-#,##0\ </c:formatCode>
                <c:ptCount val="5"/>
                <c:pt idx="0">
                  <c:v>2011</c:v>
                </c:pt>
                <c:pt idx="1">
                  <c:v>2012</c:v>
                </c:pt>
                <c:pt idx="2">
                  <c:v>2013</c:v>
                </c:pt>
                <c:pt idx="3">
                  <c:v>2014</c:v>
                </c:pt>
                <c:pt idx="4">
                  <c:v>2015</c:v>
                </c:pt>
              </c:numCache>
            </c:numRef>
          </c:cat>
          <c:val>
            <c:numRef>
              <c:f>č.ř.!$B$23:$F$23</c:f>
              <c:numCache>
                <c:formatCode>#,##0_ ;\-#,##0\ </c:formatCode>
                <c:ptCount val="5"/>
                <c:pt idx="0">
                  <c:v>19269</c:v>
                </c:pt>
                <c:pt idx="1">
                  <c:v>20116</c:v>
                </c:pt>
                <c:pt idx="2">
                  <c:v>21004</c:v>
                </c:pt>
                <c:pt idx="3">
                  <c:v>22057</c:v>
                </c:pt>
                <c:pt idx="4">
                  <c:v>21912</c:v>
                </c:pt>
              </c:numCache>
            </c:numRef>
          </c:val>
          <c:smooth val="0"/>
          <c:extLst>
            <c:ext xmlns:c16="http://schemas.microsoft.com/office/drawing/2014/chart" uri="{C3380CC4-5D6E-409C-BE32-E72D297353CC}">
              <c16:uniqueId val="{00000003-FDCD-4BC3-BDA0-B3D40323B6A1}"/>
            </c:ext>
          </c:extLst>
        </c:ser>
        <c:ser>
          <c:idx val="4"/>
          <c:order val="4"/>
          <c:tx>
            <c:strRef>
              <c:f>č.ř.!$A$24</c:f>
              <c:strCache>
                <c:ptCount val="1"/>
                <c:pt idx="0">
                  <c:v>STC-Průmysl</c:v>
                </c:pt>
              </c:strCache>
            </c:strRef>
          </c:tx>
          <c:spPr>
            <a:ln w="28575" cap="rnd">
              <a:solidFill>
                <a:srgbClr val="FF0000"/>
              </a:solidFill>
              <a:prstDash val="dash"/>
              <a:round/>
            </a:ln>
            <a:effectLst/>
          </c:spPr>
          <c:marker>
            <c:symbol val="none"/>
          </c:marker>
          <c:cat>
            <c:numRef>
              <c:f>č.ř.!$B$19:$F$19</c:f>
              <c:numCache>
                <c:formatCode>#,##0_ ;\-#,##0\ </c:formatCode>
                <c:ptCount val="5"/>
                <c:pt idx="0">
                  <c:v>2011</c:v>
                </c:pt>
                <c:pt idx="1">
                  <c:v>2012</c:v>
                </c:pt>
                <c:pt idx="2">
                  <c:v>2013</c:v>
                </c:pt>
                <c:pt idx="3">
                  <c:v>2014</c:v>
                </c:pt>
                <c:pt idx="4">
                  <c:v>2015</c:v>
                </c:pt>
              </c:numCache>
            </c:numRef>
          </c:cat>
          <c:val>
            <c:numRef>
              <c:f>č.ř.!$B$24:$F$24</c:f>
              <c:numCache>
                <c:formatCode>#,##0_ ;\-#,##0\ </c:formatCode>
                <c:ptCount val="5"/>
                <c:pt idx="0">
                  <c:v>27024</c:v>
                </c:pt>
                <c:pt idx="1">
                  <c:v>28050</c:v>
                </c:pt>
                <c:pt idx="2">
                  <c:v>28654</c:v>
                </c:pt>
                <c:pt idx="3">
                  <c:v>29416</c:v>
                </c:pt>
                <c:pt idx="4">
                  <c:v>30417</c:v>
                </c:pt>
              </c:numCache>
            </c:numRef>
          </c:val>
          <c:smooth val="0"/>
          <c:extLst>
            <c:ext xmlns:c16="http://schemas.microsoft.com/office/drawing/2014/chart" uri="{C3380CC4-5D6E-409C-BE32-E72D297353CC}">
              <c16:uniqueId val="{00000004-FDCD-4BC3-BDA0-B3D40323B6A1}"/>
            </c:ext>
          </c:extLst>
        </c:ser>
        <c:ser>
          <c:idx val="5"/>
          <c:order val="5"/>
          <c:tx>
            <c:strRef>
              <c:f>č.ř.!$A$25</c:f>
              <c:strCache>
                <c:ptCount val="1"/>
                <c:pt idx="0">
                  <c:v>STC-NH</c:v>
                </c:pt>
              </c:strCache>
            </c:strRef>
          </c:tx>
          <c:spPr>
            <a:ln w="28575" cap="rnd">
              <a:solidFill>
                <a:srgbClr val="0070C0"/>
              </a:solidFill>
              <a:prstDash val="dash"/>
              <a:round/>
            </a:ln>
            <a:effectLst/>
          </c:spPr>
          <c:marker>
            <c:symbol val="none"/>
          </c:marker>
          <c:cat>
            <c:numRef>
              <c:f>č.ř.!$B$19:$F$19</c:f>
              <c:numCache>
                <c:formatCode>#,##0_ ;\-#,##0\ </c:formatCode>
                <c:ptCount val="5"/>
                <c:pt idx="0">
                  <c:v>2011</c:v>
                </c:pt>
                <c:pt idx="1">
                  <c:v>2012</c:v>
                </c:pt>
                <c:pt idx="2">
                  <c:v>2013</c:v>
                </c:pt>
                <c:pt idx="3">
                  <c:v>2014</c:v>
                </c:pt>
                <c:pt idx="4">
                  <c:v>2015</c:v>
                </c:pt>
              </c:numCache>
            </c:numRef>
          </c:cat>
          <c:val>
            <c:numRef>
              <c:f>č.ř.!$B$25:$F$25</c:f>
              <c:numCache>
                <c:formatCode>#,##0_ ;\-#,##0\ </c:formatCode>
                <c:ptCount val="5"/>
                <c:pt idx="0">
                  <c:v>23407</c:v>
                </c:pt>
                <c:pt idx="1">
                  <c:v>23950</c:v>
                </c:pt>
                <c:pt idx="2">
                  <c:v>24240</c:v>
                </c:pt>
                <c:pt idx="3">
                  <c:v>24983</c:v>
                </c:pt>
                <c:pt idx="4">
                  <c:v>25824</c:v>
                </c:pt>
              </c:numCache>
            </c:numRef>
          </c:val>
          <c:smooth val="0"/>
          <c:extLst>
            <c:ext xmlns:c16="http://schemas.microsoft.com/office/drawing/2014/chart" uri="{C3380CC4-5D6E-409C-BE32-E72D297353CC}">
              <c16:uniqueId val="{00000005-FDCD-4BC3-BDA0-B3D40323B6A1}"/>
            </c:ext>
          </c:extLst>
        </c:ser>
        <c:dLbls>
          <c:showLegendKey val="0"/>
          <c:showVal val="0"/>
          <c:showCatName val="0"/>
          <c:showSerName val="0"/>
          <c:showPercent val="0"/>
          <c:showBubbleSize val="0"/>
        </c:dLbls>
        <c:smooth val="0"/>
        <c:axId val="83920384"/>
        <c:axId val="83921920"/>
      </c:lineChart>
      <c:catAx>
        <c:axId val="83920384"/>
        <c:scaling>
          <c:orientation val="minMax"/>
        </c:scaling>
        <c:delete val="0"/>
        <c:axPos val="b"/>
        <c:numFmt formatCode="#,##0_ ;\-#,##0\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3921920"/>
        <c:crosses val="autoZero"/>
        <c:auto val="1"/>
        <c:lblAlgn val="ctr"/>
        <c:lblOffset val="100"/>
        <c:noMultiLvlLbl val="0"/>
      </c:catAx>
      <c:valAx>
        <c:axId val="83921920"/>
        <c:scaling>
          <c:orientation val="minMax"/>
          <c:max val="34000"/>
          <c:min val="14000"/>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392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č.ř.!$A$28</c:f>
              <c:strCache>
                <c:ptCount val="1"/>
                <c:pt idx="0">
                  <c:v>JHC-Zeměděl.</c:v>
                </c:pt>
              </c:strCache>
            </c:strRef>
          </c:tx>
          <c:spPr>
            <a:ln w="28575" cap="rnd">
              <a:solidFill>
                <a:srgbClr val="00B050"/>
              </a:solidFill>
              <a:round/>
            </a:ln>
            <a:effectLst/>
          </c:spPr>
          <c:marker>
            <c:symbol val="none"/>
          </c:marker>
          <c:cat>
            <c:numRef>
              <c:f>č.ř.!$B$27:$F$27</c:f>
              <c:numCache>
                <c:formatCode>#,##0_ ;\-#,##0\ </c:formatCode>
                <c:ptCount val="5"/>
                <c:pt idx="0">
                  <c:v>2011</c:v>
                </c:pt>
                <c:pt idx="1">
                  <c:v>2012</c:v>
                </c:pt>
                <c:pt idx="2">
                  <c:v>2013</c:v>
                </c:pt>
                <c:pt idx="3">
                  <c:v>2014</c:v>
                </c:pt>
                <c:pt idx="4">
                  <c:v>2015</c:v>
                </c:pt>
              </c:numCache>
            </c:numRef>
          </c:cat>
          <c:val>
            <c:numRef>
              <c:f>č.ř.!$B$28:$F$28</c:f>
              <c:numCache>
                <c:formatCode>#,##0_ ;\-#,##0\ </c:formatCode>
                <c:ptCount val="5"/>
                <c:pt idx="0">
                  <c:v>18506</c:v>
                </c:pt>
                <c:pt idx="1">
                  <c:v>19557</c:v>
                </c:pt>
                <c:pt idx="2">
                  <c:v>20165</c:v>
                </c:pt>
                <c:pt idx="3">
                  <c:v>21082</c:v>
                </c:pt>
                <c:pt idx="4">
                  <c:v>21516</c:v>
                </c:pt>
              </c:numCache>
            </c:numRef>
          </c:val>
          <c:smooth val="0"/>
          <c:extLst>
            <c:ext xmlns:c16="http://schemas.microsoft.com/office/drawing/2014/chart" uri="{C3380CC4-5D6E-409C-BE32-E72D297353CC}">
              <c16:uniqueId val="{00000000-9807-4839-B94D-B46FF9B0E94A}"/>
            </c:ext>
          </c:extLst>
        </c:ser>
        <c:ser>
          <c:idx val="1"/>
          <c:order val="1"/>
          <c:tx>
            <c:strRef>
              <c:f>č.ř.!$A$29</c:f>
              <c:strCache>
                <c:ptCount val="1"/>
                <c:pt idx="0">
                  <c:v>JHC-Průmysl</c:v>
                </c:pt>
              </c:strCache>
            </c:strRef>
          </c:tx>
          <c:spPr>
            <a:ln w="28575" cap="rnd">
              <a:solidFill>
                <a:srgbClr val="FF0000"/>
              </a:solidFill>
              <a:round/>
            </a:ln>
            <a:effectLst/>
          </c:spPr>
          <c:marker>
            <c:symbol val="none"/>
          </c:marker>
          <c:cat>
            <c:numRef>
              <c:f>č.ř.!$B$27:$F$27</c:f>
              <c:numCache>
                <c:formatCode>#,##0_ ;\-#,##0\ </c:formatCode>
                <c:ptCount val="5"/>
                <c:pt idx="0">
                  <c:v>2011</c:v>
                </c:pt>
                <c:pt idx="1">
                  <c:v>2012</c:v>
                </c:pt>
                <c:pt idx="2">
                  <c:v>2013</c:v>
                </c:pt>
                <c:pt idx="3">
                  <c:v>2014</c:v>
                </c:pt>
                <c:pt idx="4">
                  <c:v>2015</c:v>
                </c:pt>
              </c:numCache>
            </c:numRef>
          </c:cat>
          <c:val>
            <c:numRef>
              <c:f>č.ř.!$B$29:$F$29</c:f>
              <c:numCache>
                <c:formatCode>#,##0_ ;\-#,##0\ </c:formatCode>
                <c:ptCount val="5"/>
                <c:pt idx="0">
                  <c:v>22444</c:v>
                </c:pt>
                <c:pt idx="1">
                  <c:v>23412</c:v>
                </c:pt>
                <c:pt idx="2">
                  <c:v>23522</c:v>
                </c:pt>
                <c:pt idx="3">
                  <c:v>24272</c:v>
                </c:pt>
                <c:pt idx="4">
                  <c:v>24962</c:v>
                </c:pt>
              </c:numCache>
            </c:numRef>
          </c:val>
          <c:smooth val="0"/>
          <c:extLst>
            <c:ext xmlns:c16="http://schemas.microsoft.com/office/drawing/2014/chart" uri="{C3380CC4-5D6E-409C-BE32-E72D297353CC}">
              <c16:uniqueId val="{00000001-9807-4839-B94D-B46FF9B0E94A}"/>
            </c:ext>
          </c:extLst>
        </c:ser>
        <c:ser>
          <c:idx val="2"/>
          <c:order val="2"/>
          <c:tx>
            <c:strRef>
              <c:f>č.ř.!$A$30</c:f>
              <c:strCache>
                <c:ptCount val="1"/>
                <c:pt idx="0">
                  <c:v>JHC-NH</c:v>
                </c:pt>
              </c:strCache>
            </c:strRef>
          </c:tx>
          <c:spPr>
            <a:ln w="28575" cap="rnd">
              <a:solidFill>
                <a:srgbClr val="0070C0"/>
              </a:solidFill>
              <a:round/>
            </a:ln>
            <a:effectLst/>
          </c:spPr>
          <c:marker>
            <c:symbol val="none"/>
          </c:marker>
          <c:cat>
            <c:numRef>
              <c:f>č.ř.!$B$27:$F$27</c:f>
              <c:numCache>
                <c:formatCode>#,##0_ ;\-#,##0\ </c:formatCode>
                <c:ptCount val="5"/>
                <c:pt idx="0">
                  <c:v>2011</c:v>
                </c:pt>
                <c:pt idx="1">
                  <c:v>2012</c:v>
                </c:pt>
                <c:pt idx="2">
                  <c:v>2013</c:v>
                </c:pt>
                <c:pt idx="3">
                  <c:v>2014</c:v>
                </c:pt>
                <c:pt idx="4">
                  <c:v>2015</c:v>
                </c:pt>
              </c:numCache>
            </c:numRef>
          </c:cat>
          <c:val>
            <c:numRef>
              <c:f>č.ř.!$B$30:$F$30</c:f>
              <c:numCache>
                <c:formatCode>#,##0_ ;\-#,##0\ </c:formatCode>
                <c:ptCount val="5"/>
                <c:pt idx="0">
                  <c:v>21041</c:v>
                </c:pt>
                <c:pt idx="1">
                  <c:v>21714</c:v>
                </c:pt>
                <c:pt idx="2">
                  <c:v>21749</c:v>
                </c:pt>
                <c:pt idx="3">
                  <c:v>22296</c:v>
                </c:pt>
                <c:pt idx="4">
                  <c:v>23118</c:v>
                </c:pt>
              </c:numCache>
            </c:numRef>
          </c:val>
          <c:smooth val="0"/>
          <c:extLst>
            <c:ext xmlns:c16="http://schemas.microsoft.com/office/drawing/2014/chart" uri="{C3380CC4-5D6E-409C-BE32-E72D297353CC}">
              <c16:uniqueId val="{00000002-9807-4839-B94D-B46FF9B0E94A}"/>
            </c:ext>
          </c:extLst>
        </c:ser>
        <c:ser>
          <c:idx val="3"/>
          <c:order val="3"/>
          <c:tx>
            <c:strRef>
              <c:f>č.ř.!$A$31</c:f>
              <c:strCache>
                <c:ptCount val="1"/>
                <c:pt idx="0">
                  <c:v>PLK-Zeměděl.</c:v>
                </c:pt>
              </c:strCache>
            </c:strRef>
          </c:tx>
          <c:spPr>
            <a:ln w="28575" cap="rnd">
              <a:solidFill>
                <a:srgbClr val="00B050"/>
              </a:solidFill>
              <a:prstDash val="dash"/>
              <a:round/>
            </a:ln>
            <a:effectLst/>
          </c:spPr>
          <c:marker>
            <c:symbol val="none"/>
          </c:marker>
          <c:cat>
            <c:numRef>
              <c:f>č.ř.!$B$27:$F$27</c:f>
              <c:numCache>
                <c:formatCode>#,##0_ ;\-#,##0\ </c:formatCode>
                <c:ptCount val="5"/>
                <c:pt idx="0">
                  <c:v>2011</c:v>
                </c:pt>
                <c:pt idx="1">
                  <c:v>2012</c:v>
                </c:pt>
                <c:pt idx="2">
                  <c:v>2013</c:v>
                </c:pt>
                <c:pt idx="3">
                  <c:v>2014</c:v>
                </c:pt>
                <c:pt idx="4">
                  <c:v>2015</c:v>
                </c:pt>
              </c:numCache>
            </c:numRef>
          </c:cat>
          <c:val>
            <c:numRef>
              <c:f>č.ř.!$B$31:$F$31</c:f>
              <c:numCache>
                <c:formatCode>#,##0_ ;\-#,##0\ </c:formatCode>
                <c:ptCount val="5"/>
                <c:pt idx="0">
                  <c:v>19536</c:v>
                </c:pt>
                <c:pt idx="1">
                  <c:v>20034</c:v>
                </c:pt>
                <c:pt idx="2">
                  <c:v>20888</c:v>
                </c:pt>
                <c:pt idx="3">
                  <c:v>21699</c:v>
                </c:pt>
                <c:pt idx="4">
                  <c:v>22478</c:v>
                </c:pt>
              </c:numCache>
            </c:numRef>
          </c:val>
          <c:smooth val="0"/>
          <c:extLst>
            <c:ext xmlns:c16="http://schemas.microsoft.com/office/drawing/2014/chart" uri="{C3380CC4-5D6E-409C-BE32-E72D297353CC}">
              <c16:uniqueId val="{00000003-9807-4839-B94D-B46FF9B0E94A}"/>
            </c:ext>
          </c:extLst>
        </c:ser>
        <c:ser>
          <c:idx val="4"/>
          <c:order val="4"/>
          <c:tx>
            <c:strRef>
              <c:f>č.ř.!$A$32</c:f>
              <c:strCache>
                <c:ptCount val="1"/>
                <c:pt idx="0">
                  <c:v>PLK-Průmysl</c:v>
                </c:pt>
              </c:strCache>
            </c:strRef>
          </c:tx>
          <c:spPr>
            <a:ln w="28575" cap="rnd">
              <a:solidFill>
                <a:srgbClr val="FF0000"/>
              </a:solidFill>
              <a:prstDash val="dash"/>
              <a:round/>
            </a:ln>
            <a:effectLst/>
          </c:spPr>
          <c:marker>
            <c:symbol val="none"/>
          </c:marker>
          <c:cat>
            <c:numRef>
              <c:f>č.ř.!$B$27:$F$27</c:f>
              <c:numCache>
                <c:formatCode>#,##0_ ;\-#,##0\ </c:formatCode>
                <c:ptCount val="5"/>
                <c:pt idx="0">
                  <c:v>2011</c:v>
                </c:pt>
                <c:pt idx="1">
                  <c:v>2012</c:v>
                </c:pt>
                <c:pt idx="2">
                  <c:v>2013</c:v>
                </c:pt>
                <c:pt idx="3">
                  <c:v>2014</c:v>
                </c:pt>
                <c:pt idx="4">
                  <c:v>2015</c:v>
                </c:pt>
              </c:numCache>
            </c:numRef>
          </c:cat>
          <c:val>
            <c:numRef>
              <c:f>č.ř.!$B$32:$F$32</c:f>
              <c:numCache>
                <c:formatCode>#,##0_ ;\-#,##0\ </c:formatCode>
                <c:ptCount val="5"/>
                <c:pt idx="0">
                  <c:v>24282</c:v>
                </c:pt>
                <c:pt idx="1">
                  <c:v>25056</c:v>
                </c:pt>
                <c:pt idx="2">
                  <c:v>25292</c:v>
                </c:pt>
                <c:pt idx="3">
                  <c:v>26152</c:v>
                </c:pt>
                <c:pt idx="4">
                  <c:v>27098</c:v>
                </c:pt>
              </c:numCache>
            </c:numRef>
          </c:val>
          <c:smooth val="0"/>
          <c:extLst>
            <c:ext xmlns:c16="http://schemas.microsoft.com/office/drawing/2014/chart" uri="{C3380CC4-5D6E-409C-BE32-E72D297353CC}">
              <c16:uniqueId val="{00000004-9807-4839-B94D-B46FF9B0E94A}"/>
            </c:ext>
          </c:extLst>
        </c:ser>
        <c:ser>
          <c:idx val="5"/>
          <c:order val="5"/>
          <c:tx>
            <c:strRef>
              <c:f>č.ř.!$A$33</c:f>
              <c:strCache>
                <c:ptCount val="1"/>
                <c:pt idx="0">
                  <c:v>PLK-NH</c:v>
                </c:pt>
              </c:strCache>
            </c:strRef>
          </c:tx>
          <c:spPr>
            <a:ln w="28575" cap="rnd">
              <a:solidFill>
                <a:srgbClr val="0070C0"/>
              </a:solidFill>
              <a:prstDash val="dash"/>
              <a:round/>
            </a:ln>
            <a:effectLst/>
          </c:spPr>
          <c:marker>
            <c:symbol val="none"/>
          </c:marker>
          <c:cat>
            <c:numRef>
              <c:f>č.ř.!$B$27:$F$27</c:f>
              <c:numCache>
                <c:formatCode>#,##0_ ;\-#,##0\ </c:formatCode>
                <c:ptCount val="5"/>
                <c:pt idx="0">
                  <c:v>2011</c:v>
                </c:pt>
                <c:pt idx="1">
                  <c:v>2012</c:v>
                </c:pt>
                <c:pt idx="2">
                  <c:v>2013</c:v>
                </c:pt>
                <c:pt idx="3">
                  <c:v>2014</c:v>
                </c:pt>
                <c:pt idx="4">
                  <c:v>2015</c:v>
                </c:pt>
              </c:numCache>
            </c:numRef>
          </c:cat>
          <c:val>
            <c:numRef>
              <c:f>č.ř.!$B$33:$F$33</c:f>
              <c:numCache>
                <c:formatCode>#,##0_ ;\-#,##0\ </c:formatCode>
                <c:ptCount val="5"/>
                <c:pt idx="0">
                  <c:v>22452</c:v>
                </c:pt>
                <c:pt idx="1">
                  <c:v>23132</c:v>
                </c:pt>
                <c:pt idx="2">
                  <c:v>23224</c:v>
                </c:pt>
                <c:pt idx="3">
                  <c:v>23820</c:v>
                </c:pt>
                <c:pt idx="4">
                  <c:v>24664</c:v>
                </c:pt>
              </c:numCache>
            </c:numRef>
          </c:val>
          <c:smooth val="0"/>
          <c:extLst>
            <c:ext xmlns:c16="http://schemas.microsoft.com/office/drawing/2014/chart" uri="{C3380CC4-5D6E-409C-BE32-E72D297353CC}">
              <c16:uniqueId val="{00000005-9807-4839-B94D-B46FF9B0E94A}"/>
            </c:ext>
          </c:extLst>
        </c:ser>
        <c:dLbls>
          <c:showLegendKey val="0"/>
          <c:showVal val="0"/>
          <c:showCatName val="0"/>
          <c:showSerName val="0"/>
          <c:showPercent val="0"/>
          <c:showBubbleSize val="0"/>
        </c:dLbls>
        <c:smooth val="0"/>
        <c:axId val="83969536"/>
        <c:axId val="83971072"/>
      </c:lineChart>
      <c:catAx>
        <c:axId val="83969536"/>
        <c:scaling>
          <c:orientation val="minMax"/>
        </c:scaling>
        <c:delete val="0"/>
        <c:axPos val="b"/>
        <c:numFmt formatCode="#,##0_ ;\-#,##0\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3971072"/>
        <c:crosses val="autoZero"/>
        <c:auto val="1"/>
        <c:lblAlgn val="ctr"/>
        <c:lblOffset val="100"/>
        <c:noMultiLvlLbl val="0"/>
      </c:catAx>
      <c:valAx>
        <c:axId val="83971072"/>
        <c:scaling>
          <c:orientation val="minMax"/>
          <c:min val="18000"/>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396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88670166229222"/>
          <c:y val="8.3333333333333329E-2"/>
          <c:w val="0.85355774278215224"/>
          <c:h val="0.63218285214348202"/>
        </c:manualLayout>
      </c:layout>
      <c:lineChart>
        <c:grouping val="standard"/>
        <c:varyColors val="0"/>
        <c:ser>
          <c:idx val="0"/>
          <c:order val="0"/>
          <c:tx>
            <c:strRef>
              <c:f>č.ř.!$A$36</c:f>
              <c:strCache>
                <c:ptCount val="1"/>
                <c:pt idx="0">
                  <c:v>KVK-Zeměděl.</c:v>
                </c:pt>
              </c:strCache>
            </c:strRef>
          </c:tx>
          <c:spPr>
            <a:ln w="28575" cap="rnd">
              <a:solidFill>
                <a:srgbClr val="00B050"/>
              </a:solidFill>
              <a:round/>
            </a:ln>
            <a:effectLst/>
          </c:spPr>
          <c:marker>
            <c:symbol val="none"/>
          </c:marker>
          <c:cat>
            <c:numRef>
              <c:f>č.ř.!$B$35:$F$35</c:f>
              <c:numCache>
                <c:formatCode>#,##0_ ;\-#,##0\ </c:formatCode>
                <c:ptCount val="5"/>
                <c:pt idx="0">
                  <c:v>2011</c:v>
                </c:pt>
                <c:pt idx="1">
                  <c:v>2012</c:v>
                </c:pt>
                <c:pt idx="2">
                  <c:v>2013</c:v>
                </c:pt>
                <c:pt idx="3">
                  <c:v>2014</c:v>
                </c:pt>
                <c:pt idx="4">
                  <c:v>2015</c:v>
                </c:pt>
              </c:numCache>
            </c:numRef>
          </c:cat>
          <c:val>
            <c:numRef>
              <c:f>č.ř.!$B$36:$F$36</c:f>
              <c:numCache>
                <c:formatCode>#,##0_ ;\-#,##0\ </c:formatCode>
                <c:ptCount val="5"/>
                <c:pt idx="0">
                  <c:v>17952</c:v>
                </c:pt>
                <c:pt idx="1">
                  <c:v>18894</c:v>
                </c:pt>
                <c:pt idx="2">
                  <c:v>18761</c:v>
                </c:pt>
                <c:pt idx="3">
                  <c:v>19241</c:v>
                </c:pt>
                <c:pt idx="4">
                  <c:v>20368</c:v>
                </c:pt>
              </c:numCache>
            </c:numRef>
          </c:val>
          <c:smooth val="0"/>
          <c:extLst>
            <c:ext xmlns:c16="http://schemas.microsoft.com/office/drawing/2014/chart" uri="{C3380CC4-5D6E-409C-BE32-E72D297353CC}">
              <c16:uniqueId val="{00000000-BC62-4B54-A29A-89463F684DAF}"/>
            </c:ext>
          </c:extLst>
        </c:ser>
        <c:ser>
          <c:idx val="1"/>
          <c:order val="1"/>
          <c:tx>
            <c:strRef>
              <c:f>č.ř.!$A$37</c:f>
              <c:strCache>
                <c:ptCount val="1"/>
                <c:pt idx="0">
                  <c:v>KVK-Průmysl</c:v>
                </c:pt>
              </c:strCache>
            </c:strRef>
          </c:tx>
          <c:spPr>
            <a:ln w="28575" cap="rnd">
              <a:solidFill>
                <a:srgbClr val="FF0000"/>
              </a:solidFill>
              <a:round/>
            </a:ln>
            <a:effectLst/>
          </c:spPr>
          <c:marker>
            <c:symbol val="none"/>
          </c:marker>
          <c:cat>
            <c:numRef>
              <c:f>č.ř.!$B$35:$F$35</c:f>
              <c:numCache>
                <c:formatCode>#,##0_ ;\-#,##0\ </c:formatCode>
                <c:ptCount val="5"/>
                <c:pt idx="0">
                  <c:v>2011</c:v>
                </c:pt>
                <c:pt idx="1">
                  <c:v>2012</c:v>
                </c:pt>
                <c:pt idx="2">
                  <c:v>2013</c:v>
                </c:pt>
                <c:pt idx="3">
                  <c:v>2014</c:v>
                </c:pt>
                <c:pt idx="4">
                  <c:v>2015</c:v>
                </c:pt>
              </c:numCache>
            </c:numRef>
          </c:cat>
          <c:val>
            <c:numRef>
              <c:f>č.ř.!$B$37:$F$37</c:f>
              <c:numCache>
                <c:formatCode>#,##0_ ;\-#,##0\ </c:formatCode>
                <c:ptCount val="5"/>
                <c:pt idx="0">
                  <c:v>21538</c:v>
                </c:pt>
                <c:pt idx="1">
                  <c:v>22157</c:v>
                </c:pt>
                <c:pt idx="2">
                  <c:v>21938</c:v>
                </c:pt>
                <c:pt idx="3">
                  <c:v>22734</c:v>
                </c:pt>
                <c:pt idx="4">
                  <c:v>23668</c:v>
                </c:pt>
              </c:numCache>
            </c:numRef>
          </c:val>
          <c:smooth val="0"/>
          <c:extLst>
            <c:ext xmlns:c16="http://schemas.microsoft.com/office/drawing/2014/chart" uri="{C3380CC4-5D6E-409C-BE32-E72D297353CC}">
              <c16:uniqueId val="{00000001-BC62-4B54-A29A-89463F684DAF}"/>
            </c:ext>
          </c:extLst>
        </c:ser>
        <c:ser>
          <c:idx val="2"/>
          <c:order val="2"/>
          <c:tx>
            <c:strRef>
              <c:f>č.ř.!$A$38</c:f>
              <c:strCache>
                <c:ptCount val="1"/>
                <c:pt idx="0">
                  <c:v>KVK-NH</c:v>
                </c:pt>
              </c:strCache>
            </c:strRef>
          </c:tx>
          <c:spPr>
            <a:ln w="28575" cap="rnd">
              <a:solidFill>
                <a:srgbClr val="0070C0"/>
              </a:solidFill>
              <a:round/>
            </a:ln>
            <a:effectLst/>
          </c:spPr>
          <c:marker>
            <c:symbol val="none"/>
          </c:marker>
          <c:cat>
            <c:numRef>
              <c:f>č.ř.!$B$35:$F$35</c:f>
              <c:numCache>
                <c:formatCode>#,##0_ ;\-#,##0\ </c:formatCode>
                <c:ptCount val="5"/>
                <c:pt idx="0">
                  <c:v>2011</c:v>
                </c:pt>
                <c:pt idx="1">
                  <c:v>2012</c:v>
                </c:pt>
                <c:pt idx="2">
                  <c:v>2013</c:v>
                </c:pt>
                <c:pt idx="3">
                  <c:v>2014</c:v>
                </c:pt>
                <c:pt idx="4">
                  <c:v>2015</c:v>
                </c:pt>
              </c:numCache>
            </c:numRef>
          </c:cat>
          <c:val>
            <c:numRef>
              <c:f>č.ř.!$B$38:$F$38</c:f>
              <c:numCache>
                <c:formatCode>#,##0_ ;\-#,##0\ </c:formatCode>
                <c:ptCount val="5"/>
                <c:pt idx="0">
                  <c:v>20095</c:v>
                </c:pt>
                <c:pt idx="1">
                  <c:v>20567</c:v>
                </c:pt>
                <c:pt idx="2">
                  <c:v>20671</c:v>
                </c:pt>
                <c:pt idx="3">
                  <c:v>21180</c:v>
                </c:pt>
                <c:pt idx="4">
                  <c:v>21953</c:v>
                </c:pt>
              </c:numCache>
            </c:numRef>
          </c:val>
          <c:smooth val="0"/>
          <c:extLst>
            <c:ext xmlns:c16="http://schemas.microsoft.com/office/drawing/2014/chart" uri="{C3380CC4-5D6E-409C-BE32-E72D297353CC}">
              <c16:uniqueId val="{00000002-BC62-4B54-A29A-89463F684DAF}"/>
            </c:ext>
          </c:extLst>
        </c:ser>
        <c:ser>
          <c:idx val="3"/>
          <c:order val="3"/>
          <c:tx>
            <c:strRef>
              <c:f>č.ř.!$A$39</c:f>
              <c:strCache>
                <c:ptCount val="1"/>
                <c:pt idx="0">
                  <c:v>ULK-Zeměděl.</c:v>
                </c:pt>
              </c:strCache>
            </c:strRef>
          </c:tx>
          <c:spPr>
            <a:ln w="28575" cap="rnd">
              <a:solidFill>
                <a:srgbClr val="00B050"/>
              </a:solidFill>
              <a:prstDash val="dash"/>
              <a:round/>
            </a:ln>
            <a:effectLst/>
          </c:spPr>
          <c:marker>
            <c:symbol val="none"/>
          </c:marker>
          <c:cat>
            <c:numRef>
              <c:f>č.ř.!$B$35:$F$35</c:f>
              <c:numCache>
                <c:formatCode>#,##0_ ;\-#,##0\ </c:formatCode>
                <c:ptCount val="5"/>
                <c:pt idx="0">
                  <c:v>2011</c:v>
                </c:pt>
                <c:pt idx="1">
                  <c:v>2012</c:v>
                </c:pt>
                <c:pt idx="2">
                  <c:v>2013</c:v>
                </c:pt>
                <c:pt idx="3">
                  <c:v>2014</c:v>
                </c:pt>
                <c:pt idx="4">
                  <c:v>2015</c:v>
                </c:pt>
              </c:numCache>
            </c:numRef>
          </c:cat>
          <c:val>
            <c:numRef>
              <c:f>č.ř.!$B$39:$F$39</c:f>
              <c:numCache>
                <c:formatCode>#,##0_ ;\-#,##0\ </c:formatCode>
                <c:ptCount val="5"/>
                <c:pt idx="0">
                  <c:v>16614</c:v>
                </c:pt>
                <c:pt idx="1">
                  <c:v>17234</c:v>
                </c:pt>
                <c:pt idx="2">
                  <c:v>18600</c:v>
                </c:pt>
                <c:pt idx="3">
                  <c:v>19975</c:v>
                </c:pt>
                <c:pt idx="4">
                  <c:v>19972</c:v>
                </c:pt>
              </c:numCache>
            </c:numRef>
          </c:val>
          <c:smooth val="0"/>
          <c:extLst>
            <c:ext xmlns:c16="http://schemas.microsoft.com/office/drawing/2014/chart" uri="{C3380CC4-5D6E-409C-BE32-E72D297353CC}">
              <c16:uniqueId val="{00000003-BC62-4B54-A29A-89463F684DAF}"/>
            </c:ext>
          </c:extLst>
        </c:ser>
        <c:ser>
          <c:idx val="4"/>
          <c:order val="4"/>
          <c:tx>
            <c:strRef>
              <c:f>č.ř.!$A$40</c:f>
              <c:strCache>
                <c:ptCount val="1"/>
                <c:pt idx="0">
                  <c:v>ULK-Průmysl</c:v>
                </c:pt>
              </c:strCache>
            </c:strRef>
          </c:tx>
          <c:spPr>
            <a:ln w="28575" cap="rnd">
              <a:solidFill>
                <a:srgbClr val="FF0000"/>
              </a:solidFill>
              <a:prstDash val="dash"/>
              <a:round/>
            </a:ln>
            <a:effectLst/>
          </c:spPr>
          <c:marker>
            <c:symbol val="none"/>
          </c:marker>
          <c:cat>
            <c:numRef>
              <c:f>č.ř.!$B$35:$F$35</c:f>
              <c:numCache>
                <c:formatCode>#,##0_ ;\-#,##0\ </c:formatCode>
                <c:ptCount val="5"/>
                <c:pt idx="0">
                  <c:v>2011</c:v>
                </c:pt>
                <c:pt idx="1">
                  <c:v>2012</c:v>
                </c:pt>
                <c:pt idx="2">
                  <c:v>2013</c:v>
                </c:pt>
                <c:pt idx="3">
                  <c:v>2014</c:v>
                </c:pt>
                <c:pt idx="4">
                  <c:v>2015</c:v>
                </c:pt>
              </c:numCache>
            </c:numRef>
          </c:cat>
          <c:val>
            <c:numRef>
              <c:f>č.ř.!$B$40:$F$40</c:f>
              <c:numCache>
                <c:formatCode>#,##0_ ;\-#,##0\ </c:formatCode>
                <c:ptCount val="5"/>
                <c:pt idx="0">
                  <c:v>23826</c:v>
                </c:pt>
                <c:pt idx="1">
                  <c:v>24372</c:v>
                </c:pt>
                <c:pt idx="2">
                  <c:v>24836</c:v>
                </c:pt>
                <c:pt idx="3">
                  <c:v>25581</c:v>
                </c:pt>
                <c:pt idx="4">
                  <c:v>26209</c:v>
                </c:pt>
              </c:numCache>
            </c:numRef>
          </c:val>
          <c:smooth val="0"/>
          <c:extLst>
            <c:ext xmlns:c16="http://schemas.microsoft.com/office/drawing/2014/chart" uri="{C3380CC4-5D6E-409C-BE32-E72D297353CC}">
              <c16:uniqueId val="{00000004-BC62-4B54-A29A-89463F684DAF}"/>
            </c:ext>
          </c:extLst>
        </c:ser>
        <c:ser>
          <c:idx val="5"/>
          <c:order val="5"/>
          <c:tx>
            <c:strRef>
              <c:f>č.ř.!$A$41</c:f>
              <c:strCache>
                <c:ptCount val="1"/>
                <c:pt idx="0">
                  <c:v>ULK--NH</c:v>
                </c:pt>
              </c:strCache>
            </c:strRef>
          </c:tx>
          <c:spPr>
            <a:ln w="28575" cap="rnd">
              <a:solidFill>
                <a:srgbClr val="0070C0"/>
              </a:solidFill>
              <a:prstDash val="dash"/>
              <a:round/>
            </a:ln>
            <a:effectLst/>
          </c:spPr>
          <c:marker>
            <c:symbol val="none"/>
          </c:marker>
          <c:cat>
            <c:numRef>
              <c:f>č.ř.!$B$35:$F$35</c:f>
              <c:numCache>
                <c:formatCode>#,##0_ ;\-#,##0\ </c:formatCode>
                <c:ptCount val="5"/>
                <c:pt idx="0">
                  <c:v>2011</c:v>
                </c:pt>
                <c:pt idx="1">
                  <c:v>2012</c:v>
                </c:pt>
                <c:pt idx="2">
                  <c:v>2013</c:v>
                </c:pt>
                <c:pt idx="3">
                  <c:v>2014</c:v>
                </c:pt>
                <c:pt idx="4">
                  <c:v>2015</c:v>
                </c:pt>
              </c:numCache>
            </c:numRef>
          </c:cat>
          <c:val>
            <c:numRef>
              <c:f>č.ř.!$B$41:$F$41</c:f>
              <c:numCache>
                <c:formatCode>#,##0_ ;\-#,##0\ </c:formatCode>
                <c:ptCount val="5"/>
                <c:pt idx="0">
                  <c:v>21327</c:v>
                </c:pt>
                <c:pt idx="1">
                  <c:v>21863</c:v>
                </c:pt>
                <c:pt idx="2">
                  <c:v>22074</c:v>
                </c:pt>
                <c:pt idx="3">
                  <c:v>22642</c:v>
                </c:pt>
                <c:pt idx="4">
                  <c:v>23426</c:v>
                </c:pt>
              </c:numCache>
            </c:numRef>
          </c:val>
          <c:smooth val="0"/>
          <c:extLst>
            <c:ext xmlns:c16="http://schemas.microsoft.com/office/drawing/2014/chart" uri="{C3380CC4-5D6E-409C-BE32-E72D297353CC}">
              <c16:uniqueId val="{00000005-BC62-4B54-A29A-89463F684DAF}"/>
            </c:ext>
          </c:extLst>
        </c:ser>
        <c:dLbls>
          <c:showLegendKey val="0"/>
          <c:showVal val="0"/>
          <c:showCatName val="0"/>
          <c:showSerName val="0"/>
          <c:showPercent val="0"/>
          <c:showBubbleSize val="0"/>
        </c:dLbls>
        <c:smooth val="0"/>
        <c:axId val="84006784"/>
        <c:axId val="84008320"/>
      </c:lineChart>
      <c:catAx>
        <c:axId val="84006784"/>
        <c:scaling>
          <c:orientation val="minMax"/>
        </c:scaling>
        <c:delete val="0"/>
        <c:axPos val="b"/>
        <c:numFmt formatCode="#,##0_ ;\-#,##0\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008320"/>
        <c:crosses val="autoZero"/>
        <c:auto val="1"/>
        <c:lblAlgn val="ctr"/>
        <c:lblOffset val="100"/>
        <c:noMultiLvlLbl val="0"/>
      </c:catAx>
      <c:valAx>
        <c:axId val="84008320"/>
        <c:scaling>
          <c:orientation val="minMax"/>
          <c:max val="27000"/>
          <c:min val="16000"/>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00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33114610673664"/>
          <c:y val="6.5231481481481488E-2"/>
          <c:w val="0.85355774278215224"/>
          <c:h val="0.59993693496646261"/>
        </c:manualLayout>
      </c:layout>
      <c:lineChart>
        <c:grouping val="standard"/>
        <c:varyColors val="0"/>
        <c:ser>
          <c:idx val="0"/>
          <c:order val="0"/>
          <c:tx>
            <c:strRef>
              <c:f>č.ř.!$A$44</c:f>
              <c:strCache>
                <c:ptCount val="1"/>
                <c:pt idx="0">
                  <c:v>LBK-Zeměděl.</c:v>
                </c:pt>
              </c:strCache>
            </c:strRef>
          </c:tx>
          <c:spPr>
            <a:ln w="28575" cap="rnd">
              <a:solidFill>
                <a:srgbClr val="00B050"/>
              </a:solidFill>
              <a:round/>
            </a:ln>
            <a:effectLst/>
          </c:spPr>
          <c:marker>
            <c:symbol val="none"/>
          </c:marker>
          <c:cat>
            <c:numRef>
              <c:f>č.ř.!$B$43:$F$43</c:f>
              <c:numCache>
                <c:formatCode>#,##0_ ;\-#,##0\ </c:formatCode>
                <c:ptCount val="5"/>
                <c:pt idx="0">
                  <c:v>2011</c:v>
                </c:pt>
                <c:pt idx="1">
                  <c:v>2012</c:v>
                </c:pt>
                <c:pt idx="2">
                  <c:v>2013</c:v>
                </c:pt>
                <c:pt idx="3">
                  <c:v>2014</c:v>
                </c:pt>
                <c:pt idx="4">
                  <c:v>2015</c:v>
                </c:pt>
              </c:numCache>
            </c:numRef>
          </c:cat>
          <c:val>
            <c:numRef>
              <c:f>č.ř.!$B$44:$F$44</c:f>
              <c:numCache>
                <c:formatCode>#,##0_ ;\-#,##0\ </c:formatCode>
                <c:ptCount val="5"/>
                <c:pt idx="0">
                  <c:v>17286</c:v>
                </c:pt>
                <c:pt idx="1">
                  <c:v>18830</c:v>
                </c:pt>
                <c:pt idx="2">
                  <c:v>18917</c:v>
                </c:pt>
                <c:pt idx="3">
                  <c:v>19480</c:v>
                </c:pt>
                <c:pt idx="4">
                  <c:v>20025</c:v>
                </c:pt>
              </c:numCache>
            </c:numRef>
          </c:val>
          <c:smooth val="0"/>
          <c:extLst>
            <c:ext xmlns:c16="http://schemas.microsoft.com/office/drawing/2014/chart" uri="{C3380CC4-5D6E-409C-BE32-E72D297353CC}">
              <c16:uniqueId val="{00000000-7122-470E-AAAD-0984C0DDFC91}"/>
            </c:ext>
          </c:extLst>
        </c:ser>
        <c:ser>
          <c:idx val="1"/>
          <c:order val="1"/>
          <c:tx>
            <c:strRef>
              <c:f>č.ř.!$A$45</c:f>
              <c:strCache>
                <c:ptCount val="1"/>
                <c:pt idx="0">
                  <c:v>LBK-Průmysl</c:v>
                </c:pt>
              </c:strCache>
            </c:strRef>
          </c:tx>
          <c:spPr>
            <a:ln w="28575" cap="rnd">
              <a:solidFill>
                <a:srgbClr val="FF0000"/>
              </a:solidFill>
              <a:round/>
            </a:ln>
            <a:effectLst/>
          </c:spPr>
          <c:marker>
            <c:symbol val="none"/>
          </c:marker>
          <c:cat>
            <c:numRef>
              <c:f>č.ř.!$B$43:$F$43</c:f>
              <c:numCache>
                <c:formatCode>#,##0_ ;\-#,##0\ </c:formatCode>
                <c:ptCount val="5"/>
                <c:pt idx="0">
                  <c:v>2011</c:v>
                </c:pt>
                <c:pt idx="1">
                  <c:v>2012</c:v>
                </c:pt>
                <c:pt idx="2">
                  <c:v>2013</c:v>
                </c:pt>
                <c:pt idx="3">
                  <c:v>2014</c:v>
                </c:pt>
                <c:pt idx="4">
                  <c:v>2015</c:v>
                </c:pt>
              </c:numCache>
            </c:numRef>
          </c:cat>
          <c:val>
            <c:numRef>
              <c:f>č.ř.!$B$45:$F$45</c:f>
              <c:numCache>
                <c:formatCode>#,##0_ ;\-#,##0\ </c:formatCode>
                <c:ptCount val="5"/>
                <c:pt idx="0">
                  <c:v>23762</c:v>
                </c:pt>
                <c:pt idx="1">
                  <c:v>24671</c:v>
                </c:pt>
                <c:pt idx="2">
                  <c:v>24934</c:v>
                </c:pt>
                <c:pt idx="3">
                  <c:v>25621</c:v>
                </c:pt>
                <c:pt idx="4">
                  <c:v>26429</c:v>
                </c:pt>
              </c:numCache>
            </c:numRef>
          </c:val>
          <c:smooth val="0"/>
          <c:extLst>
            <c:ext xmlns:c16="http://schemas.microsoft.com/office/drawing/2014/chart" uri="{C3380CC4-5D6E-409C-BE32-E72D297353CC}">
              <c16:uniqueId val="{00000001-7122-470E-AAAD-0984C0DDFC91}"/>
            </c:ext>
          </c:extLst>
        </c:ser>
        <c:ser>
          <c:idx val="2"/>
          <c:order val="2"/>
          <c:tx>
            <c:strRef>
              <c:f>č.ř.!$A$46</c:f>
              <c:strCache>
                <c:ptCount val="1"/>
                <c:pt idx="0">
                  <c:v>LBK-NH</c:v>
                </c:pt>
              </c:strCache>
            </c:strRef>
          </c:tx>
          <c:spPr>
            <a:ln w="28575" cap="rnd">
              <a:solidFill>
                <a:srgbClr val="0070C0"/>
              </a:solidFill>
              <a:round/>
            </a:ln>
            <a:effectLst/>
          </c:spPr>
          <c:marker>
            <c:symbol val="none"/>
          </c:marker>
          <c:cat>
            <c:numRef>
              <c:f>č.ř.!$B$43:$F$43</c:f>
              <c:numCache>
                <c:formatCode>#,##0_ ;\-#,##0\ </c:formatCode>
                <c:ptCount val="5"/>
                <c:pt idx="0">
                  <c:v>2011</c:v>
                </c:pt>
                <c:pt idx="1">
                  <c:v>2012</c:v>
                </c:pt>
                <c:pt idx="2">
                  <c:v>2013</c:v>
                </c:pt>
                <c:pt idx="3">
                  <c:v>2014</c:v>
                </c:pt>
                <c:pt idx="4">
                  <c:v>2015</c:v>
                </c:pt>
              </c:numCache>
            </c:numRef>
          </c:cat>
          <c:val>
            <c:numRef>
              <c:f>č.ř.!$B$46:$F$46</c:f>
              <c:numCache>
                <c:formatCode>#,##0_ ;\-#,##0\ </c:formatCode>
                <c:ptCount val="5"/>
                <c:pt idx="0">
                  <c:v>21581</c:v>
                </c:pt>
                <c:pt idx="1">
                  <c:v>22153</c:v>
                </c:pt>
                <c:pt idx="2">
                  <c:v>22424</c:v>
                </c:pt>
                <c:pt idx="3">
                  <c:v>23201</c:v>
                </c:pt>
                <c:pt idx="4">
                  <c:v>23844</c:v>
                </c:pt>
              </c:numCache>
            </c:numRef>
          </c:val>
          <c:smooth val="0"/>
          <c:extLst>
            <c:ext xmlns:c16="http://schemas.microsoft.com/office/drawing/2014/chart" uri="{C3380CC4-5D6E-409C-BE32-E72D297353CC}">
              <c16:uniqueId val="{00000002-7122-470E-AAAD-0984C0DDFC91}"/>
            </c:ext>
          </c:extLst>
        </c:ser>
        <c:ser>
          <c:idx val="3"/>
          <c:order val="3"/>
          <c:tx>
            <c:strRef>
              <c:f>č.ř.!$A$47</c:f>
              <c:strCache>
                <c:ptCount val="1"/>
                <c:pt idx="0">
                  <c:v>HKK-Zeměděl.</c:v>
                </c:pt>
              </c:strCache>
            </c:strRef>
          </c:tx>
          <c:spPr>
            <a:ln w="28575" cap="rnd">
              <a:solidFill>
                <a:srgbClr val="00B050"/>
              </a:solidFill>
              <a:prstDash val="dash"/>
              <a:round/>
            </a:ln>
            <a:effectLst/>
          </c:spPr>
          <c:marker>
            <c:symbol val="none"/>
          </c:marker>
          <c:cat>
            <c:numRef>
              <c:f>č.ř.!$B$43:$F$43</c:f>
              <c:numCache>
                <c:formatCode>#,##0_ ;\-#,##0\ </c:formatCode>
                <c:ptCount val="5"/>
                <c:pt idx="0">
                  <c:v>2011</c:v>
                </c:pt>
                <c:pt idx="1">
                  <c:v>2012</c:v>
                </c:pt>
                <c:pt idx="2">
                  <c:v>2013</c:v>
                </c:pt>
                <c:pt idx="3">
                  <c:v>2014</c:v>
                </c:pt>
                <c:pt idx="4">
                  <c:v>2015</c:v>
                </c:pt>
              </c:numCache>
            </c:numRef>
          </c:cat>
          <c:val>
            <c:numRef>
              <c:f>č.ř.!$B$47:$F$47</c:f>
              <c:numCache>
                <c:formatCode>#,##0_ ;\-#,##0\ </c:formatCode>
                <c:ptCount val="5"/>
                <c:pt idx="0">
                  <c:v>19459</c:v>
                </c:pt>
                <c:pt idx="1">
                  <c:v>20708</c:v>
                </c:pt>
                <c:pt idx="2">
                  <c:v>21452</c:v>
                </c:pt>
                <c:pt idx="3">
                  <c:v>22141</c:v>
                </c:pt>
                <c:pt idx="4">
                  <c:v>23018</c:v>
                </c:pt>
              </c:numCache>
            </c:numRef>
          </c:val>
          <c:smooth val="0"/>
          <c:extLst>
            <c:ext xmlns:c16="http://schemas.microsoft.com/office/drawing/2014/chart" uri="{C3380CC4-5D6E-409C-BE32-E72D297353CC}">
              <c16:uniqueId val="{00000003-7122-470E-AAAD-0984C0DDFC91}"/>
            </c:ext>
          </c:extLst>
        </c:ser>
        <c:ser>
          <c:idx val="4"/>
          <c:order val="4"/>
          <c:tx>
            <c:strRef>
              <c:f>č.ř.!$A$48</c:f>
              <c:strCache>
                <c:ptCount val="1"/>
                <c:pt idx="0">
                  <c:v>HKK-Průmysl</c:v>
                </c:pt>
              </c:strCache>
            </c:strRef>
          </c:tx>
          <c:spPr>
            <a:ln w="28575" cap="rnd">
              <a:solidFill>
                <a:srgbClr val="FF0000"/>
              </a:solidFill>
              <a:prstDash val="dash"/>
              <a:round/>
            </a:ln>
            <a:effectLst/>
          </c:spPr>
          <c:marker>
            <c:symbol val="none"/>
          </c:marker>
          <c:cat>
            <c:numRef>
              <c:f>č.ř.!$B$43:$F$43</c:f>
              <c:numCache>
                <c:formatCode>#,##0_ ;\-#,##0\ </c:formatCode>
                <c:ptCount val="5"/>
                <c:pt idx="0">
                  <c:v>2011</c:v>
                </c:pt>
                <c:pt idx="1">
                  <c:v>2012</c:v>
                </c:pt>
                <c:pt idx="2">
                  <c:v>2013</c:v>
                </c:pt>
                <c:pt idx="3">
                  <c:v>2014</c:v>
                </c:pt>
                <c:pt idx="4">
                  <c:v>2015</c:v>
                </c:pt>
              </c:numCache>
            </c:numRef>
          </c:cat>
          <c:val>
            <c:numRef>
              <c:f>č.ř.!$B$48:$F$48</c:f>
              <c:numCache>
                <c:formatCode>#,##0_ ;\-#,##0\ </c:formatCode>
                <c:ptCount val="5"/>
                <c:pt idx="0">
                  <c:v>22697</c:v>
                </c:pt>
                <c:pt idx="1">
                  <c:v>23667</c:v>
                </c:pt>
                <c:pt idx="2">
                  <c:v>23768</c:v>
                </c:pt>
                <c:pt idx="3">
                  <c:v>24399</c:v>
                </c:pt>
                <c:pt idx="4">
                  <c:v>24896</c:v>
                </c:pt>
              </c:numCache>
            </c:numRef>
          </c:val>
          <c:smooth val="0"/>
          <c:extLst>
            <c:ext xmlns:c16="http://schemas.microsoft.com/office/drawing/2014/chart" uri="{C3380CC4-5D6E-409C-BE32-E72D297353CC}">
              <c16:uniqueId val="{00000004-7122-470E-AAAD-0984C0DDFC91}"/>
            </c:ext>
          </c:extLst>
        </c:ser>
        <c:ser>
          <c:idx val="5"/>
          <c:order val="5"/>
          <c:tx>
            <c:strRef>
              <c:f>č.ř.!$A$49</c:f>
              <c:strCache>
                <c:ptCount val="1"/>
                <c:pt idx="0">
                  <c:v>HKK-NH</c:v>
                </c:pt>
              </c:strCache>
            </c:strRef>
          </c:tx>
          <c:spPr>
            <a:ln w="28575" cap="rnd">
              <a:solidFill>
                <a:srgbClr val="0070C0"/>
              </a:solidFill>
              <a:prstDash val="dash"/>
              <a:round/>
            </a:ln>
            <a:effectLst/>
          </c:spPr>
          <c:marker>
            <c:symbol val="none"/>
          </c:marker>
          <c:cat>
            <c:numRef>
              <c:f>č.ř.!$B$43:$F$43</c:f>
              <c:numCache>
                <c:formatCode>#,##0_ ;\-#,##0\ </c:formatCode>
                <c:ptCount val="5"/>
                <c:pt idx="0">
                  <c:v>2011</c:v>
                </c:pt>
                <c:pt idx="1">
                  <c:v>2012</c:v>
                </c:pt>
                <c:pt idx="2">
                  <c:v>2013</c:v>
                </c:pt>
                <c:pt idx="3">
                  <c:v>2014</c:v>
                </c:pt>
                <c:pt idx="4">
                  <c:v>2015</c:v>
                </c:pt>
              </c:numCache>
            </c:numRef>
          </c:cat>
          <c:val>
            <c:numRef>
              <c:f>č.ř.!$B$49:$F$49</c:f>
              <c:numCache>
                <c:formatCode>#,##0_ ;\-#,##0\ </c:formatCode>
                <c:ptCount val="5"/>
                <c:pt idx="0">
                  <c:v>21167</c:v>
                </c:pt>
                <c:pt idx="1">
                  <c:v>21968</c:v>
                </c:pt>
                <c:pt idx="2">
                  <c:v>21830</c:v>
                </c:pt>
                <c:pt idx="3">
                  <c:v>22520</c:v>
                </c:pt>
                <c:pt idx="4">
                  <c:v>23305</c:v>
                </c:pt>
              </c:numCache>
            </c:numRef>
          </c:val>
          <c:smooth val="0"/>
          <c:extLst>
            <c:ext xmlns:c16="http://schemas.microsoft.com/office/drawing/2014/chart" uri="{C3380CC4-5D6E-409C-BE32-E72D297353CC}">
              <c16:uniqueId val="{00000005-7122-470E-AAAD-0984C0DDFC91}"/>
            </c:ext>
          </c:extLst>
        </c:ser>
        <c:ser>
          <c:idx val="6"/>
          <c:order val="6"/>
          <c:tx>
            <c:strRef>
              <c:f>č.ř.!$A$50</c:f>
              <c:strCache>
                <c:ptCount val="1"/>
                <c:pt idx="0">
                  <c:v>PAK-Zeměděl.</c:v>
                </c:pt>
              </c:strCache>
            </c:strRef>
          </c:tx>
          <c:spPr>
            <a:ln w="28575" cap="rnd">
              <a:solidFill>
                <a:srgbClr val="00B050"/>
              </a:solidFill>
              <a:prstDash val="sysDash"/>
              <a:round/>
            </a:ln>
            <a:effectLst/>
          </c:spPr>
          <c:marker>
            <c:symbol val="none"/>
          </c:marker>
          <c:cat>
            <c:numRef>
              <c:f>č.ř.!$B$43:$F$43</c:f>
              <c:numCache>
                <c:formatCode>#,##0_ ;\-#,##0\ </c:formatCode>
                <c:ptCount val="5"/>
                <c:pt idx="0">
                  <c:v>2011</c:v>
                </c:pt>
                <c:pt idx="1">
                  <c:v>2012</c:v>
                </c:pt>
                <c:pt idx="2">
                  <c:v>2013</c:v>
                </c:pt>
                <c:pt idx="3">
                  <c:v>2014</c:v>
                </c:pt>
                <c:pt idx="4">
                  <c:v>2015</c:v>
                </c:pt>
              </c:numCache>
            </c:numRef>
          </c:cat>
          <c:val>
            <c:numRef>
              <c:f>č.ř.!$B$50:$F$50</c:f>
              <c:numCache>
                <c:formatCode>#,##0_ ;\-#,##0\ </c:formatCode>
                <c:ptCount val="5"/>
                <c:pt idx="0">
                  <c:v>18351</c:v>
                </c:pt>
                <c:pt idx="1">
                  <c:v>19287</c:v>
                </c:pt>
                <c:pt idx="2">
                  <c:v>20343</c:v>
                </c:pt>
                <c:pt idx="3">
                  <c:v>21414</c:v>
                </c:pt>
                <c:pt idx="4">
                  <c:v>21550</c:v>
                </c:pt>
              </c:numCache>
            </c:numRef>
          </c:val>
          <c:smooth val="0"/>
          <c:extLst>
            <c:ext xmlns:c16="http://schemas.microsoft.com/office/drawing/2014/chart" uri="{C3380CC4-5D6E-409C-BE32-E72D297353CC}">
              <c16:uniqueId val="{00000006-7122-470E-AAAD-0984C0DDFC91}"/>
            </c:ext>
          </c:extLst>
        </c:ser>
        <c:ser>
          <c:idx val="7"/>
          <c:order val="7"/>
          <c:tx>
            <c:strRef>
              <c:f>č.ř.!$A$51</c:f>
              <c:strCache>
                <c:ptCount val="1"/>
                <c:pt idx="0">
                  <c:v>PAK-Průmysl</c:v>
                </c:pt>
              </c:strCache>
            </c:strRef>
          </c:tx>
          <c:spPr>
            <a:ln w="28575" cap="rnd">
              <a:solidFill>
                <a:srgbClr val="FF0000"/>
              </a:solidFill>
              <a:prstDash val="sysDash"/>
              <a:round/>
            </a:ln>
            <a:effectLst/>
          </c:spPr>
          <c:marker>
            <c:symbol val="none"/>
          </c:marker>
          <c:cat>
            <c:numRef>
              <c:f>č.ř.!$B$43:$F$43</c:f>
              <c:numCache>
                <c:formatCode>#,##0_ ;\-#,##0\ </c:formatCode>
                <c:ptCount val="5"/>
                <c:pt idx="0">
                  <c:v>2011</c:v>
                </c:pt>
                <c:pt idx="1">
                  <c:v>2012</c:v>
                </c:pt>
                <c:pt idx="2">
                  <c:v>2013</c:v>
                </c:pt>
                <c:pt idx="3">
                  <c:v>2014</c:v>
                </c:pt>
                <c:pt idx="4">
                  <c:v>2015</c:v>
                </c:pt>
              </c:numCache>
            </c:numRef>
          </c:cat>
          <c:val>
            <c:numRef>
              <c:f>č.ř.!$B$51:$F$51</c:f>
              <c:numCache>
                <c:formatCode>#,##0_ ;\-#,##0\ </c:formatCode>
                <c:ptCount val="5"/>
                <c:pt idx="0">
                  <c:v>21975</c:v>
                </c:pt>
                <c:pt idx="1">
                  <c:v>22495</c:v>
                </c:pt>
                <c:pt idx="2">
                  <c:v>23060</c:v>
                </c:pt>
                <c:pt idx="3">
                  <c:v>24013</c:v>
                </c:pt>
                <c:pt idx="4">
                  <c:v>24606</c:v>
                </c:pt>
              </c:numCache>
            </c:numRef>
          </c:val>
          <c:smooth val="0"/>
          <c:extLst>
            <c:ext xmlns:c16="http://schemas.microsoft.com/office/drawing/2014/chart" uri="{C3380CC4-5D6E-409C-BE32-E72D297353CC}">
              <c16:uniqueId val="{00000007-7122-470E-AAAD-0984C0DDFC91}"/>
            </c:ext>
          </c:extLst>
        </c:ser>
        <c:ser>
          <c:idx val="8"/>
          <c:order val="8"/>
          <c:tx>
            <c:strRef>
              <c:f>č.ř.!$A$52</c:f>
              <c:strCache>
                <c:ptCount val="1"/>
                <c:pt idx="0">
                  <c:v>PAK-NH.</c:v>
                </c:pt>
              </c:strCache>
            </c:strRef>
          </c:tx>
          <c:spPr>
            <a:ln w="28575" cap="rnd">
              <a:solidFill>
                <a:srgbClr val="0070C0"/>
              </a:solidFill>
              <a:prstDash val="sysDash"/>
              <a:round/>
            </a:ln>
            <a:effectLst/>
          </c:spPr>
          <c:marker>
            <c:symbol val="none"/>
          </c:marker>
          <c:cat>
            <c:numRef>
              <c:f>č.ř.!$B$43:$F$43</c:f>
              <c:numCache>
                <c:formatCode>#,##0_ ;\-#,##0\ </c:formatCode>
                <c:ptCount val="5"/>
                <c:pt idx="0">
                  <c:v>2011</c:v>
                </c:pt>
                <c:pt idx="1">
                  <c:v>2012</c:v>
                </c:pt>
                <c:pt idx="2">
                  <c:v>2013</c:v>
                </c:pt>
                <c:pt idx="3">
                  <c:v>2014</c:v>
                </c:pt>
                <c:pt idx="4">
                  <c:v>2015</c:v>
                </c:pt>
              </c:numCache>
            </c:numRef>
          </c:cat>
          <c:val>
            <c:numRef>
              <c:f>č.ř.!$B$52:$F$52</c:f>
              <c:numCache>
                <c:formatCode>#,##0_ ;\-#,##0\ </c:formatCode>
                <c:ptCount val="5"/>
                <c:pt idx="0">
                  <c:v>20740</c:v>
                </c:pt>
                <c:pt idx="1">
                  <c:v>21377</c:v>
                </c:pt>
                <c:pt idx="2">
                  <c:v>21547</c:v>
                </c:pt>
                <c:pt idx="3">
                  <c:v>22318</c:v>
                </c:pt>
                <c:pt idx="4">
                  <c:v>23054</c:v>
                </c:pt>
              </c:numCache>
            </c:numRef>
          </c:val>
          <c:smooth val="0"/>
          <c:extLst>
            <c:ext xmlns:c16="http://schemas.microsoft.com/office/drawing/2014/chart" uri="{C3380CC4-5D6E-409C-BE32-E72D297353CC}">
              <c16:uniqueId val="{00000008-7122-470E-AAAD-0984C0DDFC91}"/>
            </c:ext>
          </c:extLst>
        </c:ser>
        <c:dLbls>
          <c:showLegendKey val="0"/>
          <c:showVal val="0"/>
          <c:showCatName val="0"/>
          <c:showSerName val="0"/>
          <c:showPercent val="0"/>
          <c:showBubbleSize val="0"/>
        </c:dLbls>
        <c:smooth val="0"/>
        <c:axId val="84264448"/>
        <c:axId val="84265984"/>
      </c:lineChart>
      <c:catAx>
        <c:axId val="84264448"/>
        <c:scaling>
          <c:orientation val="minMax"/>
        </c:scaling>
        <c:delete val="0"/>
        <c:axPos val="b"/>
        <c:numFmt formatCode="#,##0_ ;\-#,##0\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265984"/>
        <c:crosses val="autoZero"/>
        <c:auto val="1"/>
        <c:lblAlgn val="ctr"/>
        <c:lblOffset val="100"/>
        <c:noMultiLvlLbl val="0"/>
      </c:catAx>
      <c:valAx>
        <c:axId val="84265984"/>
        <c:scaling>
          <c:orientation val="minMax"/>
          <c:min val="17000"/>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26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č.ř.!$A$55</c:f>
              <c:strCache>
                <c:ptCount val="1"/>
                <c:pt idx="0">
                  <c:v>VYS-Zeměděl.</c:v>
                </c:pt>
              </c:strCache>
            </c:strRef>
          </c:tx>
          <c:spPr>
            <a:ln w="28575" cap="rnd">
              <a:solidFill>
                <a:srgbClr val="00B050"/>
              </a:solidFill>
              <a:round/>
            </a:ln>
            <a:effectLst/>
          </c:spPr>
          <c:marker>
            <c:symbol val="none"/>
          </c:marker>
          <c:cat>
            <c:numRef>
              <c:f>č.ř.!$B$54:$F$54</c:f>
              <c:numCache>
                <c:formatCode>#,##0_ ;\-#,##0\ </c:formatCode>
                <c:ptCount val="5"/>
                <c:pt idx="0">
                  <c:v>2011</c:v>
                </c:pt>
                <c:pt idx="1">
                  <c:v>2012</c:v>
                </c:pt>
                <c:pt idx="2">
                  <c:v>2013</c:v>
                </c:pt>
                <c:pt idx="3">
                  <c:v>2014</c:v>
                </c:pt>
                <c:pt idx="4">
                  <c:v>2015</c:v>
                </c:pt>
              </c:numCache>
            </c:numRef>
          </c:cat>
          <c:val>
            <c:numRef>
              <c:f>č.ř.!$B$55:$F$55</c:f>
              <c:numCache>
                <c:formatCode>#,##0_ ;\-#,##0\ </c:formatCode>
                <c:ptCount val="5"/>
                <c:pt idx="0">
                  <c:v>18114</c:v>
                </c:pt>
                <c:pt idx="1">
                  <c:v>19076</c:v>
                </c:pt>
                <c:pt idx="2">
                  <c:v>20303</c:v>
                </c:pt>
                <c:pt idx="3">
                  <c:v>21638</c:v>
                </c:pt>
                <c:pt idx="4">
                  <c:v>21750</c:v>
                </c:pt>
              </c:numCache>
            </c:numRef>
          </c:val>
          <c:smooth val="0"/>
          <c:extLst>
            <c:ext xmlns:c16="http://schemas.microsoft.com/office/drawing/2014/chart" uri="{C3380CC4-5D6E-409C-BE32-E72D297353CC}">
              <c16:uniqueId val="{00000000-3F86-4B7E-A3EE-62D27D940222}"/>
            </c:ext>
          </c:extLst>
        </c:ser>
        <c:ser>
          <c:idx val="1"/>
          <c:order val="1"/>
          <c:tx>
            <c:strRef>
              <c:f>č.ř.!$A$56</c:f>
              <c:strCache>
                <c:ptCount val="1"/>
                <c:pt idx="0">
                  <c:v>VYS-Průmysl</c:v>
                </c:pt>
              </c:strCache>
            </c:strRef>
          </c:tx>
          <c:spPr>
            <a:ln w="28575" cap="rnd">
              <a:solidFill>
                <a:srgbClr val="FF0000"/>
              </a:solidFill>
              <a:round/>
            </a:ln>
            <a:effectLst/>
          </c:spPr>
          <c:marker>
            <c:symbol val="none"/>
          </c:marker>
          <c:cat>
            <c:numRef>
              <c:f>č.ř.!$B$54:$F$54</c:f>
              <c:numCache>
                <c:formatCode>#,##0_ ;\-#,##0\ </c:formatCode>
                <c:ptCount val="5"/>
                <c:pt idx="0">
                  <c:v>2011</c:v>
                </c:pt>
                <c:pt idx="1">
                  <c:v>2012</c:v>
                </c:pt>
                <c:pt idx="2">
                  <c:v>2013</c:v>
                </c:pt>
                <c:pt idx="3">
                  <c:v>2014</c:v>
                </c:pt>
                <c:pt idx="4">
                  <c:v>2015</c:v>
                </c:pt>
              </c:numCache>
            </c:numRef>
          </c:cat>
          <c:val>
            <c:numRef>
              <c:f>č.ř.!$B$56:$F$56</c:f>
              <c:numCache>
                <c:formatCode>#,##0_ ;\-#,##0\ </c:formatCode>
                <c:ptCount val="5"/>
                <c:pt idx="0">
                  <c:v>22638</c:v>
                </c:pt>
                <c:pt idx="1">
                  <c:v>23115</c:v>
                </c:pt>
                <c:pt idx="2">
                  <c:v>23483</c:v>
                </c:pt>
                <c:pt idx="3">
                  <c:v>24584</c:v>
                </c:pt>
                <c:pt idx="4">
                  <c:v>25349</c:v>
                </c:pt>
              </c:numCache>
            </c:numRef>
          </c:val>
          <c:smooth val="0"/>
          <c:extLst>
            <c:ext xmlns:c16="http://schemas.microsoft.com/office/drawing/2014/chart" uri="{C3380CC4-5D6E-409C-BE32-E72D297353CC}">
              <c16:uniqueId val="{00000001-3F86-4B7E-A3EE-62D27D940222}"/>
            </c:ext>
          </c:extLst>
        </c:ser>
        <c:ser>
          <c:idx val="2"/>
          <c:order val="2"/>
          <c:tx>
            <c:strRef>
              <c:f>č.ř.!$A$57</c:f>
              <c:strCache>
                <c:ptCount val="1"/>
                <c:pt idx="0">
                  <c:v>VYS-NH</c:v>
                </c:pt>
              </c:strCache>
            </c:strRef>
          </c:tx>
          <c:spPr>
            <a:ln w="28575" cap="rnd">
              <a:solidFill>
                <a:srgbClr val="0070C0"/>
              </a:solidFill>
              <a:round/>
            </a:ln>
            <a:effectLst/>
          </c:spPr>
          <c:marker>
            <c:symbol val="none"/>
          </c:marker>
          <c:cat>
            <c:numRef>
              <c:f>č.ř.!$B$54:$F$54</c:f>
              <c:numCache>
                <c:formatCode>#,##0_ ;\-#,##0\ </c:formatCode>
                <c:ptCount val="5"/>
                <c:pt idx="0">
                  <c:v>2011</c:v>
                </c:pt>
                <c:pt idx="1">
                  <c:v>2012</c:v>
                </c:pt>
                <c:pt idx="2">
                  <c:v>2013</c:v>
                </c:pt>
                <c:pt idx="3">
                  <c:v>2014</c:v>
                </c:pt>
                <c:pt idx="4">
                  <c:v>2015</c:v>
                </c:pt>
              </c:numCache>
            </c:numRef>
          </c:cat>
          <c:val>
            <c:numRef>
              <c:f>č.ř.!$B$57:$F$57</c:f>
              <c:numCache>
                <c:formatCode>#,##0_ ;\-#,##0\ </c:formatCode>
                <c:ptCount val="5"/>
                <c:pt idx="0">
                  <c:v>21186</c:v>
                </c:pt>
                <c:pt idx="1">
                  <c:v>21627</c:v>
                </c:pt>
                <c:pt idx="2">
                  <c:v>21756</c:v>
                </c:pt>
                <c:pt idx="3">
                  <c:v>22631</c:v>
                </c:pt>
                <c:pt idx="4">
                  <c:v>23368</c:v>
                </c:pt>
              </c:numCache>
            </c:numRef>
          </c:val>
          <c:smooth val="0"/>
          <c:extLst>
            <c:ext xmlns:c16="http://schemas.microsoft.com/office/drawing/2014/chart" uri="{C3380CC4-5D6E-409C-BE32-E72D297353CC}">
              <c16:uniqueId val="{00000002-3F86-4B7E-A3EE-62D27D940222}"/>
            </c:ext>
          </c:extLst>
        </c:ser>
        <c:ser>
          <c:idx val="3"/>
          <c:order val="3"/>
          <c:tx>
            <c:strRef>
              <c:f>č.ř.!$A$58</c:f>
              <c:strCache>
                <c:ptCount val="1"/>
                <c:pt idx="0">
                  <c:v>JHM-Zeměděl.</c:v>
                </c:pt>
              </c:strCache>
            </c:strRef>
          </c:tx>
          <c:spPr>
            <a:ln w="28575" cap="rnd">
              <a:solidFill>
                <a:srgbClr val="00B050"/>
              </a:solidFill>
              <a:prstDash val="dash"/>
              <a:round/>
            </a:ln>
            <a:effectLst/>
          </c:spPr>
          <c:marker>
            <c:symbol val="none"/>
          </c:marker>
          <c:cat>
            <c:numRef>
              <c:f>č.ř.!$B$54:$F$54</c:f>
              <c:numCache>
                <c:formatCode>#,##0_ ;\-#,##0\ </c:formatCode>
                <c:ptCount val="5"/>
                <c:pt idx="0">
                  <c:v>2011</c:v>
                </c:pt>
                <c:pt idx="1">
                  <c:v>2012</c:v>
                </c:pt>
                <c:pt idx="2">
                  <c:v>2013</c:v>
                </c:pt>
                <c:pt idx="3">
                  <c:v>2014</c:v>
                </c:pt>
                <c:pt idx="4">
                  <c:v>2015</c:v>
                </c:pt>
              </c:numCache>
            </c:numRef>
          </c:cat>
          <c:val>
            <c:numRef>
              <c:f>č.ř.!$B$58:$F$58</c:f>
              <c:numCache>
                <c:formatCode>#,##0_ ;\-#,##0\ </c:formatCode>
                <c:ptCount val="5"/>
                <c:pt idx="0">
                  <c:v>17442</c:v>
                </c:pt>
                <c:pt idx="1">
                  <c:v>18419</c:v>
                </c:pt>
                <c:pt idx="2">
                  <c:v>19358</c:v>
                </c:pt>
                <c:pt idx="3">
                  <c:v>20473</c:v>
                </c:pt>
                <c:pt idx="4">
                  <c:v>20471</c:v>
                </c:pt>
              </c:numCache>
            </c:numRef>
          </c:val>
          <c:smooth val="0"/>
          <c:extLst>
            <c:ext xmlns:c16="http://schemas.microsoft.com/office/drawing/2014/chart" uri="{C3380CC4-5D6E-409C-BE32-E72D297353CC}">
              <c16:uniqueId val="{00000003-3F86-4B7E-A3EE-62D27D940222}"/>
            </c:ext>
          </c:extLst>
        </c:ser>
        <c:ser>
          <c:idx val="4"/>
          <c:order val="4"/>
          <c:tx>
            <c:strRef>
              <c:f>č.ř.!$A$59</c:f>
              <c:strCache>
                <c:ptCount val="1"/>
                <c:pt idx="0">
                  <c:v>JHM-Průmysl</c:v>
                </c:pt>
              </c:strCache>
            </c:strRef>
          </c:tx>
          <c:spPr>
            <a:ln w="28575" cap="rnd">
              <a:solidFill>
                <a:srgbClr val="FF0000"/>
              </a:solidFill>
              <a:prstDash val="dash"/>
              <a:round/>
            </a:ln>
            <a:effectLst/>
          </c:spPr>
          <c:marker>
            <c:symbol val="none"/>
          </c:marker>
          <c:cat>
            <c:numRef>
              <c:f>č.ř.!$B$54:$F$54</c:f>
              <c:numCache>
                <c:formatCode>#,##0_ ;\-#,##0\ </c:formatCode>
                <c:ptCount val="5"/>
                <c:pt idx="0">
                  <c:v>2011</c:v>
                </c:pt>
                <c:pt idx="1">
                  <c:v>2012</c:v>
                </c:pt>
                <c:pt idx="2">
                  <c:v>2013</c:v>
                </c:pt>
                <c:pt idx="3">
                  <c:v>2014</c:v>
                </c:pt>
                <c:pt idx="4">
                  <c:v>2015</c:v>
                </c:pt>
              </c:numCache>
            </c:numRef>
          </c:cat>
          <c:val>
            <c:numRef>
              <c:f>č.ř.!$B$59:$F$59</c:f>
              <c:numCache>
                <c:formatCode>#,##0_ ;\-#,##0\ </c:formatCode>
                <c:ptCount val="5"/>
                <c:pt idx="0">
                  <c:v>22951</c:v>
                </c:pt>
                <c:pt idx="1">
                  <c:v>24055</c:v>
                </c:pt>
                <c:pt idx="2">
                  <c:v>24377</c:v>
                </c:pt>
                <c:pt idx="3">
                  <c:v>24873</c:v>
                </c:pt>
                <c:pt idx="4">
                  <c:v>25618</c:v>
                </c:pt>
              </c:numCache>
            </c:numRef>
          </c:val>
          <c:smooth val="0"/>
          <c:extLst>
            <c:ext xmlns:c16="http://schemas.microsoft.com/office/drawing/2014/chart" uri="{C3380CC4-5D6E-409C-BE32-E72D297353CC}">
              <c16:uniqueId val="{00000004-3F86-4B7E-A3EE-62D27D940222}"/>
            </c:ext>
          </c:extLst>
        </c:ser>
        <c:ser>
          <c:idx val="5"/>
          <c:order val="5"/>
          <c:tx>
            <c:strRef>
              <c:f>č.ř.!$A$60</c:f>
              <c:strCache>
                <c:ptCount val="1"/>
                <c:pt idx="0">
                  <c:v>JHM-NH</c:v>
                </c:pt>
              </c:strCache>
            </c:strRef>
          </c:tx>
          <c:spPr>
            <a:ln w="28575" cap="rnd">
              <a:solidFill>
                <a:srgbClr val="0070C0"/>
              </a:solidFill>
              <a:prstDash val="dash"/>
              <a:round/>
            </a:ln>
            <a:effectLst/>
          </c:spPr>
          <c:marker>
            <c:symbol val="none"/>
          </c:marker>
          <c:cat>
            <c:numRef>
              <c:f>č.ř.!$B$54:$F$54</c:f>
              <c:numCache>
                <c:formatCode>#,##0_ ;\-#,##0\ </c:formatCode>
                <c:ptCount val="5"/>
                <c:pt idx="0">
                  <c:v>2011</c:v>
                </c:pt>
                <c:pt idx="1">
                  <c:v>2012</c:v>
                </c:pt>
                <c:pt idx="2">
                  <c:v>2013</c:v>
                </c:pt>
                <c:pt idx="3">
                  <c:v>2014</c:v>
                </c:pt>
                <c:pt idx="4">
                  <c:v>2015</c:v>
                </c:pt>
              </c:numCache>
            </c:numRef>
          </c:cat>
          <c:val>
            <c:numRef>
              <c:f>č.ř.!$B$60:$F$60</c:f>
              <c:numCache>
                <c:formatCode>#,##0_ ;\-#,##0\ </c:formatCode>
                <c:ptCount val="5"/>
                <c:pt idx="0">
                  <c:v>22506</c:v>
                </c:pt>
                <c:pt idx="1">
                  <c:v>23253</c:v>
                </c:pt>
                <c:pt idx="2">
                  <c:v>23482</c:v>
                </c:pt>
                <c:pt idx="3">
                  <c:v>23932</c:v>
                </c:pt>
                <c:pt idx="4">
                  <c:v>24924</c:v>
                </c:pt>
              </c:numCache>
            </c:numRef>
          </c:val>
          <c:smooth val="0"/>
          <c:extLst>
            <c:ext xmlns:c16="http://schemas.microsoft.com/office/drawing/2014/chart" uri="{C3380CC4-5D6E-409C-BE32-E72D297353CC}">
              <c16:uniqueId val="{00000005-3F86-4B7E-A3EE-62D27D940222}"/>
            </c:ext>
          </c:extLst>
        </c:ser>
        <c:dLbls>
          <c:showLegendKey val="0"/>
          <c:showVal val="0"/>
          <c:showCatName val="0"/>
          <c:showSerName val="0"/>
          <c:showPercent val="0"/>
          <c:showBubbleSize val="0"/>
        </c:dLbls>
        <c:smooth val="0"/>
        <c:axId val="84313600"/>
        <c:axId val="84315136"/>
      </c:lineChart>
      <c:catAx>
        <c:axId val="84313600"/>
        <c:scaling>
          <c:orientation val="minMax"/>
        </c:scaling>
        <c:delete val="0"/>
        <c:axPos val="b"/>
        <c:numFmt formatCode="#,##0_ ;\-#,##0\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315136"/>
        <c:crosses val="autoZero"/>
        <c:auto val="1"/>
        <c:lblAlgn val="ctr"/>
        <c:lblOffset val="100"/>
        <c:noMultiLvlLbl val="0"/>
      </c:catAx>
      <c:valAx>
        <c:axId val="84315136"/>
        <c:scaling>
          <c:orientation val="minMax"/>
          <c:min val="17000"/>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31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88670166229222"/>
          <c:y val="6.5231481481481488E-2"/>
          <c:w val="0.85355774278215224"/>
          <c:h val="0.6184554534849811"/>
        </c:manualLayout>
      </c:layout>
      <c:lineChart>
        <c:grouping val="standard"/>
        <c:varyColors val="0"/>
        <c:ser>
          <c:idx val="0"/>
          <c:order val="0"/>
          <c:tx>
            <c:strRef>
              <c:f>č.ř.!$A$63</c:f>
              <c:strCache>
                <c:ptCount val="1"/>
                <c:pt idx="0">
                  <c:v>OLK-Zeměděl.</c:v>
                </c:pt>
              </c:strCache>
            </c:strRef>
          </c:tx>
          <c:spPr>
            <a:ln w="28575" cap="rnd">
              <a:solidFill>
                <a:srgbClr val="00B050"/>
              </a:solidFill>
              <a:round/>
            </a:ln>
            <a:effectLst/>
          </c:spPr>
          <c:marker>
            <c:symbol val="none"/>
          </c:marker>
          <c:cat>
            <c:numRef>
              <c:f>č.ř.!$B$62:$F$62</c:f>
              <c:numCache>
                <c:formatCode>#,##0_ ;\-#,##0\ </c:formatCode>
                <c:ptCount val="5"/>
                <c:pt idx="0">
                  <c:v>2011</c:v>
                </c:pt>
                <c:pt idx="1">
                  <c:v>2012</c:v>
                </c:pt>
                <c:pt idx="2">
                  <c:v>2013</c:v>
                </c:pt>
                <c:pt idx="3">
                  <c:v>2014</c:v>
                </c:pt>
                <c:pt idx="4">
                  <c:v>2015</c:v>
                </c:pt>
              </c:numCache>
            </c:numRef>
          </c:cat>
          <c:val>
            <c:numRef>
              <c:f>č.ř.!$B$63:$F$63</c:f>
              <c:numCache>
                <c:formatCode>#,##0_ ;\-#,##0\ </c:formatCode>
                <c:ptCount val="5"/>
                <c:pt idx="0">
                  <c:v>18519</c:v>
                </c:pt>
                <c:pt idx="1">
                  <c:v>18871</c:v>
                </c:pt>
                <c:pt idx="2">
                  <c:v>20171</c:v>
                </c:pt>
                <c:pt idx="3">
                  <c:v>21577</c:v>
                </c:pt>
                <c:pt idx="4">
                  <c:v>21314</c:v>
                </c:pt>
              </c:numCache>
            </c:numRef>
          </c:val>
          <c:smooth val="0"/>
          <c:extLst>
            <c:ext xmlns:c16="http://schemas.microsoft.com/office/drawing/2014/chart" uri="{C3380CC4-5D6E-409C-BE32-E72D297353CC}">
              <c16:uniqueId val="{00000000-309C-457A-A43F-0A47DDAC9CA3}"/>
            </c:ext>
          </c:extLst>
        </c:ser>
        <c:ser>
          <c:idx val="1"/>
          <c:order val="1"/>
          <c:tx>
            <c:strRef>
              <c:f>č.ř.!$A$64</c:f>
              <c:strCache>
                <c:ptCount val="1"/>
                <c:pt idx="0">
                  <c:v>OLK-Průmysl</c:v>
                </c:pt>
              </c:strCache>
            </c:strRef>
          </c:tx>
          <c:spPr>
            <a:ln w="28575" cap="rnd">
              <a:solidFill>
                <a:srgbClr val="FF0000"/>
              </a:solidFill>
              <a:round/>
            </a:ln>
            <a:effectLst/>
          </c:spPr>
          <c:marker>
            <c:symbol val="none"/>
          </c:marker>
          <c:cat>
            <c:numRef>
              <c:f>č.ř.!$B$62:$F$62</c:f>
              <c:numCache>
                <c:formatCode>#,##0_ ;\-#,##0\ </c:formatCode>
                <c:ptCount val="5"/>
                <c:pt idx="0">
                  <c:v>2011</c:v>
                </c:pt>
                <c:pt idx="1">
                  <c:v>2012</c:v>
                </c:pt>
                <c:pt idx="2">
                  <c:v>2013</c:v>
                </c:pt>
                <c:pt idx="3">
                  <c:v>2014</c:v>
                </c:pt>
                <c:pt idx="4">
                  <c:v>2015</c:v>
                </c:pt>
              </c:numCache>
            </c:numRef>
          </c:cat>
          <c:val>
            <c:numRef>
              <c:f>č.ř.!$B$64:$F$64</c:f>
              <c:numCache>
                <c:formatCode>#,##0_ ;\-#,##0\ </c:formatCode>
                <c:ptCount val="5"/>
                <c:pt idx="0">
                  <c:v>21872</c:v>
                </c:pt>
                <c:pt idx="1">
                  <c:v>22855</c:v>
                </c:pt>
                <c:pt idx="2">
                  <c:v>22782</c:v>
                </c:pt>
                <c:pt idx="3">
                  <c:v>23434</c:v>
                </c:pt>
                <c:pt idx="4">
                  <c:v>24300</c:v>
                </c:pt>
              </c:numCache>
            </c:numRef>
          </c:val>
          <c:smooth val="0"/>
          <c:extLst>
            <c:ext xmlns:c16="http://schemas.microsoft.com/office/drawing/2014/chart" uri="{C3380CC4-5D6E-409C-BE32-E72D297353CC}">
              <c16:uniqueId val="{00000001-309C-457A-A43F-0A47DDAC9CA3}"/>
            </c:ext>
          </c:extLst>
        </c:ser>
        <c:ser>
          <c:idx val="2"/>
          <c:order val="2"/>
          <c:tx>
            <c:strRef>
              <c:f>č.ř.!$A$65</c:f>
              <c:strCache>
                <c:ptCount val="1"/>
                <c:pt idx="0">
                  <c:v>OLK-NH</c:v>
                </c:pt>
              </c:strCache>
            </c:strRef>
          </c:tx>
          <c:spPr>
            <a:ln w="28575" cap="rnd">
              <a:solidFill>
                <a:srgbClr val="0070C0"/>
              </a:solidFill>
              <a:round/>
            </a:ln>
            <a:effectLst/>
          </c:spPr>
          <c:marker>
            <c:symbol val="none"/>
          </c:marker>
          <c:cat>
            <c:numRef>
              <c:f>č.ř.!$B$62:$F$62</c:f>
              <c:numCache>
                <c:formatCode>#,##0_ ;\-#,##0\ </c:formatCode>
                <c:ptCount val="5"/>
                <c:pt idx="0">
                  <c:v>2011</c:v>
                </c:pt>
                <c:pt idx="1">
                  <c:v>2012</c:v>
                </c:pt>
                <c:pt idx="2">
                  <c:v>2013</c:v>
                </c:pt>
                <c:pt idx="3">
                  <c:v>2014</c:v>
                </c:pt>
                <c:pt idx="4">
                  <c:v>2015</c:v>
                </c:pt>
              </c:numCache>
            </c:numRef>
          </c:cat>
          <c:val>
            <c:numRef>
              <c:f>č.ř.!$B$65:$F$65</c:f>
              <c:numCache>
                <c:formatCode>#,##0_ ;\-#,##0\ </c:formatCode>
                <c:ptCount val="5"/>
                <c:pt idx="0">
                  <c:v>20908</c:v>
                </c:pt>
                <c:pt idx="1">
                  <c:v>21666</c:v>
                </c:pt>
                <c:pt idx="2">
                  <c:v>21499</c:v>
                </c:pt>
                <c:pt idx="3">
                  <c:v>22216</c:v>
                </c:pt>
                <c:pt idx="4">
                  <c:v>22940</c:v>
                </c:pt>
              </c:numCache>
            </c:numRef>
          </c:val>
          <c:smooth val="0"/>
          <c:extLst>
            <c:ext xmlns:c16="http://schemas.microsoft.com/office/drawing/2014/chart" uri="{C3380CC4-5D6E-409C-BE32-E72D297353CC}">
              <c16:uniqueId val="{00000002-309C-457A-A43F-0A47DDAC9CA3}"/>
            </c:ext>
          </c:extLst>
        </c:ser>
        <c:ser>
          <c:idx val="3"/>
          <c:order val="3"/>
          <c:tx>
            <c:strRef>
              <c:f>č.ř.!$A$66</c:f>
              <c:strCache>
                <c:ptCount val="1"/>
                <c:pt idx="0">
                  <c:v>ZLK-Zeměděl.</c:v>
                </c:pt>
              </c:strCache>
            </c:strRef>
          </c:tx>
          <c:spPr>
            <a:ln w="28575" cap="rnd">
              <a:solidFill>
                <a:srgbClr val="00B050"/>
              </a:solidFill>
              <a:prstDash val="dash"/>
              <a:round/>
            </a:ln>
            <a:effectLst/>
          </c:spPr>
          <c:marker>
            <c:symbol val="none"/>
          </c:marker>
          <c:cat>
            <c:numRef>
              <c:f>č.ř.!$B$62:$F$62</c:f>
              <c:numCache>
                <c:formatCode>#,##0_ ;\-#,##0\ </c:formatCode>
                <c:ptCount val="5"/>
                <c:pt idx="0">
                  <c:v>2011</c:v>
                </c:pt>
                <c:pt idx="1">
                  <c:v>2012</c:v>
                </c:pt>
                <c:pt idx="2">
                  <c:v>2013</c:v>
                </c:pt>
                <c:pt idx="3">
                  <c:v>2014</c:v>
                </c:pt>
                <c:pt idx="4">
                  <c:v>2015</c:v>
                </c:pt>
              </c:numCache>
            </c:numRef>
          </c:cat>
          <c:val>
            <c:numRef>
              <c:f>č.ř.!$B$66:$F$66</c:f>
              <c:numCache>
                <c:formatCode>#,##0_ ;\-#,##0\ </c:formatCode>
                <c:ptCount val="5"/>
                <c:pt idx="0">
                  <c:v>18409</c:v>
                </c:pt>
                <c:pt idx="1">
                  <c:v>18883</c:v>
                </c:pt>
                <c:pt idx="2">
                  <c:v>19660</c:v>
                </c:pt>
                <c:pt idx="3">
                  <c:v>20815</c:v>
                </c:pt>
                <c:pt idx="4">
                  <c:v>21188</c:v>
                </c:pt>
              </c:numCache>
            </c:numRef>
          </c:val>
          <c:smooth val="0"/>
          <c:extLst>
            <c:ext xmlns:c16="http://schemas.microsoft.com/office/drawing/2014/chart" uri="{C3380CC4-5D6E-409C-BE32-E72D297353CC}">
              <c16:uniqueId val="{00000003-309C-457A-A43F-0A47DDAC9CA3}"/>
            </c:ext>
          </c:extLst>
        </c:ser>
        <c:ser>
          <c:idx val="4"/>
          <c:order val="4"/>
          <c:tx>
            <c:strRef>
              <c:f>č.ř.!$A$67</c:f>
              <c:strCache>
                <c:ptCount val="1"/>
                <c:pt idx="0">
                  <c:v>ZLK-Průmysl.</c:v>
                </c:pt>
              </c:strCache>
            </c:strRef>
          </c:tx>
          <c:spPr>
            <a:ln w="28575" cap="rnd">
              <a:solidFill>
                <a:srgbClr val="FF0000"/>
              </a:solidFill>
              <a:prstDash val="dash"/>
              <a:round/>
            </a:ln>
            <a:effectLst/>
          </c:spPr>
          <c:marker>
            <c:symbol val="none"/>
          </c:marker>
          <c:cat>
            <c:numRef>
              <c:f>č.ř.!$B$62:$F$62</c:f>
              <c:numCache>
                <c:formatCode>#,##0_ ;\-#,##0\ </c:formatCode>
                <c:ptCount val="5"/>
                <c:pt idx="0">
                  <c:v>2011</c:v>
                </c:pt>
                <c:pt idx="1">
                  <c:v>2012</c:v>
                </c:pt>
                <c:pt idx="2">
                  <c:v>2013</c:v>
                </c:pt>
                <c:pt idx="3">
                  <c:v>2014</c:v>
                </c:pt>
                <c:pt idx="4">
                  <c:v>2015</c:v>
                </c:pt>
              </c:numCache>
            </c:numRef>
          </c:cat>
          <c:val>
            <c:numRef>
              <c:f>č.ř.!$B$67:$F$67</c:f>
              <c:numCache>
                <c:formatCode>#,##0_ ;\-#,##0\ </c:formatCode>
                <c:ptCount val="5"/>
                <c:pt idx="0">
                  <c:v>22052</c:v>
                </c:pt>
                <c:pt idx="1">
                  <c:v>22837</c:v>
                </c:pt>
                <c:pt idx="2">
                  <c:v>22802</c:v>
                </c:pt>
                <c:pt idx="3">
                  <c:v>23726</c:v>
                </c:pt>
                <c:pt idx="4">
                  <c:v>24447</c:v>
                </c:pt>
              </c:numCache>
            </c:numRef>
          </c:val>
          <c:smooth val="0"/>
          <c:extLst>
            <c:ext xmlns:c16="http://schemas.microsoft.com/office/drawing/2014/chart" uri="{C3380CC4-5D6E-409C-BE32-E72D297353CC}">
              <c16:uniqueId val="{00000004-309C-457A-A43F-0A47DDAC9CA3}"/>
            </c:ext>
          </c:extLst>
        </c:ser>
        <c:ser>
          <c:idx val="5"/>
          <c:order val="5"/>
          <c:tx>
            <c:strRef>
              <c:f>č.ř.!$A$68</c:f>
              <c:strCache>
                <c:ptCount val="1"/>
                <c:pt idx="0">
                  <c:v>ZLK-NH</c:v>
                </c:pt>
              </c:strCache>
            </c:strRef>
          </c:tx>
          <c:spPr>
            <a:ln w="28575" cap="rnd">
              <a:solidFill>
                <a:srgbClr val="0070C0"/>
              </a:solidFill>
              <a:prstDash val="dash"/>
              <a:round/>
            </a:ln>
            <a:effectLst/>
          </c:spPr>
          <c:marker>
            <c:symbol val="none"/>
          </c:marker>
          <c:cat>
            <c:numRef>
              <c:f>č.ř.!$B$62:$F$62</c:f>
              <c:numCache>
                <c:formatCode>#,##0_ ;\-#,##0\ </c:formatCode>
                <c:ptCount val="5"/>
                <c:pt idx="0">
                  <c:v>2011</c:v>
                </c:pt>
                <c:pt idx="1">
                  <c:v>2012</c:v>
                </c:pt>
                <c:pt idx="2">
                  <c:v>2013</c:v>
                </c:pt>
                <c:pt idx="3">
                  <c:v>2014</c:v>
                </c:pt>
                <c:pt idx="4">
                  <c:v>2015</c:v>
                </c:pt>
              </c:numCache>
            </c:numRef>
          </c:cat>
          <c:val>
            <c:numRef>
              <c:f>č.ř.!$B$68:$F$68</c:f>
              <c:numCache>
                <c:formatCode>#,##0_ ;\-#,##0\ </c:formatCode>
                <c:ptCount val="5"/>
                <c:pt idx="0">
                  <c:v>20777</c:v>
                </c:pt>
                <c:pt idx="1">
                  <c:v>21338</c:v>
                </c:pt>
                <c:pt idx="2">
                  <c:v>21115</c:v>
                </c:pt>
                <c:pt idx="3">
                  <c:v>21973</c:v>
                </c:pt>
                <c:pt idx="4">
                  <c:v>22627</c:v>
                </c:pt>
              </c:numCache>
            </c:numRef>
          </c:val>
          <c:smooth val="0"/>
          <c:extLst>
            <c:ext xmlns:c16="http://schemas.microsoft.com/office/drawing/2014/chart" uri="{C3380CC4-5D6E-409C-BE32-E72D297353CC}">
              <c16:uniqueId val="{00000005-309C-457A-A43F-0A47DDAC9CA3}"/>
            </c:ext>
          </c:extLst>
        </c:ser>
        <c:ser>
          <c:idx val="6"/>
          <c:order val="6"/>
          <c:tx>
            <c:strRef>
              <c:f>č.ř.!$A$69</c:f>
              <c:strCache>
                <c:ptCount val="1"/>
                <c:pt idx="0">
                  <c:v>MSK-Zeměděl.</c:v>
                </c:pt>
              </c:strCache>
            </c:strRef>
          </c:tx>
          <c:spPr>
            <a:ln w="28575" cap="rnd">
              <a:solidFill>
                <a:srgbClr val="00B050"/>
              </a:solidFill>
              <a:prstDash val="sysDash"/>
              <a:round/>
            </a:ln>
            <a:effectLst/>
          </c:spPr>
          <c:marker>
            <c:symbol val="none"/>
          </c:marker>
          <c:cat>
            <c:numRef>
              <c:f>č.ř.!$B$62:$F$62</c:f>
              <c:numCache>
                <c:formatCode>#,##0_ ;\-#,##0\ </c:formatCode>
                <c:ptCount val="5"/>
                <c:pt idx="0">
                  <c:v>2011</c:v>
                </c:pt>
                <c:pt idx="1">
                  <c:v>2012</c:v>
                </c:pt>
                <c:pt idx="2">
                  <c:v>2013</c:v>
                </c:pt>
                <c:pt idx="3">
                  <c:v>2014</c:v>
                </c:pt>
                <c:pt idx="4">
                  <c:v>2015</c:v>
                </c:pt>
              </c:numCache>
            </c:numRef>
          </c:cat>
          <c:val>
            <c:numRef>
              <c:f>č.ř.!$B$69:$F$69</c:f>
              <c:numCache>
                <c:formatCode>#,##0_ ;\-#,##0\ </c:formatCode>
                <c:ptCount val="5"/>
                <c:pt idx="0">
                  <c:v>17533</c:v>
                </c:pt>
                <c:pt idx="1">
                  <c:v>18707</c:v>
                </c:pt>
                <c:pt idx="2">
                  <c:v>19493</c:v>
                </c:pt>
                <c:pt idx="3">
                  <c:v>20021</c:v>
                </c:pt>
                <c:pt idx="4">
                  <c:v>20402</c:v>
                </c:pt>
              </c:numCache>
            </c:numRef>
          </c:val>
          <c:smooth val="0"/>
          <c:extLst>
            <c:ext xmlns:c16="http://schemas.microsoft.com/office/drawing/2014/chart" uri="{C3380CC4-5D6E-409C-BE32-E72D297353CC}">
              <c16:uniqueId val="{00000006-309C-457A-A43F-0A47DDAC9CA3}"/>
            </c:ext>
          </c:extLst>
        </c:ser>
        <c:ser>
          <c:idx val="7"/>
          <c:order val="7"/>
          <c:tx>
            <c:strRef>
              <c:f>č.ř.!$A$70</c:f>
              <c:strCache>
                <c:ptCount val="1"/>
                <c:pt idx="0">
                  <c:v>MSK-Průmysl</c:v>
                </c:pt>
              </c:strCache>
            </c:strRef>
          </c:tx>
          <c:spPr>
            <a:ln w="28575" cap="rnd">
              <a:solidFill>
                <a:srgbClr val="FF0000"/>
              </a:solidFill>
              <a:prstDash val="sysDash"/>
              <a:round/>
            </a:ln>
            <a:effectLst/>
          </c:spPr>
          <c:marker>
            <c:symbol val="none"/>
          </c:marker>
          <c:cat>
            <c:numRef>
              <c:f>č.ř.!$B$62:$F$62</c:f>
              <c:numCache>
                <c:formatCode>#,##0_ ;\-#,##0\ </c:formatCode>
                <c:ptCount val="5"/>
                <c:pt idx="0">
                  <c:v>2011</c:v>
                </c:pt>
                <c:pt idx="1">
                  <c:v>2012</c:v>
                </c:pt>
                <c:pt idx="2">
                  <c:v>2013</c:v>
                </c:pt>
                <c:pt idx="3">
                  <c:v>2014</c:v>
                </c:pt>
                <c:pt idx="4">
                  <c:v>2015</c:v>
                </c:pt>
              </c:numCache>
            </c:numRef>
          </c:cat>
          <c:val>
            <c:numRef>
              <c:f>č.ř.!$B$70:$F$70</c:f>
              <c:numCache>
                <c:formatCode>#,##0_ ;\-#,##0\ </c:formatCode>
                <c:ptCount val="5"/>
                <c:pt idx="0">
                  <c:v>24772</c:v>
                </c:pt>
                <c:pt idx="1">
                  <c:v>25274</c:v>
                </c:pt>
                <c:pt idx="2">
                  <c:v>25571</c:v>
                </c:pt>
                <c:pt idx="3">
                  <c:v>26209</c:v>
                </c:pt>
                <c:pt idx="4">
                  <c:v>26864</c:v>
                </c:pt>
              </c:numCache>
            </c:numRef>
          </c:val>
          <c:smooth val="0"/>
          <c:extLst>
            <c:ext xmlns:c16="http://schemas.microsoft.com/office/drawing/2014/chart" uri="{C3380CC4-5D6E-409C-BE32-E72D297353CC}">
              <c16:uniqueId val="{00000007-309C-457A-A43F-0A47DDAC9CA3}"/>
            </c:ext>
          </c:extLst>
        </c:ser>
        <c:ser>
          <c:idx val="8"/>
          <c:order val="8"/>
          <c:tx>
            <c:strRef>
              <c:f>č.ř.!$A$71</c:f>
              <c:strCache>
                <c:ptCount val="1"/>
                <c:pt idx="0">
                  <c:v>MSK-NH</c:v>
                </c:pt>
              </c:strCache>
            </c:strRef>
          </c:tx>
          <c:spPr>
            <a:ln w="28575" cap="rnd">
              <a:solidFill>
                <a:srgbClr val="0070C0"/>
              </a:solidFill>
              <a:prstDash val="sysDash"/>
              <a:round/>
            </a:ln>
            <a:effectLst/>
          </c:spPr>
          <c:marker>
            <c:symbol val="none"/>
          </c:marker>
          <c:cat>
            <c:numRef>
              <c:f>č.ř.!$B$62:$F$62</c:f>
              <c:numCache>
                <c:formatCode>#,##0_ ;\-#,##0\ </c:formatCode>
                <c:ptCount val="5"/>
                <c:pt idx="0">
                  <c:v>2011</c:v>
                </c:pt>
                <c:pt idx="1">
                  <c:v>2012</c:v>
                </c:pt>
                <c:pt idx="2">
                  <c:v>2013</c:v>
                </c:pt>
                <c:pt idx="3">
                  <c:v>2014</c:v>
                </c:pt>
                <c:pt idx="4">
                  <c:v>2015</c:v>
                </c:pt>
              </c:numCache>
            </c:numRef>
          </c:cat>
          <c:val>
            <c:numRef>
              <c:f>č.ř.!$B$71:$F$71</c:f>
              <c:numCache>
                <c:formatCode>#,##0_ ;\-#,##0\ </c:formatCode>
                <c:ptCount val="5"/>
                <c:pt idx="0">
                  <c:v>22111</c:v>
                </c:pt>
                <c:pt idx="1">
                  <c:v>22364</c:v>
                </c:pt>
                <c:pt idx="2">
                  <c:v>22396</c:v>
                </c:pt>
                <c:pt idx="3">
                  <c:v>22997</c:v>
                </c:pt>
                <c:pt idx="4">
                  <c:v>23712</c:v>
                </c:pt>
              </c:numCache>
            </c:numRef>
          </c:val>
          <c:smooth val="0"/>
          <c:extLst>
            <c:ext xmlns:c16="http://schemas.microsoft.com/office/drawing/2014/chart" uri="{C3380CC4-5D6E-409C-BE32-E72D297353CC}">
              <c16:uniqueId val="{00000008-309C-457A-A43F-0A47DDAC9CA3}"/>
            </c:ext>
          </c:extLst>
        </c:ser>
        <c:dLbls>
          <c:showLegendKey val="0"/>
          <c:showVal val="0"/>
          <c:showCatName val="0"/>
          <c:showSerName val="0"/>
          <c:showPercent val="0"/>
          <c:showBubbleSize val="0"/>
        </c:dLbls>
        <c:smooth val="0"/>
        <c:axId val="84370560"/>
        <c:axId val="84372096"/>
      </c:lineChart>
      <c:catAx>
        <c:axId val="84370560"/>
        <c:scaling>
          <c:orientation val="minMax"/>
        </c:scaling>
        <c:delete val="0"/>
        <c:axPos val="b"/>
        <c:numFmt formatCode="#,##0_ ;\-#,##0\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372096"/>
        <c:crosses val="autoZero"/>
        <c:auto val="1"/>
        <c:lblAlgn val="ctr"/>
        <c:lblOffset val="100"/>
        <c:noMultiLvlLbl val="0"/>
      </c:catAx>
      <c:valAx>
        <c:axId val="84372096"/>
        <c:scaling>
          <c:orientation val="minMax"/>
          <c:max val="28000"/>
          <c:min val="17000"/>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370560"/>
        <c:crosses val="autoZero"/>
        <c:crossBetween val="between"/>
      </c:valAx>
      <c:spPr>
        <a:noFill/>
        <a:ln>
          <a:noFill/>
        </a:ln>
        <a:effectLst/>
      </c:spPr>
    </c:plotArea>
    <c:legend>
      <c:legendPos val="b"/>
      <c:layout>
        <c:manualLayout>
          <c:xMode val="edge"/>
          <c:yMode val="edge"/>
          <c:x val="9.2346237970253736E-2"/>
          <c:y val="0.75404928550597838"/>
          <c:w val="0.79169641294838133"/>
          <c:h val="0.227432195975503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49950006249218"/>
          <c:y val="7.9772079772079771E-2"/>
          <c:w val="0.83425005902040028"/>
          <c:h val="0.75155438903470395"/>
        </c:manualLayout>
      </c:layout>
      <c:barChart>
        <c:barDir val="col"/>
        <c:grouping val="clustered"/>
        <c:varyColors val="0"/>
        <c:ser>
          <c:idx val="0"/>
          <c:order val="0"/>
          <c:tx>
            <c:strRef>
              <c:f>'míra chudoby souhrnny'!$A$23</c:f>
              <c:strCache>
                <c:ptCount val="1"/>
                <c:pt idx="0">
                  <c:v>Czech Republic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'míra chudoby souhrnny'!$B$22:$N$22</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'míra chudoby souhrnny'!$B$23:$N$23</c:f>
              <c:numCache>
                <c:formatCode>#,##0.0</c:formatCode>
                <c:ptCount val="13"/>
                <c:pt idx="0">
                  <c:v>19.600000000000001</c:v>
                </c:pt>
                <c:pt idx="1">
                  <c:v>18</c:v>
                </c:pt>
                <c:pt idx="2">
                  <c:v>15.8</c:v>
                </c:pt>
                <c:pt idx="3">
                  <c:v>15.3</c:v>
                </c:pt>
                <c:pt idx="4">
                  <c:v>14</c:v>
                </c:pt>
                <c:pt idx="5">
                  <c:v>14.4</c:v>
                </c:pt>
                <c:pt idx="6">
                  <c:v>15.3</c:v>
                </c:pt>
                <c:pt idx="7">
                  <c:v>15.4</c:v>
                </c:pt>
                <c:pt idx="8">
                  <c:v>14.6</c:v>
                </c:pt>
                <c:pt idx="9">
                  <c:v>14.8</c:v>
                </c:pt>
                <c:pt idx="10">
                  <c:v>14</c:v>
                </c:pt>
                <c:pt idx="11">
                  <c:v>13.3</c:v>
                </c:pt>
                <c:pt idx="12">
                  <c:v>12.2</c:v>
                </c:pt>
              </c:numCache>
            </c:numRef>
          </c:val>
          <c:extLst>
            <c:ext xmlns:c16="http://schemas.microsoft.com/office/drawing/2014/chart" uri="{C3380CC4-5D6E-409C-BE32-E72D297353CC}">
              <c16:uniqueId val="{00000000-811D-EF4A-BB14-82F417E7AEBB}"/>
            </c:ext>
          </c:extLst>
        </c:ser>
        <c:dLbls>
          <c:showLegendKey val="0"/>
          <c:showVal val="0"/>
          <c:showCatName val="0"/>
          <c:showSerName val="0"/>
          <c:showPercent val="0"/>
          <c:showBubbleSize val="0"/>
        </c:dLbls>
        <c:gapWidth val="150"/>
        <c:axId val="84397056"/>
        <c:axId val="84489344"/>
      </c:barChart>
      <c:catAx>
        <c:axId val="84397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489344"/>
        <c:crosses val="autoZero"/>
        <c:auto val="1"/>
        <c:lblAlgn val="ctr"/>
        <c:lblOffset val="100"/>
        <c:noMultiLvlLbl val="0"/>
      </c:catAx>
      <c:valAx>
        <c:axId val="8448934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cs-CZ" sz="900"/>
                  <a:t>Podíl osob ohrožených</a:t>
                </a:r>
                <a:r>
                  <a:rPr lang="cs-CZ" sz="900" baseline="0"/>
                  <a:t> příjmovou chudobou nebo sociálním vyloučením (v%)</a:t>
                </a:r>
                <a:endParaRPr lang="cs-CZ" sz="900"/>
              </a:p>
            </c:rich>
          </c:tx>
          <c:layout>
            <c:manualLayout>
              <c:xMode val="edge"/>
              <c:yMode val="edge"/>
              <c:x val="1.257547724567216E-2"/>
              <c:y val="0.13119129339601782"/>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39705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nchor="t" anchorCtr="0"/>
    <a:lstStyle/>
    <a:p>
      <a:pPr>
        <a:defRPr/>
      </a:pPr>
      <a:endParaRPr lang="cs-CZ"/>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12031134997013"/>
          <c:y val="8.8481852389810503E-2"/>
          <c:w val="0.6706324944676032"/>
          <c:h val="0.77432306398593376"/>
        </c:manualLayout>
      </c:layout>
      <c:lineChart>
        <c:grouping val="standard"/>
        <c:varyColors val="0"/>
        <c:ser>
          <c:idx val="0"/>
          <c:order val="0"/>
          <c:tx>
            <c:strRef>
              <c:f>'míra chudoby souhrnny'!$O$10</c:f>
              <c:strCache>
                <c:ptCount val="1"/>
                <c:pt idx="0">
                  <c:v>Praha</c:v>
                </c:pt>
              </c:strCache>
            </c:strRef>
          </c:tx>
          <c:spPr>
            <a:ln w="28575" cap="rnd">
              <a:solidFill>
                <a:schemeClr val="accent1"/>
              </a:solidFill>
              <a:round/>
            </a:ln>
            <a:effectLst/>
          </c:spPr>
          <c:marker>
            <c:symbol val="none"/>
          </c:marker>
          <c:cat>
            <c:strRef>
              <c:f>'míra chudoby souhrnny'!$P$9:$AA$9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'míra chudoby souhrnny'!$P$10:$AA$10</c:f>
              <c:numCache>
                <c:formatCode>#,##0.0</c:formatCode>
                <c:ptCount val="12"/>
                <c:pt idx="0">
                  <c:v>12.2</c:v>
                </c:pt>
                <c:pt idx="1">
                  <c:v>11.1</c:v>
                </c:pt>
                <c:pt idx="2">
                  <c:v>8.8000000000000007</c:v>
                </c:pt>
                <c:pt idx="3">
                  <c:v>9.9</c:v>
                </c:pt>
                <c:pt idx="4">
                  <c:v>10</c:v>
                </c:pt>
                <c:pt idx="5">
                  <c:v>7.1</c:v>
                </c:pt>
                <c:pt idx="6">
                  <c:v>9.1</c:v>
                </c:pt>
                <c:pt idx="7">
                  <c:v>12.5</c:v>
                </c:pt>
                <c:pt idx="8">
                  <c:v>10.199999999999999</c:v>
                </c:pt>
                <c:pt idx="9">
                  <c:v>10.199999999999999</c:v>
                </c:pt>
                <c:pt idx="10">
                  <c:v>10.6</c:v>
                </c:pt>
                <c:pt idx="11">
                  <c:v>10.1</c:v>
                </c:pt>
              </c:numCache>
            </c:numRef>
          </c:val>
          <c:smooth val="0"/>
          <c:extLst>
            <c:ext xmlns:c16="http://schemas.microsoft.com/office/drawing/2014/chart" uri="{C3380CC4-5D6E-409C-BE32-E72D297353CC}">
              <c16:uniqueId val="{00000000-DD93-0E41-B73F-75E23A288F91}"/>
            </c:ext>
          </c:extLst>
        </c:ser>
        <c:ser>
          <c:idx val="1"/>
          <c:order val="1"/>
          <c:tx>
            <c:strRef>
              <c:f>'míra chudoby souhrnny'!$O$11</c:f>
              <c:strCache>
                <c:ptCount val="1"/>
                <c:pt idx="0">
                  <c:v>Strední Cechy</c:v>
                </c:pt>
              </c:strCache>
            </c:strRef>
          </c:tx>
          <c:spPr>
            <a:ln w="28575" cap="rnd">
              <a:solidFill>
                <a:schemeClr val="accent2"/>
              </a:solidFill>
              <a:round/>
            </a:ln>
            <a:effectLst/>
          </c:spPr>
          <c:marker>
            <c:symbol val="none"/>
          </c:marker>
          <c:cat>
            <c:strRef>
              <c:f>'míra chudoby souhrnny'!$P$9:$AA$9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'míra chudoby souhrnny'!$P$11:$AA$11</c:f>
              <c:numCache>
                <c:formatCode>#,##0.0</c:formatCode>
                <c:ptCount val="12"/>
                <c:pt idx="0">
                  <c:v>14.6</c:v>
                </c:pt>
                <c:pt idx="1">
                  <c:v>17.899999999999999</c:v>
                </c:pt>
                <c:pt idx="2">
                  <c:v>14.2</c:v>
                </c:pt>
                <c:pt idx="3">
                  <c:v>12.8</c:v>
                </c:pt>
                <c:pt idx="4">
                  <c:v>11.1</c:v>
                </c:pt>
                <c:pt idx="5">
                  <c:v>12.4</c:v>
                </c:pt>
                <c:pt idx="6">
                  <c:v>9.6</c:v>
                </c:pt>
                <c:pt idx="7">
                  <c:v>12.3</c:v>
                </c:pt>
                <c:pt idx="8">
                  <c:v>9.9</c:v>
                </c:pt>
                <c:pt idx="9">
                  <c:v>9.8000000000000007</c:v>
                </c:pt>
                <c:pt idx="10">
                  <c:v>10</c:v>
                </c:pt>
                <c:pt idx="11">
                  <c:v>10.3</c:v>
                </c:pt>
              </c:numCache>
            </c:numRef>
          </c:val>
          <c:smooth val="0"/>
          <c:extLst>
            <c:ext xmlns:c16="http://schemas.microsoft.com/office/drawing/2014/chart" uri="{C3380CC4-5D6E-409C-BE32-E72D297353CC}">
              <c16:uniqueId val="{00000001-DD93-0E41-B73F-75E23A288F91}"/>
            </c:ext>
          </c:extLst>
        </c:ser>
        <c:ser>
          <c:idx val="2"/>
          <c:order val="2"/>
          <c:tx>
            <c:strRef>
              <c:f>'míra chudoby souhrnny'!$O$12</c:f>
              <c:strCache>
                <c:ptCount val="1"/>
                <c:pt idx="0">
                  <c:v>Jihozápad</c:v>
                </c:pt>
              </c:strCache>
            </c:strRef>
          </c:tx>
          <c:spPr>
            <a:ln w="28575" cap="rnd">
              <a:solidFill>
                <a:schemeClr val="accent3"/>
              </a:solidFill>
              <a:round/>
            </a:ln>
            <a:effectLst/>
          </c:spPr>
          <c:marker>
            <c:symbol val="none"/>
          </c:marker>
          <c:cat>
            <c:strRef>
              <c:f>'míra chudoby souhrnny'!$P$9:$AA$9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'míra chudoby souhrnny'!$P$12:$AA$12</c:f>
              <c:numCache>
                <c:formatCode>#,##0.0</c:formatCode>
                <c:ptCount val="12"/>
                <c:pt idx="0">
                  <c:v>12.7</c:v>
                </c:pt>
                <c:pt idx="1">
                  <c:v>11.6</c:v>
                </c:pt>
                <c:pt idx="2">
                  <c:v>11.8</c:v>
                </c:pt>
                <c:pt idx="3">
                  <c:v>11.5</c:v>
                </c:pt>
                <c:pt idx="4">
                  <c:v>12.6</c:v>
                </c:pt>
                <c:pt idx="5">
                  <c:v>13.6</c:v>
                </c:pt>
                <c:pt idx="6">
                  <c:v>14.6</c:v>
                </c:pt>
                <c:pt idx="7">
                  <c:v>12.4</c:v>
                </c:pt>
                <c:pt idx="8">
                  <c:v>11.5</c:v>
                </c:pt>
                <c:pt idx="9">
                  <c:v>12.5</c:v>
                </c:pt>
                <c:pt idx="10">
                  <c:v>11.2</c:v>
                </c:pt>
                <c:pt idx="11">
                  <c:v>10</c:v>
                </c:pt>
              </c:numCache>
            </c:numRef>
          </c:val>
          <c:smooth val="0"/>
          <c:extLst>
            <c:ext xmlns:c16="http://schemas.microsoft.com/office/drawing/2014/chart" uri="{C3380CC4-5D6E-409C-BE32-E72D297353CC}">
              <c16:uniqueId val="{00000002-DD93-0E41-B73F-75E23A288F91}"/>
            </c:ext>
          </c:extLst>
        </c:ser>
        <c:ser>
          <c:idx val="3"/>
          <c:order val="3"/>
          <c:tx>
            <c:strRef>
              <c:f>'míra chudoby souhrnny'!$O$13</c:f>
              <c:strCache>
                <c:ptCount val="1"/>
                <c:pt idx="0">
                  <c:v>Severozápad</c:v>
                </c:pt>
              </c:strCache>
            </c:strRef>
          </c:tx>
          <c:spPr>
            <a:ln w="28575" cap="rnd">
              <a:solidFill>
                <a:schemeClr val="accent4"/>
              </a:solidFill>
              <a:round/>
            </a:ln>
            <a:effectLst/>
          </c:spPr>
          <c:marker>
            <c:symbol val="none"/>
          </c:marker>
          <c:cat>
            <c:strRef>
              <c:f>'míra chudoby souhrnny'!$P$9:$AA$9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'míra chudoby souhrnny'!$P$13:$AA$13</c:f>
              <c:numCache>
                <c:formatCode>#,##0.0</c:formatCode>
                <c:ptCount val="12"/>
                <c:pt idx="0">
                  <c:v>28.4</c:v>
                </c:pt>
                <c:pt idx="1">
                  <c:v>23.7</c:v>
                </c:pt>
                <c:pt idx="2">
                  <c:v>23.4</c:v>
                </c:pt>
                <c:pt idx="3">
                  <c:v>22.9</c:v>
                </c:pt>
                <c:pt idx="4">
                  <c:v>19.600000000000001</c:v>
                </c:pt>
                <c:pt idx="5">
                  <c:v>21.3</c:v>
                </c:pt>
                <c:pt idx="6">
                  <c:v>24.6</c:v>
                </c:pt>
                <c:pt idx="7">
                  <c:v>23.7</c:v>
                </c:pt>
                <c:pt idx="8">
                  <c:v>25.8</c:v>
                </c:pt>
                <c:pt idx="9">
                  <c:v>21.9</c:v>
                </c:pt>
                <c:pt idx="10">
                  <c:v>21.7</c:v>
                </c:pt>
                <c:pt idx="11">
                  <c:v>19.5</c:v>
                </c:pt>
              </c:numCache>
            </c:numRef>
          </c:val>
          <c:smooth val="0"/>
          <c:extLst>
            <c:ext xmlns:c16="http://schemas.microsoft.com/office/drawing/2014/chart" uri="{C3380CC4-5D6E-409C-BE32-E72D297353CC}">
              <c16:uniqueId val="{00000003-DD93-0E41-B73F-75E23A288F91}"/>
            </c:ext>
          </c:extLst>
        </c:ser>
        <c:ser>
          <c:idx val="4"/>
          <c:order val="4"/>
          <c:tx>
            <c:strRef>
              <c:f>'míra chudoby souhrnny'!$O$14</c:f>
              <c:strCache>
                <c:ptCount val="1"/>
                <c:pt idx="0">
                  <c:v>Severovýchod</c:v>
                </c:pt>
              </c:strCache>
            </c:strRef>
          </c:tx>
          <c:spPr>
            <a:ln w="28575" cap="rnd">
              <a:solidFill>
                <a:schemeClr val="accent5"/>
              </a:solidFill>
              <a:round/>
            </a:ln>
            <a:effectLst/>
          </c:spPr>
          <c:marker>
            <c:symbol val="none"/>
          </c:marker>
          <c:cat>
            <c:strRef>
              <c:f>'míra chudoby souhrnny'!$P$9:$AA$9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'míra chudoby souhrnny'!$P$14:$AA$14</c:f>
              <c:numCache>
                <c:formatCode>#,##0.0</c:formatCode>
                <c:ptCount val="12"/>
                <c:pt idx="0">
                  <c:v>20</c:v>
                </c:pt>
                <c:pt idx="1">
                  <c:v>17</c:v>
                </c:pt>
                <c:pt idx="2">
                  <c:v>15.8</c:v>
                </c:pt>
                <c:pt idx="3">
                  <c:v>13.5</c:v>
                </c:pt>
                <c:pt idx="4">
                  <c:v>12.2</c:v>
                </c:pt>
                <c:pt idx="5">
                  <c:v>11.4</c:v>
                </c:pt>
                <c:pt idx="6">
                  <c:v>13.8</c:v>
                </c:pt>
                <c:pt idx="7">
                  <c:v>13.2</c:v>
                </c:pt>
                <c:pt idx="8">
                  <c:v>13.8</c:v>
                </c:pt>
                <c:pt idx="9">
                  <c:v>14</c:v>
                </c:pt>
                <c:pt idx="10">
                  <c:v>10.199999999999999</c:v>
                </c:pt>
                <c:pt idx="11">
                  <c:v>11.7</c:v>
                </c:pt>
              </c:numCache>
            </c:numRef>
          </c:val>
          <c:smooth val="0"/>
          <c:extLst>
            <c:ext xmlns:c16="http://schemas.microsoft.com/office/drawing/2014/chart" uri="{C3380CC4-5D6E-409C-BE32-E72D297353CC}">
              <c16:uniqueId val="{00000004-DD93-0E41-B73F-75E23A288F91}"/>
            </c:ext>
          </c:extLst>
        </c:ser>
        <c:ser>
          <c:idx val="5"/>
          <c:order val="5"/>
          <c:tx>
            <c:strRef>
              <c:f>'míra chudoby souhrnny'!$O$15</c:f>
              <c:strCache>
                <c:ptCount val="1"/>
                <c:pt idx="0">
                  <c:v>Jihovýchod</c:v>
                </c:pt>
              </c:strCache>
            </c:strRef>
          </c:tx>
          <c:spPr>
            <a:ln w="28575" cap="rnd">
              <a:solidFill>
                <a:schemeClr val="accent6"/>
              </a:solidFill>
              <a:round/>
            </a:ln>
            <a:effectLst/>
          </c:spPr>
          <c:marker>
            <c:symbol val="none"/>
          </c:marker>
          <c:cat>
            <c:strRef>
              <c:f>'míra chudoby souhrnny'!$P$9:$AA$9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'míra chudoby souhrnny'!$P$15:$AA$15</c:f>
              <c:numCache>
                <c:formatCode>#,##0.0</c:formatCode>
                <c:ptCount val="12"/>
                <c:pt idx="0">
                  <c:v>16</c:v>
                </c:pt>
                <c:pt idx="1">
                  <c:v>15.7</c:v>
                </c:pt>
                <c:pt idx="2">
                  <c:v>13</c:v>
                </c:pt>
                <c:pt idx="3">
                  <c:v>13.8</c:v>
                </c:pt>
                <c:pt idx="4">
                  <c:v>12.9</c:v>
                </c:pt>
                <c:pt idx="5">
                  <c:v>15</c:v>
                </c:pt>
                <c:pt idx="6">
                  <c:v>14.2</c:v>
                </c:pt>
                <c:pt idx="7">
                  <c:v>13.7</c:v>
                </c:pt>
                <c:pt idx="8">
                  <c:v>11.1</c:v>
                </c:pt>
                <c:pt idx="9">
                  <c:v>12.8</c:v>
                </c:pt>
                <c:pt idx="10">
                  <c:v>12.6</c:v>
                </c:pt>
                <c:pt idx="11">
                  <c:v>11.5</c:v>
                </c:pt>
              </c:numCache>
            </c:numRef>
          </c:val>
          <c:smooth val="0"/>
          <c:extLst>
            <c:ext xmlns:c16="http://schemas.microsoft.com/office/drawing/2014/chart" uri="{C3380CC4-5D6E-409C-BE32-E72D297353CC}">
              <c16:uniqueId val="{00000005-DD93-0E41-B73F-75E23A288F91}"/>
            </c:ext>
          </c:extLst>
        </c:ser>
        <c:ser>
          <c:idx val="6"/>
          <c:order val="6"/>
          <c:tx>
            <c:strRef>
              <c:f>'míra chudoby souhrnny'!$O$16</c:f>
              <c:strCache>
                <c:ptCount val="1"/>
                <c:pt idx="0">
                  <c:v>Strední Morava</c:v>
                </c:pt>
              </c:strCache>
            </c:strRef>
          </c:tx>
          <c:spPr>
            <a:ln w="28575" cap="rnd">
              <a:solidFill>
                <a:schemeClr val="accent1">
                  <a:lumMod val="60000"/>
                </a:schemeClr>
              </a:solidFill>
              <a:round/>
            </a:ln>
            <a:effectLst/>
          </c:spPr>
          <c:marker>
            <c:symbol val="none"/>
          </c:marker>
          <c:cat>
            <c:strRef>
              <c:f>'míra chudoby souhrnny'!$P$9:$AA$9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'míra chudoby souhrnny'!$P$16:$AA$16</c:f>
              <c:numCache>
                <c:formatCode>#,##0.0</c:formatCode>
                <c:ptCount val="12"/>
                <c:pt idx="0">
                  <c:v>23.2</c:v>
                </c:pt>
                <c:pt idx="1">
                  <c:v>21</c:v>
                </c:pt>
                <c:pt idx="2">
                  <c:v>17.5</c:v>
                </c:pt>
                <c:pt idx="3">
                  <c:v>17.600000000000001</c:v>
                </c:pt>
                <c:pt idx="4">
                  <c:v>16.100000000000001</c:v>
                </c:pt>
                <c:pt idx="5">
                  <c:v>16.3</c:v>
                </c:pt>
                <c:pt idx="6">
                  <c:v>16.399999999999999</c:v>
                </c:pt>
                <c:pt idx="7">
                  <c:v>16</c:v>
                </c:pt>
                <c:pt idx="8">
                  <c:v>14.7</c:v>
                </c:pt>
                <c:pt idx="9">
                  <c:v>17</c:v>
                </c:pt>
                <c:pt idx="10">
                  <c:v>16.399999999999999</c:v>
                </c:pt>
                <c:pt idx="11">
                  <c:v>13.1</c:v>
                </c:pt>
              </c:numCache>
            </c:numRef>
          </c:val>
          <c:smooth val="0"/>
          <c:extLst>
            <c:ext xmlns:c16="http://schemas.microsoft.com/office/drawing/2014/chart" uri="{C3380CC4-5D6E-409C-BE32-E72D297353CC}">
              <c16:uniqueId val="{00000006-DD93-0E41-B73F-75E23A288F91}"/>
            </c:ext>
          </c:extLst>
        </c:ser>
        <c:ser>
          <c:idx val="7"/>
          <c:order val="7"/>
          <c:tx>
            <c:strRef>
              <c:f>'míra chudoby souhrnny'!$O$17</c:f>
              <c:strCache>
                <c:ptCount val="1"/>
                <c:pt idx="0">
                  <c:v>Moravskoslezsko</c:v>
                </c:pt>
              </c:strCache>
            </c:strRef>
          </c:tx>
          <c:spPr>
            <a:ln w="28575" cap="rnd">
              <a:solidFill>
                <a:schemeClr val="accent2">
                  <a:lumMod val="60000"/>
                </a:schemeClr>
              </a:solidFill>
              <a:round/>
            </a:ln>
            <a:effectLst/>
          </c:spPr>
          <c:marker>
            <c:symbol val="none"/>
          </c:marker>
          <c:cat>
            <c:strRef>
              <c:f>'míra chudoby souhrnny'!$P$9:$AA$9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'míra chudoby souhrnny'!$P$17:$AA$17</c:f>
              <c:numCache>
                <c:formatCode>#,##0.0</c:formatCode>
                <c:ptCount val="12"/>
                <c:pt idx="0">
                  <c:v>30.6</c:v>
                </c:pt>
                <c:pt idx="1">
                  <c:v>26.8</c:v>
                </c:pt>
                <c:pt idx="2">
                  <c:v>23.2</c:v>
                </c:pt>
                <c:pt idx="3">
                  <c:v>21.6</c:v>
                </c:pt>
                <c:pt idx="4">
                  <c:v>18.600000000000001</c:v>
                </c:pt>
                <c:pt idx="5">
                  <c:v>18.899999999999999</c:v>
                </c:pt>
                <c:pt idx="6">
                  <c:v>22</c:v>
                </c:pt>
                <c:pt idx="7">
                  <c:v>20.9</c:v>
                </c:pt>
                <c:pt idx="8">
                  <c:v>22.9</c:v>
                </c:pt>
                <c:pt idx="9">
                  <c:v>22.5</c:v>
                </c:pt>
                <c:pt idx="10">
                  <c:v>21.7</c:v>
                </c:pt>
                <c:pt idx="11">
                  <c:v>22.1</c:v>
                </c:pt>
              </c:numCache>
            </c:numRef>
          </c:val>
          <c:smooth val="0"/>
          <c:extLst>
            <c:ext xmlns:c16="http://schemas.microsoft.com/office/drawing/2014/chart" uri="{C3380CC4-5D6E-409C-BE32-E72D297353CC}">
              <c16:uniqueId val="{00000007-DD93-0E41-B73F-75E23A288F91}"/>
            </c:ext>
          </c:extLst>
        </c:ser>
        <c:dLbls>
          <c:showLegendKey val="0"/>
          <c:showVal val="0"/>
          <c:showCatName val="0"/>
          <c:showSerName val="0"/>
          <c:showPercent val="0"/>
          <c:showBubbleSize val="0"/>
        </c:dLbls>
        <c:smooth val="0"/>
        <c:axId val="84526592"/>
        <c:axId val="84528512"/>
      </c:lineChart>
      <c:catAx>
        <c:axId val="84526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528512"/>
        <c:crosses val="autoZero"/>
        <c:auto val="1"/>
        <c:lblAlgn val="ctr"/>
        <c:lblOffset val="100"/>
        <c:noMultiLvlLbl val="0"/>
      </c:catAx>
      <c:valAx>
        <c:axId val="84528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cs-CZ" sz="900" b="0" i="0" baseline="0">
                    <a:effectLst/>
                  </a:rPr>
                  <a:t>Podíl osob ohrožených příjmovou chudobou nebo sociálním vyloučením (v%)</a:t>
                </a:r>
                <a:endParaRPr lang="cs-CZ" sz="900">
                  <a:effectLst/>
                </a:endParaRPr>
              </a:p>
            </c:rich>
          </c:tx>
          <c:layout>
            <c:manualLayout>
              <c:xMode val="edge"/>
              <c:yMode val="edge"/>
              <c:x val="1.5354330708661417E-2"/>
              <c:y val="9.3164517226044394E-2"/>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526592"/>
        <c:crosses val="autoZero"/>
        <c:crossBetween val="between"/>
      </c:valAx>
      <c:spPr>
        <a:noFill/>
        <a:ln w="25400">
          <a:noFill/>
        </a:ln>
      </c:spPr>
    </c:plotArea>
    <c:legend>
      <c:legendPos val="r"/>
      <c:layout>
        <c:manualLayout>
          <c:xMode val="edge"/>
          <c:yMode val="edge"/>
          <c:x val="0.80554531378022187"/>
          <c:y val="0.26114162624631521"/>
          <c:w val="0.19196124789956814"/>
          <c:h val="0.41582111970516961"/>
        </c:manualLayout>
      </c:layout>
      <c:overlay val="0"/>
      <c:spPr>
        <a:noFill/>
        <a:ln>
          <a:noFill/>
        </a:ln>
        <a:effectLst/>
      </c:spPr>
      <c:txPr>
        <a:bodyPr rot="0" spcFirstLastPara="1" vertOverflow="ellipsis" vert="horz" wrap="square" anchor="ctr" anchorCtr="1"/>
        <a:lstStyle/>
        <a:p>
          <a:pPr algn="just">
            <a:defRPr sz="8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36510713938537"/>
          <c:y val="8.9740542229028331E-2"/>
          <c:w val="0.85013401102639952"/>
          <c:h val="0.76026650514839478"/>
        </c:manualLayout>
      </c:layout>
      <c:barChart>
        <c:barDir val="col"/>
        <c:grouping val="clustered"/>
        <c:varyColors val="0"/>
        <c:ser>
          <c:idx val="0"/>
          <c:order val="0"/>
          <c:tx>
            <c:strRef>
              <c:f>'ohrožení příjmovou chudobou'!$A$25</c:f>
              <c:strCache>
                <c:ptCount val="1"/>
                <c:pt idx="0">
                  <c:v>Czech Republic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'ohrožení příjmovou chudobou'!$B$24:$N$24</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'ohrožení příjmovou chudobou'!$B$25:$N$25</c:f>
              <c:numCache>
                <c:formatCode>#,##0.0</c:formatCode>
                <c:ptCount val="13"/>
                <c:pt idx="0">
                  <c:v>10.4</c:v>
                </c:pt>
                <c:pt idx="1">
                  <c:v>9.9</c:v>
                </c:pt>
                <c:pt idx="2">
                  <c:v>9.6</c:v>
                </c:pt>
                <c:pt idx="3">
                  <c:v>9</c:v>
                </c:pt>
                <c:pt idx="4">
                  <c:v>8.6</c:v>
                </c:pt>
                <c:pt idx="5">
                  <c:v>9</c:v>
                </c:pt>
                <c:pt idx="6">
                  <c:v>9.8000000000000007</c:v>
                </c:pt>
                <c:pt idx="7">
                  <c:v>9.6</c:v>
                </c:pt>
                <c:pt idx="8">
                  <c:v>8.6</c:v>
                </c:pt>
                <c:pt idx="9">
                  <c:v>9.6999999999999993</c:v>
                </c:pt>
                <c:pt idx="10">
                  <c:v>9.6999999999999993</c:v>
                </c:pt>
                <c:pt idx="11">
                  <c:v>9.6999999999999993</c:v>
                </c:pt>
                <c:pt idx="12">
                  <c:v>9.1</c:v>
                </c:pt>
              </c:numCache>
            </c:numRef>
          </c:val>
          <c:extLst>
            <c:ext xmlns:c16="http://schemas.microsoft.com/office/drawing/2014/chart" uri="{C3380CC4-5D6E-409C-BE32-E72D297353CC}">
              <c16:uniqueId val="{00000000-27C8-3842-AD67-C3E42804AF76}"/>
            </c:ext>
          </c:extLst>
        </c:ser>
        <c:dLbls>
          <c:showLegendKey val="0"/>
          <c:showVal val="0"/>
          <c:showCatName val="0"/>
          <c:showSerName val="0"/>
          <c:showPercent val="0"/>
          <c:showBubbleSize val="0"/>
        </c:dLbls>
        <c:gapWidth val="219"/>
        <c:overlap val="-27"/>
        <c:axId val="84562304"/>
        <c:axId val="84564224"/>
      </c:barChart>
      <c:catAx>
        <c:axId val="84562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564224"/>
        <c:crosses val="autoZero"/>
        <c:auto val="1"/>
        <c:lblAlgn val="ctr"/>
        <c:lblOffset val="100"/>
        <c:noMultiLvlLbl val="0"/>
      </c:catAx>
      <c:valAx>
        <c:axId val="8456422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cs-CZ" sz="900"/>
                  <a:t>Podíl</a:t>
                </a:r>
                <a:r>
                  <a:rPr lang="cs-CZ" sz="900" baseline="0"/>
                  <a:t> osob pod hranicí chudoby (%)</a:t>
                </a:r>
              </a:p>
            </c:rich>
          </c:tx>
          <c:layout>
            <c:manualLayout>
              <c:xMode val="edge"/>
              <c:yMode val="edge"/>
              <c:x val="1.2225034370703661E-2"/>
              <c:y val="0.16382485933815602"/>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56230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966448638364624E-2"/>
          <c:y val="9.515158775383338E-2"/>
          <c:w val="0.70708158008026767"/>
          <c:h val="0.78023045741815167"/>
        </c:manualLayout>
      </c:layout>
      <c:lineChart>
        <c:grouping val="standard"/>
        <c:varyColors val="0"/>
        <c:ser>
          <c:idx val="0"/>
          <c:order val="0"/>
          <c:tx>
            <c:strRef>
              <c:f>'ohrožení příjmovou chudobou'!$O$10</c:f>
              <c:strCache>
                <c:ptCount val="1"/>
                <c:pt idx="0">
                  <c:v>Praha</c:v>
                </c:pt>
              </c:strCache>
            </c:strRef>
          </c:tx>
          <c:spPr>
            <a:ln w="28575" cap="rnd">
              <a:solidFill>
                <a:schemeClr val="accent1"/>
              </a:solidFill>
              <a:round/>
            </a:ln>
            <a:effectLst/>
          </c:spPr>
          <c:marker>
            <c:symbol val="none"/>
          </c:marker>
          <c:cat>
            <c:strRef>
              <c:f>'ohrožení příjmovou chudobou'!$P$9:$AA$9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'ohrožení příjmovou chudobou'!$P$10:$AA$10</c:f>
              <c:numCache>
                <c:formatCode>#,##0.0</c:formatCode>
                <c:ptCount val="12"/>
                <c:pt idx="0">
                  <c:v>4.2</c:v>
                </c:pt>
                <c:pt idx="1">
                  <c:v>4.7</c:v>
                </c:pt>
                <c:pt idx="2">
                  <c:v>4.2</c:v>
                </c:pt>
                <c:pt idx="3">
                  <c:v>6</c:v>
                </c:pt>
                <c:pt idx="4">
                  <c:v>4.5999999999999996</c:v>
                </c:pt>
                <c:pt idx="5">
                  <c:v>4</c:v>
                </c:pt>
                <c:pt idx="6">
                  <c:v>4.5999999999999996</c:v>
                </c:pt>
                <c:pt idx="7">
                  <c:v>6.2</c:v>
                </c:pt>
                <c:pt idx="8">
                  <c:v>4.4000000000000004</c:v>
                </c:pt>
                <c:pt idx="9">
                  <c:v>5.3</c:v>
                </c:pt>
                <c:pt idx="10">
                  <c:v>5.2</c:v>
                </c:pt>
                <c:pt idx="11">
                  <c:v>7.4</c:v>
                </c:pt>
              </c:numCache>
            </c:numRef>
          </c:val>
          <c:smooth val="0"/>
          <c:extLst>
            <c:ext xmlns:c16="http://schemas.microsoft.com/office/drawing/2014/chart" uri="{C3380CC4-5D6E-409C-BE32-E72D297353CC}">
              <c16:uniqueId val="{00000000-349A-F546-9C9E-275CF78A0107}"/>
            </c:ext>
          </c:extLst>
        </c:ser>
        <c:ser>
          <c:idx val="1"/>
          <c:order val="1"/>
          <c:tx>
            <c:strRef>
              <c:f>'ohrožení příjmovou chudobou'!$O$11</c:f>
              <c:strCache>
                <c:ptCount val="1"/>
                <c:pt idx="0">
                  <c:v>Strední Cechy</c:v>
                </c:pt>
              </c:strCache>
            </c:strRef>
          </c:tx>
          <c:spPr>
            <a:ln w="28575" cap="rnd">
              <a:solidFill>
                <a:schemeClr val="accent2"/>
              </a:solidFill>
              <a:round/>
            </a:ln>
            <a:effectLst/>
          </c:spPr>
          <c:marker>
            <c:symbol val="none"/>
          </c:marker>
          <c:cat>
            <c:strRef>
              <c:f>'ohrožení příjmovou chudobou'!$P$9:$AA$9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'ohrožení příjmovou chudobou'!$P$11:$AA$11</c:f>
              <c:numCache>
                <c:formatCode>#,##0.0</c:formatCode>
                <c:ptCount val="12"/>
                <c:pt idx="0">
                  <c:v>8.6999999999999993</c:v>
                </c:pt>
                <c:pt idx="1">
                  <c:v>8.5</c:v>
                </c:pt>
                <c:pt idx="2">
                  <c:v>8.1999999999999993</c:v>
                </c:pt>
                <c:pt idx="3">
                  <c:v>7.4</c:v>
                </c:pt>
                <c:pt idx="4">
                  <c:v>7.5</c:v>
                </c:pt>
                <c:pt idx="5">
                  <c:v>7.4</c:v>
                </c:pt>
                <c:pt idx="6">
                  <c:v>6.1</c:v>
                </c:pt>
                <c:pt idx="7">
                  <c:v>7.3</c:v>
                </c:pt>
                <c:pt idx="8">
                  <c:v>4.8</c:v>
                </c:pt>
                <c:pt idx="9">
                  <c:v>5.3</c:v>
                </c:pt>
                <c:pt idx="10">
                  <c:v>5.5</c:v>
                </c:pt>
                <c:pt idx="11">
                  <c:v>6.5</c:v>
                </c:pt>
              </c:numCache>
            </c:numRef>
          </c:val>
          <c:smooth val="0"/>
          <c:extLst>
            <c:ext xmlns:c16="http://schemas.microsoft.com/office/drawing/2014/chart" uri="{C3380CC4-5D6E-409C-BE32-E72D297353CC}">
              <c16:uniqueId val="{00000001-349A-F546-9C9E-275CF78A0107}"/>
            </c:ext>
          </c:extLst>
        </c:ser>
        <c:ser>
          <c:idx val="2"/>
          <c:order val="2"/>
          <c:tx>
            <c:strRef>
              <c:f>'ohrožení příjmovou chudobou'!$O$12</c:f>
              <c:strCache>
                <c:ptCount val="1"/>
                <c:pt idx="0">
                  <c:v>Jihozápad</c:v>
                </c:pt>
              </c:strCache>
            </c:strRef>
          </c:tx>
          <c:spPr>
            <a:ln w="28575" cap="rnd">
              <a:solidFill>
                <a:schemeClr val="accent3"/>
              </a:solidFill>
              <a:round/>
            </a:ln>
            <a:effectLst/>
          </c:spPr>
          <c:marker>
            <c:symbol val="none"/>
          </c:marker>
          <c:cat>
            <c:strRef>
              <c:f>'ohrožení příjmovou chudobou'!$P$9:$AA$9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'ohrožení příjmovou chudobou'!$P$12:$AA$12</c:f>
              <c:numCache>
                <c:formatCode>#,##0.0</c:formatCode>
                <c:ptCount val="12"/>
                <c:pt idx="0">
                  <c:v>5.7</c:v>
                </c:pt>
                <c:pt idx="1">
                  <c:v>6.1</c:v>
                </c:pt>
                <c:pt idx="2">
                  <c:v>7.3</c:v>
                </c:pt>
                <c:pt idx="3">
                  <c:v>5.8</c:v>
                </c:pt>
                <c:pt idx="4">
                  <c:v>6.8</c:v>
                </c:pt>
                <c:pt idx="5">
                  <c:v>7</c:v>
                </c:pt>
                <c:pt idx="6">
                  <c:v>7.3</c:v>
                </c:pt>
                <c:pt idx="7">
                  <c:v>7</c:v>
                </c:pt>
                <c:pt idx="8">
                  <c:v>6.9</c:v>
                </c:pt>
                <c:pt idx="9">
                  <c:v>8.6999999999999993</c:v>
                </c:pt>
                <c:pt idx="10">
                  <c:v>7.9</c:v>
                </c:pt>
                <c:pt idx="11">
                  <c:v>7.8</c:v>
                </c:pt>
              </c:numCache>
            </c:numRef>
          </c:val>
          <c:smooth val="0"/>
          <c:extLst>
            <c:ext xmlns:c16="http://schemas.microsoft.com/office/drawing/2014/chart" uri="{C3380CC4-5D6E-409C-BE32-E72D297353CC}">
              <c16:uniqueId val="{00000002-349A-F546-9C9E-275CF78A0107}"/>
            </c:ext>
          </c:extLst>
        </c:ser>
        <c:ser>
          <c:idx val="3"/>
          <c:order val="3"/>
          <c:tx>
            <c:strRef>
              <c:f>'ohrožení příjmovou chudobou'!$O$13</c:f>
              <c:strCache>
                <c:ptCount val="1"/>
                <c:pt idx="0">
                  <c:v>Severozápad</c:v>
                </c:pt>
              </c:strCache>
            </c:strRef>
          </c:tx>
          <c:spPr>
            <a:ln w="28575" cap="rnd">
              <a:solidFill>
                <a:schemeClr val="accent4"/>
              </a:solidFill>
              <a:round/>
            </a:ln>
            <a:effectLst/>
          </c:spPr>
          <c:marker>
            <c:symbol val="none"/>
          </c:marker>
          <c:cat>
            <c:strRef>
              <c:f>'ohrožení příjmovou chudobou'!$P$9:$AA$9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'ohrožení příjmovou chudobou'!$P$13:$AA$13</c:f>
              <c:numCache>
                <c:formatCode>#,##0.0</c:formatCode>
                <c:ptCount val="12"/>
                <c:pt idx="0">
                  <c:v>16.100000000000001</c:v>
                </c:pt>
                <c:pt idx="1">
                  <c:v>16.3</c:v>
                </c:pt>
                <c:pt idx="2">
                  <c:v>15.4</c:v>
                </c:pt>
                <c:pt idx="3">
                  <c:v>13</c:v>
                </c:pt>
                <c:pt idx="4">
                  <c:v>11.6</c:v>
                </c:pt>
                <c:pt idx="5">
                  <c:v>14.6</c:v>
                </c:pt>
                <c:pt idx="6">
                  <c:v>17.100000000000001</c:v>
                </c:pt>
                <c:pt idx="7">
                  <c:v>14.5</c:v>
                </c:pt>
                <c:pt idx="8">
                  <c:v>12.9</c:v>
                </c:pt>
                <c:pt idx="9">
                  <c:v>14.1</c:v>
                </c:pt>
                <c:pt idx="10">
                  <c:v>16</c:v>
                </c:pt>
                <c:pt idx="11">
                  <c:v>15</c:v>
                </c:pt>
              </c:numCache>
            </c:numRef>
          </c:val>
          <c:smooth val="0"/>
          <c:extLst>
            <c:ext xmlns:c16="http://schemas.microsoft.com/office/drawing/2014/chart" uri="{C3380CC4-5D6E-409C-BE32-E72D297353CC}">
              <c16:uniqueId val="{00000003-349A-F546-9C9E-275CF78A0107}"/>
            </c:ext>
          </c:extLst>
        </c:ser>
        <c:ser>
          <c:idx val="4"/>
          <c:order val="4"/>
          <c:tx>
            <c:strRef>
              <c:f>'ohrožení příjmovou chudobou'!$O$14</c:f>
              <c:strCache>
                <c:ptCount val="1"/>
                <c:pt idx="0">
                  <c:v>Severovýchod</c:v>
                </c:pt>
              </c:strCache>
            </c:strRef>
          </c:tx>
          <c:spPr>
            <a:ln w="28575" cap="rnd">
              <a:solidFill>
                <a:schemeClr val="accent5"/>
              </a:solidFill>
              <a:round/>
            </a:ln>
            <a:effectLst/>
          </c:spPr>
          <c:marker>
            <c:symbol val="none"/>
          </c:marker>
          <c:cat>
            <c:strRef>
              <c:f>'ohrožení příjmovou chudobou'!$P$9:$AA$9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'ohrožení příjmovou chudobou'!$P$14:$AA$14</c:f>
              <c:numCache>
                <c:formatCode>#,##0.0</c:formatCode>
                <c:ptCount val="12"/>
                <c:pt idx="0">
                  <c:v>11.2</c:v>
                </c:pt>
                <c:pt idx="1">
                  <c:v>9</c:v>
                </c:pt>
                <c:pt idx="2">
                  <c:v>8.9</c:v>
                </c:pt>
                <c:pt idx="3">
                  <c:v>6.8</c:v>
                </c:pt>
                <c:pt idx="4">
                  <c:v>6.9</c:v>
                </c:pt>
                <c:pt idx="5">
                  <c:v>7.8</c:v>
                </c:pt>
                <c:pt idx="6">
                  <c:v>7.9</c:v>
                </c:pt>
                <c:pt idx="7">
                  <c:v>8.1999999999999993</c:v>
                </c:pt>
                <c:pt idx="8">
                  <c:v>8.8000000000000007</c:v>
                </c:pt>
                <c:pt idx="9">
                  <c:v>9.4</c:v>
                </c:pt>
                <c:pt idx="10">
                  <c:v>7.4</c:v>
                </c:pt>
                <c:pt idx="11">
                  <c:v>7.7</c:v>
                </c:pt>
              </c:numCache>
            </c:numRef>
          </c:val>
          <c:smooth val="0"/>
          <c:extLst>
            <c:ext xmlns:c16="http://schemas.microsoft.com/office/drawing/2014/chart" uri="{C3380CC4-5D6E-409C-BE32-E72D297353CC}">
              <c16:uniqueId val="{00000004-349A-F546-9C9E-275CF78A0107}"/>
            </c:ext>
          </c:extLst>
        </c:ser>
        <c:ser>
          <c:idx val="5"/>
          <c:order val="5"/>
          <c:tx>
            <c:strRef>
              <c:f>'ohrožení příjmovou chudobou'!$O$15</c:f>
              <c:strCache>
                <c:ptCount val="1"/>
                <c:pt idx="0">
                  <c:v>Jihovýchod</c:v>
                </c:pt>
              </c:strCache>
            </c:strRef>
          </c:tx>
          <c:spPr>
            <a:ln w="28575" cap="rnd">
              <a:solidFill>
                <a:schemeClr val="accent6"/>
              </a:solidFill>
              <a:round/>
            </a:ln>
            <a:effectLst/>
          </c:spPr>
          <c:marker>
            <c:symbol val="none"/>
          </c:marker>
          <c:cat>
            <c:strRef>
              <c:f>'ohrožení příjmovou chudobou'!$P$9:$AA$9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'ohrožení příjmovou chudobou'!$P$15:$AA$15</c:f>
              <c:numCache>
                <c:formatCode>#,##0.0</c:formatCode>
                <c:ptCount val="12"/>
                <c:pt idx="0">
                  <c:v>8.1999999999999993</c:v>
                </c:pt>
                <c:pt idx="1">
                  <c:v>8.3000000000000007</c:v>
                </c:pt>
                <c:pt idx="2">
                  <c:v>7.2</c:v>
                </c:pt>
                <c:pt idx="3">
                  <c:v>9</c:v>
                </c:pt>
                <c:pt idx="4">
                  <c:v>8.5</c:v>
                </c:pt>
                <c:pt idx="5">
                  <c:v>9.6</c:v>
                </c:pt>
                <c:pt idx="6">
                  <c:v>10</c:v>
                </c:pt>
                <c:pt idx="7">
                  <c:v>9.1</c:v>
                </c:pt>
                <c:pt idx="8">
                  <c:v>6.6</c:v>
                </c:pt>
                <c:pt idx="9">
                  <c:v>8.1</c:v>
                </c:pt>
                <c:pt idx="10">
                  <c:v>9.1</c:v>
                </c:pt>
                <c:pt idx="11">
                  <c:v>7.5</c:v>
                </c:pt>
              </c:numCache>
            </c:numRef>
          </c:val>
          <c:smooth val="0"/>
          <c:extLst>
            <c:ext xmlns:c16="http://schemas.microsoft.com/office/drawing/2014/chart" uri="{C3380CC4-5D6E-409C-BE32-E72D297353CC}">
              <c16:uniqueId val="{00000005-349A-F546-9C9E-275CF78A0107}"/>
            </c:ext>
          </c:extLst>
        </c:ser>
        <c:ser>
          <c:idx val="6"/>
          <c:order val="6"/>
          <c:tx>
            <c:strRef>
              <c:f>'ohrožení příjmovou chudobou'!$O$16</c:f>
              <c:strCache>
                <c:ptCount val="1"/>
                <c:pt idx="0">
                  <c:v>Strední Morava</c:v>
                </c:pt>
              </c:strCache>
            </c:strRef>
          </c:tx>
          <c:spPr>
            <a:ln w="28575" cap="rnd">
              <a:solidFill>
                <a:schemeClr val="accent1">
                  <a:lumMod val="60000"/>
                </a:schemeClr>
              </a:solidFill>
              <a:round/>
            </a:ln>
            <a:effectLst/>
          </c:spPr>
          <c:marker>
            <c:symbol val="none"/>
          </c:marker>
          <c:cat>
            <c:strRef>
              <c:f>'ohrožení příjmovou chudobou'!$P$9:$AA$9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'ohrožení příjmovou chudobou'!$P$16:$AA$16</c:f>
              <c:numCache>
                <c:formatCode>#,##0.0</c:formatCode>
                <c:ptCount val="12"/>
                <c:pt idx="0">
                  <c:v>12.8</c:v>
                </c:pt>
                <c:pt idx="1">
                  <c:v>11.2</c:v>
                </c:pt>
                <c:pt idx="2">
                  <c:v>11.1</c:v>
                </c:pt>
                <c:pt idx="3">
                  <c:v>10.8</c:v>
                </c:pt>
                <c:pt idx="4">
                  <c:v>11</c:v>
                </c:pt>
                <c:pt idx="5">
                  <c:v>10.1</c:v>
                </c:pt>
                <c:pt idx="6">
                  <c:v>11.3</c:v>
                </c:pt>
                <c:pt idx="7">
                  <c:v>11</c:v>
                </c:pt>
                <c:pt idx="8">
                  <c:v>10.3</c:v>
                </c:pt>
                <c:pt idx="9">
                  <c:v>12.1</c:v>
                </c:pt>
                <c:pt idx="10">
                  <c:v>11.5</c:v>
                </c:pt>
                <c:pt idx="11">
                  <c:v>10.199999999999999</c:v>
                </c:pt>
              </c:numCache>
            </c:numRef>
          </c:val>
          <c:smooth val="0"/>
          <c:extLst>
            <c:ext xmlns:c16="http://schemas.microsoft.com/office/drawing/2014/chart" uri="{C3380CC4-5D6E-409C-BE32-E72D297353CC}">
              <c16:uniqueId val="{00000006-349A-F546-9C9E-275CF78A0107}"/>
            </c:ext>
          </c:extLst>
        </c:ser>
        <c:ser>
          <c:idx val="7"/>
          <c:order val="7"/>
          <c:tx>
            <c:strRef>
              <c:f>'ohrožení příjmovou chudobou'!$O$17</c:f>
              <c:strCache>
                <c:ptCount val="1"/>
                <c:pt idx="0">
                  <c:v>Moravskoslezsko</c:v>
                </c:pt>
              </c:strCache>
            </c:strRef>
          </c:tx>
          <c:spPr>
            <a:ln w="28575" cap="rnd">
              <a:solidFill>
                <a:schemeClr val="accent2">
                  <a:lumMod val="60000"/>
                </a:schemeClr>
              </a:solidFill>
              <a:round/>
            </a:ln>
            <a:effectLst/>
          </c:spPr>
          <c:marker>
            <c:symbol val="none"/>
          </c:marker>
          <c:cat>
            <c:strRef>
              <c:f>'ohrožení příjmovou chudobou'!$P$9:$AA$9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'ohrožení příjmovou chudobou'!$P$17:$AA$17</c:f>
              <c:numCache>
                <c:formatCode>#,##0.0</c:formatCode>
                <c:ptCount val="12"/>
                <c:pt idx="0">
                  <c:v>16.3</c:v>
                </c:pt>
                <c:pt idx="1">
                  <c:v>15.5</c:v>
                </c:pt>
                <c:pt idx="2">
                  <c:v>15.7</c:v>
                </c:pt>
                <c:pt idx="3">
                  <c:v>14.1</c:v>
                </c:pt>
                <c:pt idx="4">
                  <c:v>12.1</c:v>
                </c:pt>
                <c:pt idx="5">
                  <c:v>11.9</c:v>
                </c:pt>
                <c:pt idx="6">
                  <c:v>15.1</c:v>
                </c:pt>
                <c:pt idx="7">
                  <c:v>14.7</c:v>
                </c:pt>
                <c:pt idx="8">
                  <c:v>15.3</c:v>
                </c:pt>
                <c:pt idx="9">
                  <c:v>16</c:v>
                </c:pt>
                <c:pt idx="10">
                  <c:v>16.899999999999999</c:v>
                </c:pt>
                <c:pt idx="11">
                  <c:v>17.399999999999999</c:v>
                </c:pt>
              </c:numCache>
            </c:numRef>
          </c:val>
          <c:smooth val="0"/>
          <c:extLst>
            <c:ext xmlns:c16="http://schemas.microsoft.com/office/drawing/2014/chart" uri="{C3380CC4-5D6E-409C-BE32-E72D297353CC}">
              <c16:uniqueId val="{00000007-349A-F546-9C9E-275CF78A0107}"/>
            </c:ext>
          </c:extLst>
        </c:ser>
        <c:dLbls>
          <c:showLegendKey val="0"/>
          <c:showVal val="0"/>
          <c:showCatName val="0"/>
          <c:showSerName val="0"/>
          <c:showPercent val="0"/>
          <c:showBubbleSize val="0"/>
        </c:dLbls>
        <c:smooth val="0"/>
        <c:axId val="84630528"/>
        <c:axId val="84661376"/>
      </c:lineChart>
      <c:catAx>
        <c:axId val="84630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661376"/>
        <c:crosses val="autoZero"/>
        <c:auto val="1"/>
        <c:lblAlgn val="ctr"/>
        <c:lblOffset val="100"/>
        <c:noMultiLvlLbl val="0"/>
      </c:catAx>
      <c:valAx>
        <c:axId val="84661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cs-CZ" sz="900"/>
                  <a:t>Podíl osob pod hranicí chudoby (%)</a:t>
                </a:r>
              </a:p>
            </c:rich>
          </c:tx>
          <c:layout>
            <c:manualLayout>
              <c:xMode val="edge"/>
              <c:yMode val="edge"/>
              <c:x val="5.5659709203016291E-3"/>
              <c:y val="0.21641402041027766"/>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630528"/>
        <c:crosses val="autoZero"/>
        <c:crossBetween val="between"/>
      </c:valAx>
      <c:spPr>
        <a:noFill/>
        <a:ln w="25400">
          <a:noFill/>
        </a:ln>
      </c:spPr>
    </c:plotArea>
    <c:legend>
      <c:legendPos val="r"/>
      <c:layout>
        <c:manualLayout>
          <c:xMode val="edge"/>
          <c:yMode val="edge"/>
          <c:x val="0.79655442375258645"/>
          <c:y val="0.25635676706330995"/>
          <c:w val="0.20137187712647031"/>
          <c:h val="0.470977193845835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List2!$B$44</c:f>
              <c:strCache>
                <c:ptCount val="1"/>
                <c:pt idx="0">
                  <c:v>Podíl obcí s přírůstkem obyvatelstva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List2!$A$45:$A$60</c:f>
              <c:strCache>
                <c:ptCount val="16"/>
                <c:pt idx="0">
                  <c:v>Hl. m. Praha (M)</c:v>
                </c:pt>
                <c:pt idx="1">
                  <c:v>Středočeský kraj (M)</c:v>
                </c:pt>
                <c:pt idx="2">
                  <c:v>Ústecký kraj</c:v>
                </c:pt>
                <c:pt idx="3">
                  <c:v>Liberecký kraj</c:v>
                </c:pt>
                <c:pt idx="4">
                  <c:v>Královéhradecký kraj</c:v>
                </c:pt>
                <c:pt idx="5">
                  <c:v>Jihomoravský kraj</c:v>
                </c:pt>
                <c:pt idx="6">
                  <c:v>Plzeňský kraj (V)</c:v>
                </c:pt>
                <c:pt idx="7">
                  <c:v>Pardubický kraj (V)</c:v>
                </c:pt>
                <c:pt idx="8">
                  <c:v>Jihočeský kraj (V)</c:v>
                </c:pt>
                <c:pt idx="9">
                  <c:v>Moravskoslezský kraj</c:v>
                </c:pt>
                <c:pt idx="10">
                  <c:v>Zlínský kraj (V)</c:v>
                </c:pt>
                <c:pt idx="11">
                  <c:v>Karlovarský kraj</c:v>
                </c:pt>
                <c:pt idx="12">
                  <c:v>Kraj Vysočina (V)</c:v>
                </c:pt>
                <c:pt idx="13">
                  <c:v>Olomoucký kraj (V)</c:v>
                </c:pt>
                <c:pt idx="15">
                  <c:v>ČR celkem</c:v>
                </c:pt>
              </c:strCache>
            </c:strRef>
          </c:cat>
          <c:val>
            <c:numRef>
              <c:f>List2!$B$45:$B$60</c:f>
              <c:numCache>
                <c:formatCode>0.0</c:formatCode>
                <c:ptCount val="16"/>
                <c:pt idx="0">
                  <c:v>100</c:v>
                </c:pt>
                <c:pt idx="1">
                  <c:v>88.811188811188813</c:v>
                </c:pt>
                <c:pt idx="2">
                  <c:v>78.813559322033896</c:v>
                </c:pt>
                <c:pt idx="3">
                  <c:v>75.813953488372093</c:v>
                </c:pt>
                <c:pt idx="4">
                  <c:v>72.767857142857139</c:v>
                </c:pt>
                <c:pt idx="5">
                  <c:v>70.876671619613674</c:v>
                </c:pt>
                <c:pt idx="6">
                  <c:v>67.265469061876246</c:v>
                </c:pt>
                <c:pt idx="7">
                  <c:v>66.740576496674052</c:v>
                </c:pt>
                <c:pt idx="8">
                  <c:v>66.506410256410248</c:v>
                </c:pt>
                <c:pt idx="9">
                  <c:v>63.666666666666671</c:v>
                </c:pt>
                <c:pt idx="10">
                  <c:v>61.563517915309454</c:v>
                </c:pt>
                <c:pt idx="11">
                  <c:v>61.194029850746269</c:v>
                </c:pt>
                <c:pt idx="12">
                  <c:v>57.67045454545454</c:v>
                </c:pt>
                <c:pt idx="13">
                  <c:v>56.965174129353237</c:v>
                </c:pt>
                <c:pt idx="15">
                  <c:v>70.501757750079889</c:v>
                </c:pt>
              </c:numCache>
            </c:numRef>
          </c:val>
          <c:extLst>
            <c:ext xmlns:c16="http://schemas.microsoft.com/office/drawing/2014/chart" uri="{C3380CC4-5D6E-409C-BE32-E72D297353CC}">
              <c16:uniqueId val="{00000000-C64B-964E-8601-931DDDEEBA0C}"/>
            </c:ext>
          </c:extLst>
        </c:ser>
        <c:ser>
          <c:idx val="1"/>
          <c:order val="1"/>
          <c:tx>
            <c:strRef>
              <c:f>List2!$C$44</c:f>
              <c:strCache>
                <c:ptCount val="1"/>
                <c:pt idx="0">
                  <c:v>s úbytkem obyvatelstva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List2!$A$45:$A$60</c:f>
              <c:strCache>
                <c:ptCount val="16"/>
                <c:pt idx="0">
                  <c:v>Hl. m. Praha (M)</c:v>
                </c:pt>
                <c:pt idx="1">
                  <c:v>Středočeský kraj (M)</c:v>
                </c:pt>
                <c:pt idx="2">
                  <c:v>Ústecký kraj</c:v>
                </c:pt>
                <c:pt idx="3">
                  <c:v>Liberecký kraj</c:v>
                </c:pt>
                <c:pt idx="4">
                  <c:v>Královéhradecký kraj</c:v>
                </c:pt>
                <c:pt idx="5">
                  <c:v>Jihomoravský kraj</c:v>
                </c:pt>
                <c:pt idx="6">
                  <c:v>Plzeňský kraj (V)</c:v>
                </c:pt>
                <c:pt idx="7">
                  <c:v>Pardubický kraj (V)</c:v>
                </c:pt>
                <c:pt idx="8">
                  <c:v>Jihočeský kraj (V)</c:v>
                </c:pt>
                <c:pt idx="9">
                  <c:v>Moravskoslezský kraj</c:v>
                </c:pt>
                <c:pt idx="10">
                  <c:v>Zlínský kraj (V)</c:v>
                </c:pt>
                <c:pt idx="11">
                  <c:v>Karlovarský kraj</c:v>
                </c:pt>
                <c:pt idx="12">
                  <c:v>Kraj Vysočina (V)</c:v>
                </c:pt>
                <c:pt idx="13">
                  <c:v>Olomoucký kraj (V)</c:v>
                </c:pt>
                <c:pt idx="15">
                  <c:v>ČR celkem</c:v>
                </c:pt>
              </c:strCache>
            </c:strRef>
          </c:cat>
          <c:val>
            <c:numRef>
              <c:f>List2!$C$45:$C$60</c:f>
              <c:numCache>
                <c:formatCode>0.0</c:formatCode>
                <c:ptCount val="16"/>
                <c:pt idx="0">
                  <c:v>0</c:v>
                </c:pt>
                <c:pt idx="1">
                  <c:v>11.188811188811188</c:v>
                </c:pt>
                <c:pt idx="2">
                  <c:v>21.1864406779661</c:v>
                </c:pt>
                <c:pt idx="3">
                  <c:v>24.186046511627907</c:v>
                </c:pt>
                <c:pt idx="4">
                  <c:v>27.232142857142854</c:v>
                </c:pt>
                <c:pt idx="5">
                  <c:v>29.123328380386333</c:v>
                </c:pt>
                <c:pt idx="6">
                  <c:v>32.734530938123754</c:v>
                </c:pt>
                <c:pt idx="7">
                  <c:v>33.259423503325941</c:v>
                </c:pt>
                <c:pt idx="8">
                  <c:v>33.493589743589745</c:v>
                </c:pt>
                <c:pt idx="9">
                  <c:v>36.333333333333336</c:v>
                </c:pt>
                <c:pt idx="10">
                  <c:v>38.436482084690553</c:v>
                </c:pt>
                <c:pt idx="11">
                  <c:v>38.805970149253731</c:v>
                </c:pt>
                <c:pt idx="12">
                  <c:v>42.329545454545453</c:v>
                </c:pt>
                <c:pt idx="13">
                  <c:v>43.034825870646763</c:v>
                </c:pt>
                <c:pt idx="15">
                  <c:v>29.498242249920104</c:v>
                </c:pt>
              </c:numCache>
            </c:numRef>
          </c:val>
          <c:extLst>
            <c:ext xmlns:c16="http://schemas.microsoft.com/office/drawing/2014/chart" uri="{C3380CC4-5D6E-409C-BE32-E72D297353CC}">
              <c16:uniqueId val="{00000001-C64B-964E-8601-931DDDEEBA0C}"/>
            </c:ext>
          </c:extLst>
        </c:ser>
        <c:dLbls>
          <c:showLegendKey val="0"/>
          <c:showVal val="0"/>
          <c:showCatName val="0"/>
          <c:showSerName val="0"/>
          <c:showPercent val="0"/>
          <c:showBubbleSize val="0"/>
        </c:dLbls>
        <c:gapWidth val="150"/>
        <c:overlap val="100"/>
        <c:axId val="172929024"/>
        <c:axId val="172930560"/>
      </c:barChart>
      <c:catAx>
        <c:axId val="17292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2930560"/>
        <c:crosses val="autoZero"/>
        <c:auto val="1"/>
        <c:lblAlgn val="ctr"/>
        <c:lblOffset val="100"/>
        <c:noMultiLvlLbl val="0"/>
      </c:catAx>
      <c:valAx>
        <c:axId val="17293056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2929024"/>
        <c:crosses val="autoZero"/>
        <c:crossBetween val="between"/>
      </c:valAx>
      <c:spPr>
        <a:noFill/>
        <a:ln>
          <a:noFill/>
        </a:ln>
        <a:effectLst/>
      </c:spPr>
    </c:plotArea>
    <c:legend>
      <c:legendPos val="b"/>
      <c:layout>
        <c:manualLayout>
          <c:xMode val="edge"/>
          <c:yMode val="edge"/>
          <c:x val="7.5226210346724829E-3"/>
          <c:y val="0.88128856534442623"/>
          <c:w val="0.97027478141861745"/>
          <c:h val="8.09755855989699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56969267730423"/>
          <c:y val="7.3760468738088253E-2"/>
          <c:w val="0.87217986640558831"/>
          <c:h val="0.75593164962263537"/>
        </c:manualLayout>
      </c:layout>
      <c:barChart>
        <c:barDir val="col"/>
        <c:grouping val="clustered"/>
        <c:varyColors val="0"/>
        <c:ser>
          <c:idx val="0"/>
          <c:order val="0"/>
          <c:tx>
            <c:strRef>
              <c:f>'míra materiální deprivace'!$A$22</c:f>
              <c:strCache>
                <c:ptCount val="1"/>
                <c:pt idx="0">
                  <c:v>Czech Republic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'míra materiální deprivace'!$B$21:$N$21</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'míra materiální deprivace'!$B$22:$N$22</c:f>
              <c:numCache>
                <c:formatCode>#,##0.0</c:formatCode>
                <c:ptCount val="13"/>
                <c:pt idx="0">
                  <c:v>11.8</c:v>
                </c:pt>
                <c:pt idx="1">
                  <c:v>9.6</c:v>
                </c:pt>
                <c:pt idx="2">
                  <c:v>7.4</c:v>
                </c:pt>
                <c:pt idx="3">
                  <c:v>6.8</c:v>
                </c:pt>
                <c:pt idx="4">
                  <c:v>6.1</c:v>
                </c:pt>
                <c:pt idx="5">
                  <c:v>6.2</c:v>
                </c:pt>
                <c:pt idx="6">
                  <c:v>6.1</c:v>
                </c:pt>
                <c:pt idx="7">
                  <c:v>6.6</c:v>
                </c:pt>
                <c:pt idx="8">
                  <c:v>6.6</c:v>
                </c:pt>
                <c:pt idx="9">
                  <c:v>6.7</c:v>
                </c:pt>
                <c:pt idx="10">
                  <c:v>5.6</c:v>
                </c:pt>
                <c:pt idx="11">
                  <c:v>4.8</c:v>
                </c:pt>
                <c:pt idx="12">
                  <c:v>3.7</c:v>
                </c:pt>
              </c:numCache>
            </c:numRef>
          </c:val>
          <c:extLst>
            <c:ext xmlns:c16="http://schemas.microsoft.com/office/drawing/2014/chart" uri="{C3380CC4-5D6E-409C-BE32-E72D297353CC}">
              <c16:uniqueId val="{00000000-8D1B-314D-99E5-B33AE12D549F}"/>
            </c:ext>
          </c:extLst>
        </c:ser>
        <c:dLbls>
          <c:showLegendKey val="0"/>
          <c:showVal val="0"/>
          <c:showCatName val="0"/>
          <c:showSerName val="0"/>
          <c:showPercent val="0"/>
          <c:showBubbleSize val="0"/>
        </c:dLbls>
        <c:gapWidth val="219"/>
        <c:overlap val="-27"/>
        <c:axId val="84760448"/>
        <c:axId val="84766720"/>
      </c:barChart>
      <c:catAx>
        <c:axId val="84760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sz="1000"/>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766720"/>
        <c:crosses val="autoZero"/>
        <c:auto val="1"/>
        <c:lblAlgn val="ctr"/>
        <c:lblOffset val="100"/>
        <c:noMultiLvlLbl val="0"/>
      </c:catAx>
      <c:valAx>
        <c:axId val="8476672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cs-CZ" sz="900"/>
                  <a:t>Míra materální deprivace (v %)</a:t>
                </a:r>
              </a:p>
            </c:rich>
          </c:tx>
          <c:layout>
            <c:manualLayout>
              <c:xMode val="edge"/>
              <c:yMode val="edge"/>
              <c:x val="1.1838450749211905E-2"/>
              <c:y val="0.13733454991945748"/>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76044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69844047271869"/>
          <c:y val="7.4251425468368173E-2"/>
          <c:w val="0.71171190406754703"/>
          <c:h val="0.77644854737985325"/>
        </c:manualLayout>
      </c:layout>
      <c:lineChart>
        <c:grouping val="standard"/>
        <c:varyColors val="0"/>
        <c:ser>
          <c:idx val="0"/>
          <c:order val="0"/>
          <c:tx>
            <c:strRef>
              <c:f>'míra materiální deprivace'!$O$10</c:f>
              <c:strCache>
                <c:ptCount val="1"/>
                <c:pt idx="0">
                  <c:v>Praha</c:v>
                </c:pt>
              </c:strCache>
            </c:strRef>
          </c:tx>
          <c:spPr>
            <a:ln w="28575" cap="rnd">
              <a:solidFill>
                <a:schemeClr val="accent1"/>
              </a:solidFill>
              <a:round/>
            </a:ln>
            <a:effectLst/>
          </c:spPr>
          <c:marker>
            <c:symbol val="none"/>
          </c:marker>
          <c:cat>
            <c:strRef>
              <c:f>'míra materiální deprivace'!$P$9:$AA$9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'míra materiální deprivace'!$P$10:$AA$10</c:f>
              <c:numCache>
                <c:formatCode>#,##0.0</c:formatCode>
                <c:ptCount val="12"/>
                <c:pt idx="0">
                  <c:v>9</c:v>
                </c:pt>
                <c:pt idx="1">
                  <c:v>7.1</c:v>
                </c:pt>
                <c:pt idx="2">
                  <c:v>4.0999999999999996</c:v>
                </c:pt>
                <c:pt idx="3">
                  <c:v>4.5</c:v>
                </c:pt>
                <c:pt idx="4">
                  <c:v>4.5999999999999996</c:v>
                </c:pt>
                <c:pt idx="5">
                  <c:v>4.2</c:v>
                </c:pt>
                <c:pt idx="6">
                  <c:v>3.7</c:v>
                </c:pt>
                <c:pt idx="7">
                  <c:v>6</c:v>
                </c:pt>
                <c:pt idx="8">
                  <c:v>5.0999999999999996</c:v>
                </c:pt>
                <c:pt idx="9">
                  <c:v>5.9</c:v>
                </c:pt>
                <c:pt idx="10">
                  <c:v>5.0999999999999996</c:v>
                </c:pt>
                <c:pt idx="11">
                  <c:v>3.9</c:v>
                </c:pt>
              </c:numCache>
            </c:numRef>
          </c:val>
          <c:smooth val="0"/>
          <c:extLst>
            <c:ext xmlns:c16="http://schemas.microsoft.com/office/drawing/2014/chart" uri="{C3380CC4-5D6E-409C-BE32-E72D297353CC}">
              <c16:uniqueId val="{00000000-0F4A-F043-A07B-811400ABFBF2}"/>
            </c:ext>
          </c:extLst>
        </c:ser>
        <c:ser>
          <c:idx val="1"/>
          <c:order val="1"/>
          <c:tx>
            <c:strRef>
              <c:f>'míra materiální deprivace'!$O$11</c:f>
              <c:strCache>
                <c:ptCount val="1"/>
                <c:pt idx="0">
                  <c:v>Strední Cechy</c:v>
                </c:pt>
              </c:strCache>
            </c:strRef>
          </c:tx>
          <c:spPr>
            <a:ln w="28575" cap="rnd">
              <a:solidFill>
                <a:schemeClr val="accent2"/>
              </a:solidFill>
              <a:round/>
            </a:ln>
            <a:effectLst/>
          </c:spPr>
          <c:marker>
            <c:symbol val="none"/>
          </c:marker>
          <c:cat>
            <c:strRef>
              <c:f>'míra materiální deprivace'!$P$9:$AA$9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'míra materiální deprivace'!$P$11:$AA$11</c:f>
              <c:numCache>
                <c:formatCode>#,##0.0</c:formatCode>
                <c:ptCount val="12"/>
                <c:pt idx="0">
                  <c:v>8.1</c:v>
                </c:pt>
                <c:pt idx="1">
                  <c:v>11.7</c:v>
                </c:pt>
                <c:pt idx="2">
                  <c:v>6.6</c:v>
                </c:pt>
                <c:pt idx="3">
                  <c:v>4.7</c:v>
                </c:pt>
                <c:pt idx="4">
                  <c:v>3.8</c:v>
                </c:pt>
                <c:pt idx="5">
                  <c:v>4.9000000000000004</c:v>
                </c:pt>
                <c:pt idx="6">
                  <c:v>2.9</c:v>
                </c:pt>
                <c:pt idx="7">
                  <c:v>4.8</c:v>
                </c:pt>
                <c:pt idx="8">
                  <c:v>4.3</c:v>
                </c:pt>
                <c:pt idx="9">
                  <c:v>3.7</c:v>
                </c:pt>
                <c:pt idx="10">
                  <c:v>4.0999999999999996</c:v>
                </c:pt>
                <c:pt idx="11">
                  <c:v>3.7</c:v>
                </c:pt>
              </c:numCache>
            </c:numRef>
          </c:val>
          <c:smooth val="0"/>
          <c:extLst>
            <c:ext xmlns:c16="http://schemas.microsoft.com/office/drawing/2014/chart" uri="{C3380CC4-5D6E-409C-BE32-E72D297353CC}">
              <c16:uniqueId val="{00000001-0F4A-F043-A07B-811400ABFBF2}"/>
            </c:ext>
          </c:extLst>
        </c:ser>
        <c:ser>
          <c:idx val="2"/>
          <c:order val="2"/>
          <c:tx>
            <c:strRef>
              <c:f>'míra materiální deprivace'!$O$12</c:f>
              <c:strCache>
                <c:ptCount val="1"/>
                <c:pt idx="0">
                  <c:v>Jihozápad</c:v>
                </c:pt>
              </c:strCache>
            </c:strRef>
          </c:tx>
          <c:spPr>
            <a:ln w="28575" cap="rnd">
              <a:solidFill>
                <a:schemeClr val="accent3"/>
              </a:solidFill>
              <a:round/>
            </a:ln>
            <a:effectLst/>
          </c:spPr>
          <c:marker>
            <c:symbol val="none"/>
          </c:marker>
          <c:cat>
            <c:strRef>
              <c:f>'míra materiální deprivace'!$P$9:$AA$9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'míra materiální deprivace'!$P$12:$AA$12</c:f>
              <c:numCache>
                <c:formatCode>#,##0.0</c:formatCode>
                <c:ptCount val="12"/>
                <c:pt idx="0">
                  <c:v>6.6</c:v>
                </c:pt>
                <c:pt idx="1">
                  <c:v>4.9000000000000004</c:v>
                </c:pt>
                <c:pt idx="2">
                  <c:v>5.4</c:v>
                </c:pt>
                <c:pt idx="3">
                  <c:v>5.3</c:v>
                </c:pt>
                <c:pt idx="4">
                  <c:v>7.7</c:v>
                </c:pt>
                <c:pt idx="5">
                  <c:v>7.2</c:v>
                </c:pt>
                <c:pt idx="6">
                  <c:v>7.6</c:v>
                </c:pt>
                <c:pt idx="7">
                  <c:v>5.5</c:v>
                </c:pt>
                <c:pt idx="8">
                  <c:v>4.5</c:v>
                </c:pt>
                <c:pt idx="9">
                  <c:v>3.4</c:v>
                </c:pt>
                <c:pt idx="10">
                  <c:v>3.8</c:v>
                </c:pt>
                <c:pt idx="11">
                  <c:v>2.2000000000000002</c:v>
                </c:pt>
              </c:numCache>
            </c:numRef>
          </c:val>
          <c:smooth val="0"/>
          <c:extLst>
            <c:ext xmlns:c16="http://schemas.microsoft.com/office/drawing/2014/chart" uri="{C3380CC4-5D6E-409C-BE32-E72D297353CC}">
              <c16:uniqueId val="{00000002-0F4A-F043-A07B-811400ABFBF2}"/>
            </c:ext>
          </c:extLst>
        </c:ser>
        <c:ser>
          <c:idx val="3"/>
          <c:order val="3"/>
          <c:tx>
            <c:strRef>
              <c:f>'míra materiální deprivace'!$O$13</c:f>
              <c:strCache>
                <c:ptCount val="1"/>
                <c:pt idx="0">
                  <c:v>Severozápad</c:v>
                </c:pt>
              </c:strCache>
            </c:strRef>
          </c:tx>
          <c:spPr>
            <a:ln w="28575" cap="rnd">
              <a:solidFill>
                <a:schemeClr val="accent4"/>
              </a:solidFill>
              <a:round/>
            </a:ln>
            <a:effectLst/>
          </c:spPr>
          <c:marker>
            <c:symbol val="none"/>
          </c:marker>
          <c:cat>
            <c:strRef>
              <c:f>'míra materiální deprivace'!$P$9:$AA$9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'míra materiální deprivace'!$P$13:$AA$13</c:f>
              <c:numCache>
                <c:formatCode>#,##0.0</c:formatCode>
                <c:ptCount val="12"/>
                <c:pt idx="0">
                  <c:v>16</c:v>
                </c:pt>
                <c:pt idx="1">
                  <c:v>11.5</c:v>
                </c:pt>
                <c:pt idx="2">
                  <c:v>12.1</c:v>
                </c:pt>
                <c:pt idx="3">
                  <c:v>12.2</c:v>
                </c:pt>
                <c:pt idx="4">
                  <c:v>9.8000000000000007</c:v>
                </c:pt>
                <c:pt idx="5">
                  <c:v>9.3000000000000007</c:v>
                </c:pt>
                <c:pt idx="6">
                  <c:v>9.8000000000000007</c:v>
                </c:pt>
                <c:pt idx="7">
                  <c:v>11.6</c:v>
                </c:pt>
                <c:pt idx="8">
                  <c:v>13.4</c:v>
                </c:pt>
                <c:pt idx="9">
                  <c:v>13.5</c:v>
                </c:pt>
                <c:pt idx="10">
                  <c:v>12.1</c:v>
                </c:pt>
                <c:pt idx="11">
                  <c:v>9.8000000000000007</c:v>
                </c:pt>
              </c:numCache>
            </c:numRef>
          </c:val>
          <c:smooth val="0"/>
          <c:extLst>
            <c:ext xmlns:c16="http://schemas.microsoft.com/office/drawing/2014/chart" uri="{C3380CC4-5D6E-409C-BE32-E72D297353CC}">
              <c16:uniqueId val="{00000003-0F4A-F043-A07B-811400ABFBF2}"/>
            </c:ext>
          </c:extLst>
        </c:ser>
        <c:ser>
          <c:idx val="4"/>
          <c:order val="4"/>
          <c:tx>
            <c:strRef>
              <c:f>'míra materiální deprivace'!$O$14</c:f>
              <c:strCache>
                <c:ptCount val="1"/>
                <c:pt idx="0">
                  <c:v>Severovýchod</c:v>
                </c:pt>
              </c:strCache>
            </c:strRef>
          </c:tx>
          <c:spPr>
            <a:ln w="28575" cap="rnd">
              <a:solidFill>
                <a:schemeClr val="accent5"/>
              </a:solidFill>
              <a:round/>
            </a:ln>
            <a:effectLst/>
          </c:spPr>
          <c:marker>
            <c:symbol val="none"/>
          </c:marker>
          <c:cat>
            <c:strRef>
              <c:f>'míra materiální deprivace'!$P$9:$AA$9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'míra materiální deprivace'!$P$14:$AA$14</c:f>
              <c:numCache>
                <c:formatCode>#,##0.0</c:formatCode>
                <c:ptCount val="12"/>
                <c:pt idx="0">
                  <c:v>13.1</c:v>
                </c:pt>
                <c:pt idx="1">
                  <c:v>8.5</c:v>
                </c:pt>
                <c:pt idx="2">
                  <c:v>7</c:v>
                </c:pt>
                <c:pt idx="3">
                  <c:v>6.1</c:v>
                </c:pt>
                <c:pt idx="4">
                  <c:v>4.9000000000000004</c:v>
                </c:pt>
                <c:pt idx="5">
                  <c:v>3.8</c:v>
                </c:pt>
                <c:pt idx="6">
                  <c:v>6.1</c:v>
                </c:pt>
                <c:pt idx="7">
                  <c:v>5.0999999999999996</c:v>
                </c:pt>
                <c:pt idx="8">
                  <c:v>4.9000000000000004</c:v>
                </c:pt>
                <c:pt idx="9">
                  <c:v>5.3</c:v>
                </c:pt>
                <c:pt idx="10">
                  <c:v>2.2999999999999998</c:v>
                </c:pt>
                <c:pt idx="11">
                  <c:v>3.2</c:v>
                </c:pt>
              </c:numCache>
            </c:numRef>
          </c:val>
          <c:smooth val="0"/>
          <c:extLst>
            <c:ext xmlns:c16="http://schemas.microsoft.com/office/drawing/2014/chart" uri="{C3380CC4-5D6E-409C-BE32-E72D297353CC}">
              <c16:uniqueId val="{00000004-0F4A-F043-A07B-811400ABFBF2}"/>
            </c:ext>
          </c:extLst>
        </c:ser>
        <c:ser>
          <c:idx val="5"/>
          <c:order val="5"/>
          <c:tx>
            <c:strRef>
              <c:f>'míra materiální deprivace'!$O$15</c:f>
              <c:strCache>
                <c:ptCount val="1"/>
                <c:pt idx="0">
                  <c:v>Jihovýchod</c:v>
                </c:pt>
              </c:strCache>
            </c:strRef>
          </c:tx>
          <c:spPr>
            <a:ln w="28575" cap="rnd">
              <a:solidFill>
                <a:schemeClr val="accent6"/>
              </a:solidFill>
              <a:round/>
            </a:ln>
            <a:effectLst/>
          </c:spPr>
          <c:marker>
            <c:symbol val="none"/>
          </c:marker>
          <c:cat>
            <c:strRef>
              <c:f>'míra materiální deprivace'!$P$9:$AA$9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'míra materiální deprivace'!$P$15:$AA$15</c:f>
              <c:numCache>
                <c:formatCode>#,##0.0</c:formatCode>
                <c:ptCount val="12"/>
                <c:pt idx="0">
                  <c:v>8.1999999999999993</c:v>
                </c:pt>
                <c:pt idx="1">
                  <c:v>7.9</c:v>
                </c:pt>
                <c:pt idx="2">
                  <c:v>5.8</c:v>
                </c:pt>
                <c:pt idx="3">
                  <c:v>5.3</c:v>
                </c:pt>
                <c:pt idx="4">
                  <c:v>4.4000000000000004</c:v>
                </c:pt>
                <c:pt idx="5">
                  <c:v>5</c:v>
                </c:pt>
                <c:pt idx="6">
                  <c:v>3.7</c:v>
                </c:pt>
                <c:pt idx="7">
                  <c:v>5.0999999999999996</c:v>
                </c:pt>
                <c:pt idx="8">
                  <c:v>4.9000000000000004</c:v>
                </c:pt>
                <c:pt idx="9">
                  <c:v>4.5</c:v>
                </c:pt>
                <c:pt idx="10">
                  <c:v>3.8</c:v>
                </c:pt>
                <c:pt idx="11">
                  <c:v>3.7</c:v>
                </c:pt>
              </c:numCache>
            </c:numRef>
          </c:val>
          <c:smooth val="0"/>
          <c:extLst>
            <c:ext xmlns:c16="http://schemas.microsoft.com/office/drawing/2014/chart" uri="{C3380CC4-5D6E-409C-BE32-E72D297353CC}">
              <c16:uniqueId val="{00000005-0F4A-F043-A07B-811400ABFBF2}"/>
            </c:ext>
          </c:extLst>
        </c:ser>
        <c:ser>
          <c:idx val="6"/>
          <c:order val="6"/>
          <c:tx>
            <c:strRef>
              <c:f>'míra materiální deprivace'!$O$16</c:f>
              <c:strCache>
                <c:ptCount val="1"/>
                <c:pt idx="0">
                  <c:v>Strední Morava</c:v>
                </c:pt>
              </c:strCache>
            </c:strRef>
          </c:tx>
          <c:spPr>
            <a:ln w="28575" cap="rnd">
              <a:solidFill>
                <a:schemeClr val="accent1">
                  <a:lumMod val="60000"/>
                </a:schemeClr>
              </a:solidFill>
              <a:round/>
            </a:ln>
            <a:effectLst/>
          </c:spPr>
          <c:marker>
            <c:symbol val="none"/>
          </c:marker>
          <c:cat>
            <c:strRef>
              <c:f>'míra materiální deprivace'!$P$9:$AA$9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'míra materiální deprivace'!$P$16:$AA$16</c:f>
              <c:numCache>
                <c:formatCode>#,##0.0</c:formatCode>
                <c:ptCount val="12"/>
                <c:pt idx="0">
                  <c:v>13.6</c:v>
                </c:pt>
                <c:pt idx="1">
                  <c:v>12.4</c:v>
                </c:pt>
                <c:pt idx="2">
                  <c:v>6.7</c:v>
                </c:pt>
                <c:pt idx="3">
                  <c:v>6.9</c:v>
                </c:pt>
                <c:pt idx="4">
                  <c:v>6.7</c:v>
                </c:pt>
                <c:pt idx="5">
                  <c:v>6.1</c:v>
                </c:pt>
                <c:pt idx="6">
                  <c:v>6.5</c:v>
                </c:pt>
                <c:pt idx="7">
                  <c:v>7</c:v>
                </c:pt>
                <c:pt idx="8">
                  <c:v>6.7</c:v>
                </c:pt>
                <c:pt idx="9">
                  <c:v>7.7</c:v>
                </c:pt>
                <c:pt idx="10">
                  <c:v>6</c:v>
                </c:pt>
                <c:pt idx="11">
                  <c:v>3.4</c:v>
                </c:pt>
              </c:numCache>
            </c:numRef>
          </c:val>
          <c:smooth val="0"/>
          <c:extLst>
            <c:ext xmlns:c16="http://schemas.microsoft.com/office/drawing/2014/chart" uri="{C3380CC4-5D6E-409C-BE32-E72D297353CC}">
              <c16:uniqueId val="{00000006-0F4A-F043-A07B-811400ABFBF2}"/>
            </c:ext>
          </c:extLst>
        </c:ser>
        <c:ser>
          <c:idx val="7"/>
          <c:order val="7"/>
          <c:tx>
            <c:strRef>
              <c:f>'míra materiální deprivace'!$O$17</c:f>
              <c:strCache>
                <c:ptCount val="1"/>
                <c:pt idx="0">
                  <c:v>Moravskoslezsko</c:v>
                </c:pt>
              </c:strCache>
            </c:strRef>
          </c:tx>
          <c:spPr>
            <a:ln w="28575" cap="rnd">
              <a:solidFill>
                <a:schemeClr val="accent2">
                  <a:lumMod val="60000"/>
                </a:schemeClr>
              </a:solidFill>
              <a:round/>
            </a:ln>
            <a:effectLst/>
          </c:spPr>
          <c:marker>
            <c:symbol val="none"/>
          </c:marker>
          <c:cat>
            <c:strRef>
              <c:f>'míra materiální deprivace'!$P$9:$AA$9</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'míra materiální deprivace'!$P$17:$AA$17</c:f>
              <c:numCache>
                <c:formatCode>#,##0.0</c:formatCode>
                <c:ptCount val="12"/>
                <c:pt idx="0">
                  <c:v>19.899999999999999</c:v>
                </c:pt>
                <c:pt idx="1">
                  <c:v>13.9</c:v>
                </c:pt>
                <c:pt idx="2">
                  <c:v>11.7</c:v>
                </c:pt>
                <c:pt idx="3">
                  <c:v>10.5</c:v>
                </c:pt>
                <c:pt idx="4">
                  <c:v>8.5</c:v>
                </c:pt>
                <c:pt idx="5">
                  <c:v>10.199999999999999</c:v>
                </c:pt>
                <c:pt idx="6">
                  <c:v>10.199999999999999</c:v>
                </c:pt>
                <c:pt idx="7">
                  <c:v>9.3000000000000007</c:v>
                </c:pt>
                <c:pt idx="8">
                  <c:v>10.6</c:v>
                </c:pt>
                <c:pt idx="9">
                  <c:v>11.9</c:v>
                </c:pt>
                <c:pt idx="10">
                  <c:v>9.5</c:v>
                </c:pt>
                <c:pt idx="11">
                  <c:v>9.8000000000000007</c:v>
                </c:pt>
              </c:numCache>
            </c:numRef>
          </c:val>
          <c:smooth val="0"/>
          <c:extLst>
            <c:ext xmlns:c16="http://schemas.microsoft.com/office/drawing/2014/chart" uri="{C3380CC4-5D6E-409C-BE32-E72D297353CC}">
              <c16:uniqueId val="{00000007-0F4A-F043-A07B-811400ABFBF2}"/>
            </c:ext>
          </c:extLst>
        </c:ser>
        <c:dLbls>
          <c:showLegendKey val="0"/>
          <c:showVal val="0"/>
          <c:showCatName val="0"/>
          <c:showSerName val="0"/>
          <c:showPercent val="0"/>
          <c:showBubbleSize val="0"/>
        </c:dLbls>
        <c:smooth val="0"/>
        <c:axId val="84857216"/>
        <c:axId val="84859136"/>
      </c:lineChart>
      <c:catAx>
        <c:axId val="8485721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cs-CZ" sz="900"/>
                  <a:t>Rok</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859136"/>
        <c:crosses val="autoZero"/>
        <c:auto val="1"/>
        <c:lblAlgn val="ctr"/>
        <c:lblOffset val="100"/>
        <c:noMultiLvlLbl val="0"/>
      </c:catAx>
      <c:valAx>
        <c:axId val="84859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cs-CZ" sz="900"/>
                  <a:t>Míra materiální deprivace (v %)</a:t>
                </a:r>
              </a:p>
            </c:rich>
          </c:tx>
          <c:layout>
            <c:manualLayout>
              <c:xMode val="edge"/>
              <c:yMode val="edge"/>
              <c:x val="1.7587384910219557E-2"/>
              <c:y val="0.21552104262829216"/>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857216"/>
        <c:crosses val="autoZero"/>
        <c:crossBetween val="between"/>
      </c:valAx>
      <c:spPr>
        <a:noFill/>
        <a:ln w="25400">
          <a:noFill/>
        </a:ln>
      </c:spPr>
    </c:plotArea>
    <c:legend>
      <c:legendPos val="r"/>
      <c:layout>
        <c:manualLayout>
          <c:xMode val="edge"/>
          <c:yMode val="edge"/>
          <c:x val="0.81231408573928254"/>
          <c:y val="0.26801921745275947"/>
          <c:w val="0.18520358566290324"/>
          <c:h val="0.4051354092102122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36510713938537"/>
          <c:y val="7.7689929169812669E-2"/>
          <c:w val="0.87438445194350711"/>
          <c:h val="0.76015676122676468"/>
        </c:manualLayout>
      </c:layout>
      <c:barChart>
        <c:barDir val="col"/>
        <c:grouping val="clustered"/>
        <c:varyColors val="0"/>
        <c:ser>
          <c:idx val="0"/>
          <c:order val="0"/>
          <c:tx>
            <c:strRef>
              <c:f>'pracovní intenzita domácností'!$A$24</c:f>
              <c:strCache>
                <c:ptCount val="1"/>
                <c:pt idx="0">
                  <c:v>Czech Republic</c:v>
                </c:pt>
              </c:strCache>
            </c:strRef>
          </c:tx>
          <c:spPr>
            <a:solidFill>
              <a:srgbClr val="4472C4"/>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'pracovní intenzita domácností'!$B$23:$N$23</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'pracovní intenzita domácností'!$B$24:$N$24</c:f>
              <c:numCache>
                <c:formatCode>#,##0.0</c:formatCode>
                <c:ptCount val="13"/>
                <c:pt idx="0">
                  <c:v>8.8000000000000007</c:v>
                </c:pt>
                <c:pt idx="1">
                  <c:v>8.9</c:v>
                </c:pt>
                <c:pt idx="2">
                  <c:v>8.6</c:v>
                </c:pt>
                <c:pt idx="3">
                  <c:v>7.2</c:v>
                </c:pt>
                <c:pt idx="4">
                  <c:v>6</c:v>
                </c:pt>
                <c:pt idx="5">
                  <c:v>6.4</c:v>
                </c:pt>
                <c:pt idx="6">
                  <c:v>6.6</c:v>
                </c:pt>
                <c:pt idx="7">
                  <c:v>6.8</c:v>
                </c:pt>
                <c:pt idx="8">
                  <c:v>6.9</c:v>
                </c:pt>
                <c:pt idx="9">
                  <c:v>7.6</c:v>
                </c:pt>
                <c:pt idx="10">
                  <c:v>6.8</c:v>
                </c:pt>
                <c:pt idx="11">
                  <c:v>6.7</c:v>
                </c:pt>
                <c:pt idx="12">
                  <c:v>5.5</c:v>
                </c:pt>
              </c:numCache>
            </c:numRef>
          </c:val>
          <c:extLst>
            <c:ext xmlns:c16="http://schemas.microsoft.com/office/drawing/2014/chart" uri="{C3380CC4-5D6E-409C-BE32-E72D297353CC}">
              <c16:uniqueId val="{00000000-2C8F-F44B-A84B-2F57201AB09C}"/>
            </c:ext>
          </c:extLst>
        </c:ser>
        <c:dLbls>
          <c:showLegendKey val="0"/>
          <c:showVal val="0"/>
          <c:showCatName val="0"/>
          <c:showSerName val="0"/>
          <c:showPercent val="0"/>
          <c:showBubbleSize val="0"/>
        </c:dLbls>
        <c:gapWidth val="219"/>
        <c:overlap val="-27"/>
        <c:axId val="89263488"/>
        <c:axId val="89273856"/>
      </c:barChart>
      <c:catAx>
        <c:axId val="89263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9273856"/>
        <c:crosses val="autoZero"/>
        <c:auto val="1"/>
        <c:lblAlgn val="ctr"/>
        <c:lblOffset val="100"/>
        <c:noMultiLvlLbl val="0"/>
      </c:catAx>
      <c:valAx>
        <c:axId val="8927385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cs-CZ" sz="900"/>
                  <a:t>Míra nízké</a:t>
                </a:r>
                <a:r>
                  <a:rPr lang="cs-CZ" sz="900" baseline="0"/>
                  <a:t> pracovní intenzity (v%)</a:t>
                </a:r>
              </a:p>
            </c:rich>
          </c:tx>
          <c:layout>
            <c:manualLayout>
              <c:xMode val="edge"/>
              <c:yMode val="edge"/>
              <c:x val="1.5432098765432098E-2"/>
              <c:y val="0.15454859238485599"/>
            </c:manualLayout>
          </c:layout>
          <c:overlay val="0"/>
          <c:spPr>
            <a:noFill/>
            <a:ln w="25400">
              <a:noFill/>
            </a:ln>
          </c:spPr>
        </c:title>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926348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56969267730423"/>
          <c:y val="7.7518945146693455E-2"/>
          <c:w val="0.70601990723381791"/>
          <c:h val="0.79772549202862997"/>
        </c:manualLayout>
      </c:layout>
      <c:lineChart>
        <c:grouping val="standard"/>
        <c:varyColors val="0"/>
        <c:ser>
          <c:idx val="0"/>
          <c:order val="0"/>
          <c:tx>
            <c:strRef>
              <c:f>'pracovní intenzita domácností'!$O$10</c:f>
              <c:strCache>
                <c:ptCount val="1"/>
                <c:pt idx="0">
                  <c:v>Praha</c:v>
                </c:pt>
              </c:strCache>
            </c:strRef>
          </c:tx>
          <c:spPr>
            <a:ln w="28575" cap="rnd">
              <a:solidFill>
                <a:schemeClr val="accent1"/>
              </a:solidFill>
              <a:round/>
            </a:ln>
            <a:effectLst/>
          </c:spPr>
          <c:marker>
            <c:symbol val="none"/>
          </c:marker>
          <c:cat>
            <c:strRef>
              <c:f>'pracovní intenzita domácností'!$P$9:$AB$9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'pracovní intenzita domácností'!$P$10:$AB$10</c:f>
              <c:numCache>
                <c:formatCode>#,##0.0</c:formatCode>
                <c:ptCount val="13"/>
                <c:pt idx="0">
                  <c:v>2.8</c:v>
                </c:pt>
                <c:pt idx="1">
                  <c:v>4.7</c:v>
                </c:pt>
                <c:pt idx="2">
                  <c:v>4.5999999999999996</c:v>
                </c:pt>
                <c:pt idx="3">
                  <c:v>2.7</c:v>
                </c:pt>
                <c:pt idx="4">
                  <c:v>4.7</c:v>
                </c:pt>
                <c:pt idx="5">
                  <c:v>2.2999999999999998</c:v>
                </c:pt>
                <c:pt idx="6">
                  <c:v>3.7</c:v>
                </c:pt>
                <c:pt idx="7">
                  <c:v>4.5</c:v>
                </c:pt>
                <c:pt idx="8">
                  <c:v>5.9</c:v>
                </c:pt>
                <c:pt idx="9">
                  <c:v>5.7</c:v>
                </c:pt>
                <c:pt idx="10">
                  <c:v>4</c:v>
                </c:pt>
                <c:pt idx="11">
                  <c:v>2.1</c:v>
                </c:pt>
                <c:pt idx="12">
                  <c:v>2.5</c:v>
                </c:pt>
              </c:numCache>
            </c:numRef>
          </c:val>
          <c:smooth val="0"/>
          <c:extLst>
            <c:ext xmlns:c16="http://schemas.microsoft.com/office/drawing/2014/chart" uri="{C3380CC4-5D6E-409C-BE32-E72D297353CC}">
              <c16:uniqueId val="{00000000-2F8C-3843-92B9-CDE19838146C}"/>
            </c:ext>
          </c:extLst>
        </c:ser>
        <c:ser>
          <c:idx val="1"/>
          <c:order val="1"/>
          <c:tx>
            <c:strRef>
              <c:f>'pracovní intenzita domácností'!$O$11</c:f>
              <c:strCache>
                <c:ptCount val="1"/>
                <c:pt idx="0">
                  <c:v>Strední Cechy</c:v>
                </c:pt>
              </c:strCache>
            </c:strRef>
          </c:tx>
          <c:spPr>
            <a:ln w="28575" cap="rnd">
              <a:solidFill>
                <a:schemeClr val="accent2"/>
              </a:solidFill>
              <a:round/>
            </a:ln>
            <a:effectLst/>
          </c:spPr>
          <c:marker>
            <c:symbol val="none"/>
          </c:marker>
          <c:cat>
            <c:strRef>
              <c:f>'pracovní intenzita domácností'!$P$9:$AB$9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'pracovní intenzita domácností'!$P$11:$AB$11</c:f>
              <c:numCache>
                <c:formatCode>#,##0.0</c:formatCode>
                <c:ptCount val="13"/>
                <c:pt idx="0">
                  <c:v>5.0999999999999996</c:v>
                </c:pt>
                <c:pt idx="1">
                  <c:v>8.9</c:v>
                </c:pt>
                <c:pt idx="2">
                  <c:v>7.8</c:v>
                </c:pt>
                <c:pt idx="3">
                  <c:v>6.1</c:v>
                </c:pt>
                <c:pt idx="4">
                  <c:v>5.0999999999999996</c:v>
                </c:pt>
                <c:pt idx="5">
                  <c:v>6.1</c:v>
                </c:pt>
                <c:pt idx="6">
                  <c:v>5.5</c:v>
                </c:pt>
                <c:pt idx="7">
                  <c:v>5.0999999999999996</c:v>
                </c:pt>
                <c:pt idx="8">
                  <c:v>4.5999999999999996</c:v>
                </c:pt>
                <c:pt idx="9">
                  <c:v>3.9</c:v>
                </c:pt>
                <c:pt idx="10">
                  <c:v>4.2</c:v>
                </c:pt>
                <c:pt idx="11">
                  <c:v>3.4</c:v>
                </c:pt>
                <c:pt idx="12">
                  <c:v>3.6</c:v>
                </c:pt>
              </c:numCache>
            </c:numRef>
          </c:val>
          <c:smooth val="0"/>
          <c:extLst>
            <c:ext xmlns:c16="http://schemas.microsoft.com/office/drawing/2014/chart" uri="{C3380CC4-5D6E-409C-BE32-E72D297353CC}">
              <c16:uniqueId val="{00000001-2F8C-3843-92B9-CDE19838146C}"/>
            </c:ext>
          </c:extLst>
        </c:ser>
        <c:ser>
          <c:idx val="2"/>
          <c:order val="2"/>
          <c:tx>
            <c:strRef>
              <c:f>'pracovní intenzita domácností'!$O$12</c:f>
              <c:strCache>
                <c:ptCount val="1"/>
                <c:pt idx="0">
                  <c:v>Jihozápad</c:v>
                </c:pt>
              </c:strCache>
            </c:strRef>
          </c:tx>
          <c:spPr>
            <a:ln w="28575" cap="rnd">
              <a:solidFill>
                <a:schemeClr val="accent3"/>
              </a:solidFill>
              <a:round/>
            </a:ln>
            <a:effectLst/>
          </c:spPr>
          <c:marker>
            <c:symbol val="none"/>
          </c:marker>
          <c:cat>
            <c:strRef>
              <c:f>'pracovní intenzita domácností'!$P$9:$AB$9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'pracovní intenzita domácností'!$P$12:$AB$12</c:f>
              <c:numCache>
                <c:formatCode>#,##0.0</c:formatCode>
                <c:ptCount val="13"/>
                <c:pt idx="0">
                  <c:v>7.9</c:v>
                </c:pt>
                <c:pt idx="1">
                  <c:v>5.7</c:v>
                </c:pt>
                <c:pt idx="2">
                  <c:v>6.7</c:v>
                </c:pt>
                <c:pt idx="3">
                  <c:v>5</c:v>
                </c:pt>
                <c:pt idx="4">
                  <c:v>3.5</c:v>
                </c:pt>
                <c:pt idx="5">
                  <c:v>4.5</c:v>
                </c:pt>
                <c:pt idx="6">
                  <c:v>3.4</c:v>
                </c:pt>
                <c:pt idx="7">
                  <c:v>4.8</c:v>
                </c:pt>
                <c:pt idx="8">
                  <c:v>5.2</c:v>
                </c:pt>
                <c:pt idx="9">
                  <c:v>5.8</c:v>
                </c:pt>
                <c:pt idx="10">
                  <c:v>5</c:v>
                </c:pt>
                <c:pt idx="11">
                  <c:v>4.9000000000000004</c:v>
                </c:pt>
                <c:pt idx="12">
                  <c:v>2.8</c:v>
                </c:pt>
              </c:numCache>
            </c:numRef>
          </c:val>
          <c:smooth val="0"/>
          <c:extLst>
            <c:ext xmlns:c16="http://schemas.microsoft.com/office/drawing/2014/chart" uri="{C3380CC4-5D6E-409C-BE32-E72D297353CC}">
              <c16:uniqueId val="{00000002-2F8C-3843-92B9-CDE19838146C}"/>
            </c:ext>
          </c:extLst>
        </c:ser>
        <c:ser>
          <c:idx val="3"/>
          <c:order val="3"/>
          <c:tx>
            <c:strRef>
              <c:f>'pracovní intenzita domácností'!$O$13</c:f>
              <c:strCache>
                <c:ptCount val="1"/>
                <c:pt idx="0">
                  <c:v>Severozápad</c:v>
                </c:pt>
              </c:strCache>
            </c:strRef>
          </c:tx>
          <c:spPr>
            <a:ln w="28575" cap="rnd">
              <a:solidFill>
                <a:schemeClr val="accent4"/>
              </a:solidFill>
              <a:round/>
            </a:ln>
            <a:effectLst/>
          </c:spPr>
          <c:marker>
            <c:symbol val="none"/>
          </c:marker>
          <c:cat>
            <c:strRef>
              <c:f>'pracovní intenzita domácností'!$P$9:$AB$9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'pracovní intenzita domácností'!$P$13:$AB$13</c:f>
              <c:numCache>
                <c:formatCode>#,##0.0</c:formatCode>
                <c:ptCount val="13"/>
                <c:pt idx="0">
                  <c:v>14.9</c:v>
                </c:pt>
                <c:pt idx="1">
                  <c:v>11.1</c:v>
                </c:pt>
                <c:pt idx="2">
                  <c:v>13.6</c:v>
                </c:pt>
                <c:pt idx="3">
                  <c:v>10.199999999999999</c:v>
                </c:pt>
                <c:pt idx="4">
                  <c:v>9.6</c:v>
                </c:pt>
                <c:pt idx="5">
                  <c:v>11.1</c:v>
                </c:pt>
                <c:pt idx="6">
                  <c:v>14.1</c:v>
                </c:pt>
                <c:pt idx="7">
                  <c:v>13.5</c:v>
                </c:pt>
                <c:pt idx="8">
                  <c:v>14</c:v>
                </c:pt>
                <c:pt idx="9">
                  <c:v>18.100000000000001</c:v>
                </c:pt>
                <c:pt idx="10">
                  <c:v>14</c:v>
                </c:pt>
                <c:pt idx="11">
                  <c:v>14.6</c:v>
                </c:pt>
                <c:pt idx="12">
                  <c:v>11.1</c:v>
                </c:pt>
              </c:numCache>
            </c:numRef>
          </c:val>
          <c:smooth val="0"/>
          <c:extLst>
            <c:ext xmlns:c16="http://schemas.microsoft.com/office/drawing/2014/chart" uri="{C3380CC4-5D6E-409C-BE32-E72D297353CC}">
              <c16:uniqueId val="{00000003-2F8C-3843-92B9-CDE19838146C}"/>
            </c:ext>
          </c:extLst>
        </c:ser>
        <c:ser>
          <c:idx val="4"/>
          <c:order val="4"/>
          <c:tx>
            <c:strRef>
              <c:f>'pracovní intenzita domácností'!$O$14</c:f>
              <c:strCache>
                <c:ptCount val="1"/>
                <c:pt idx="0">
                  <c:v>Severovýchod</c:v>
                </c:pt>
              </c:strCache>
            </c:strRef>
          </c:tx>
          <c:spPr>
            <a:ln w="28575" cap="rnd">
              <a:solidFill>
                <a:schemeClr val="accent5"/>
              </a:solidFill>
              <a:round/>
            </a:ln>
            <a:effectLst/>
          </c:spPr>
          <c:marker>
            <c:symbol val="none"/>
          </c:marker>
          <c:cat>
            <c:strRef>
              <c:f>'pracovní intenzita domácností'!$P$9:$AB$9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'pracovní intenzita domácností'!$P$14:$AB$14</c:f>
              <c:numCache>
                <c:formatCode>#,##0.0</c:formatCode>
                <c:ptCount val="13"/>
                <c:pt idx="0">
                  <c:v>7.9</c:v>
                </c:pt>
                <c:pt idx="1">
                  <c:v>7.2</c:v>
                </c:pt>
                <c:pt idx="2">
                  <c:v>8</c:v>
                </c:pt>
                <c:pt idx="3">
                  <c:v>7.3</c:v>
                </c:pt>
                <c:pt idx="4">
                  <c:v>5.3</c:v>
                </c:pt>
                <c:pt idx="5">
                  <c:v>4.5999999999999996</c:v>
                </c:pt>
                <c:pt idx="6">
                  <c:v>4.7</c:v>
                </c:pt>
                <c:pt idx="7">
                  <c:v>6.4</c:v>
                </c:pt>
                <c:pt idx="8">
                  <c:v>5.7</c:v>
                </c:pt>
                <c:pt idx="9">
                  <c:v>6.2</c:v>
                </c:pt>
                <c:pt idx="10">
                  <c:v>3.8</c:v>
                </c:pt>
                <c:pt idx="11">
                  <c:v>5.2</c:v>
                </c:pt>
                <c:pt idx="12">
                  <c:v>3.1</c:v>
                </c:pt>
              </c:numCache>
            </c:numRef>
          </c:val>
          <c:smooth val="0"/>
          <c:extLst>
            <c:ext xmlns:c16="http://schemas.microsoft.com/office/drawing/2014/chart" uri="{C3380CC4-5D6E-409C-BE32-E72D297353CC}">
              <c16:uniqueId val="{00000004-2F8C-3843-92B9-CDE19838146C}"/>
            </c:ext>
          </c:extLst>
        </c:ser>
        <c:ser>
          <c:idx val="5"/>
          <c:order val="5"/>
          <c:tx>
            <c:strRef>
              <c:f>'pracovní intenzita domácností'!$O$15</c:f>
              <c:strCache>
                <c:ptCount val="1"/>
                <c:pt idx="0">
                  <c:v>Jihovýchod</c:v>
                </c:pt>
              </c:strCache>
            </c:strRef>
          </c:tx>
          <c:spPr>
            <a:ln w="28575" cap="rnd">
              <a:solidFill>
                <a:schemeClr val="accent6"/>
              </a:solidFill>
              <a:round/>
            </a:ln>
            <a:effectLst/>
          </c:spPr>
          <c:marker>
            <c:symbol val="none"/>
          </c:marker>
          <c:cat>
            <c:strRef>
              <c:f>'pracovní intenzita domácností'!$P$9:$AB$9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'pracovní intenzita domácností'!$P$15:$AB$15</c:f>
              <c:numCache>
                <c:formatCode>#,##0.0</c:formatCode>
                <c:ptCount val="13"/>
                <c:pt idx="0">
                  <c:v>6</c:v>
                </c:pt>
                <c:pt idx="1">
                  <c:v>7.2</c:v>
                </c:pt>
                <c:pt idx="2">
                  <c:v>5.9</c:v>
                </c:pt>
                <c:pt idx="3">
                  <c:v>6.3</c:v>
                </c:pt>
                <c:pt idx="4">
                  <c:v>4.0999999999999996</c:v>
                </c:pt>
                <c:pt idx="5">
                  <c:v>6.2</c:v>
                </c:pt>
                <c:pt idx="6">
                  <c:v>5.3</c:v>
                </c:pt>
                <c:pt idx="7">
                  <c:v>4.9000000000000004</c:v>
                </c:pt>
                <c:pt idx="8">
                  <c:v>3.2</c:v>
                </c:pt>
                <c:pt idx="9">
                  <c:v>4.3</c:v>
                </c:pt>
                <c:pt idx="10">
                  <c:v>4.5</c:v>
                </c:pt>
                <c:pt idx="11">
                  <c:v>4.8</c:v>
                </c:pt>
                <c:pt idx="12">
                  <c:v>6.2</c:v>
                </c:pt>
              </c:numCache>
            </c:numRef>
          </c:val>
          <c:smooth val="0"/>
          <c:extLst>
            <c:ext xmlns:c16="http://schemas.microsoft.com/office/drawing/2014/chart" uri="{C3380CC4-5D6E-409C-BE32-E72D297353CC}">
              <c16:uniqueId val="{00000005-2F8C-3843-92B9-CDE19838146C}"/>
            </c:ext>
          </c:extLst>
        </c:ser>
        <c:ser>
          <c:idx val="6"/>
          <c:order val="6"/>
          <c:tx>
            <c:strRef>
              <c:f>'pracovní intenzita domácností'!$O$16</c:f>
              <c:strCache>
                <c:ptCount val="1"/>
                <c:pt idx="0">
                  <c:v>Strední Morava</c:v>
                </c:pt>
              </c:strCache>
            </c:strRef>
          </c:tx>
          <c:spPr>
            <a:ln w="28575" cap="rnd">
              <a:solidFill>
                <a:schemeClr val="accent1">
                  <a:lumMod val="60000"/>
                </a:schemeClr>
              </a:solidFill>
              <a:round/>
            </a:ln>
            <a:effectLst/>
          </c:spPr>
          <c:marker>
            <c:symbol val="none"/>
          </c:marker>
          <c:cat>
            <c:strRef>
              <c:f>'pracovní intenzita domácností'!$P$9:$AB$9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'pracovní intenzita domácností'!$P$16:$AB$16</c:f>
              <c:numCache>
                <c:formatCode>#,##0.0</c:formatCode>
                <c:ptCount val="13"/>
                <c:pt idx="0">
                  <c:v>8.4</c:v>
                </c:pt>
                <c:pt idx="1">
                  <c:v>8.8000000000000007</c:v>
                </c:pt>
                <c:pt idx="2">
                  <c:v>8.6999999999999993</c:v>
                </c:pt>
                <c:pt idx="3">
                  <c:v>7.9</c:v>
                </c:pt>
                <c:pt idx="4">
                  <c:v>7.1</c:v>
                </c:pt>
                <c:pt idx="5">
                  <c:v>6.8</c:v>
                </c:pt>
                <c:pt idx="6">
                  <c:v>7.3</c:v>
                </c:pt>
                <c:pt idx="7">
                  <c:v>7.1</c:v>
                </c:pt>
                <c:pt idx="8">
                  <c:v>6.8</c:v>
                </c:pt>
                <c:pt idx="9">
                  <c:v>6.2</c:v>
                </c:pt>
                <c:pt idx="10">
                  <c:v>6.1</c:v>
                </c:pt>
                <c:pt idx="11">
                  <c:v>5</c:v>
                </c:pt>
                <c:pt idx="12">
                  <c:v>5.3</c:v>
                </c:pt>
              </c:numCache>
            </c:numRef>
          </c:val>
          <c:smooth val="0"/>
          <c:extLst>
            <c:ext xmlns:c16="http://schemas.microsoft.com/office/drawing/2014/chart" uri="{C3380CC4-5D6E-409C-BE32-E72D297353CC}">
              <c16:uniqueId val="{00000006-2F8C-3843-92B9-CDE19838146C}"/>
            </c:ext>
          </c:extLst>
        </c:ser>
        <c:ser>
          <c:idx val="7"/>
          <c:order val="7"/>
          <c:tx>
            <c:strRef>
              <c:f>'pracovní intenzita domácností'!$O$17</c:f>
              <c:strCache>
                <c:ptCount val="1"/>
                <c:pt idx="0">
                  <c:v>Moravskoslezsko</c:v>
                </c:pt>
              </c:strCache>
            </c:strRef>
          </c:tx>
          <c:spPr>
            <a:ln w="28575" cap="rnd">
              <a:solidFill>
                <a:schemeClr val="accent2">
                  <a:lumMod val="60000"/>
                </a:schemeClr>
              </a:solidFill>
              <a:round/>
            </a:ln>
            <a:effectLst/>
          </c:spPr>
          <c:marker>
            <c:symbol val="none"/>
          </c:marker>
          <c:cat>
            <c:strRef>
              <c:f>'pracovní intenzita domácností'!$P$9:$AB$9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'pracovní intenzita domácností'!$P$17:$AB$17</c:f>
              <c:numCache>
                <c:formatCode>#,##0.0</c:formatCode>
                <c:ptCount val="13"/>
                <c:pt idx="0">
                  <c:v>18.3</c:v>
                </c:pt>
                <c:pt idx="1">
                  <c:v>17.600000000000001</c:v>
                </c:pt>
                <c:pt idx="2">
                  <c:v>14.5</c:v>
                </c:pt>
                <c:pt idx="3">
                  <c:v>11.9</c:v>
                </c:pt>
                <c:pt idx="4">
                  <c:v>9.1999999999999993</c:v>
                </c:pt>
                <c:pt idx="5">
                  <c:v>10</c:v>
                </c:pt>
                <c:pt idx="6">
                  <c:v>9.6999999999999993</c:v>
                </c:pt>
                <c:pt idx="7">
                  <c:v>9.5</c:v>
                </c:pt>
                <c:pt idx="8">
                  <c:v>12.1</c:v>
                </c:pt>
                <c:pt idx="9">
                  <c:v>12.9</c:v>
                </c:pt>
                <c:pt idx="10">
                  <c:v>15.3</c:v>
                </c:pt>
                <c:pt idx="11">
                  <c:v>15.4</c:v>
                </c:pt>
                <c:pt idx="12">
                  <c:v>10.5</c:v>
                </c:pt>
              </c:numCache>
            </c:numRef>
          </c:val>
          <c:smooth val="0"/>
          <c:extLst>
            <c:ext xmlns:c16="http://schemas.microsoft.com/office/drawing/2014/chart" uri="{C3380CC4-5D6E-409C-BE32-E72D297353CC}">
              <c16:uniqueId val="{00000007-2F8C-3843-92B9-CDE19838146C}"/>
            </c:ext>
          </c:extLst>
        </c:ser>
        <c:dLbls>
          <c:showLegendKey val="0"/>
          <c:showVal val="0"/>
          <c:showCatName val="0"/>
          <c:showSerName val="0"/>
          <c:showPercent val="0"/>
          <c:showBubbleSize val="0"/>
        </c:dLbls>
        <c:smooth val="0"/>
        <c:axId val="89327488"/>
        <c:axId val="89362432"/>
      </c:lineChart>
      <c:catAx>
        <c:axId val="89327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9362432"/>
        <c:crosses val="autoZero"/>
        <c:auto val="1"/>
        <c:lblAlgn val="ctr"/>
        <c:lblOffset val="100"/>
        <c:noMultiLvlLbl val="0"/>
      </c:catAx>
      <c:valAx>
        <c:axId val="89362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cs-CZ" sz="900"/>
                  <a:t>Míra</a:t>
                </a:r>
                <a:r>
                  <a:rPr lang="cs-CZ" sz="900" baseline="0"/>
                  <a:t> nízké pracovní intenzity (%)</a:t>
                </a:r>
                <a:endParaRPr lang="cs-CZ" sz="900"/>
              </a:p>
            </c:rich>
          </c:tx>
          <c:layout>
            <c:manualLayout>
              <c:xMode val="edge"/>
              <c:yMode val="edge"/>
              <c:x val="1.3227513227513227E-2"/>
              <c:y val="0.22555856988464676"/>
            </c:manualLayout>
          </c:layout>
          <c:overlay val="0"/>
          <c:spPr>
            <a:noFill/>
            <a:ln w="25400">
              <a:noFill/>
            </a:ln>
          </c:spPr>
        </c:title>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9327488"/>
        <c:crosses val="autoZero"/>
        <c:crossBetween val="between"/>
      </c:valAx>
      <c:spPr>
        <a:noFill/>
        <a:ln w="25400">
          <a:noFill/>
        </a:ln>
      </c:spPr>
    </c:plotArea>
    <c:legend>
      <c:legendPos val="r"/>
      <c:layout>
        <c:manualLayout>
          <c:xMode val="edge"/>
          <c:yMode val="edge"/>
          <c:x val="0.80095838714605117"/>
          <c:y val="0.28744906886639171"/>
          <c:w val="0.19683702731602995"/>
          <c:h val="0.42577383709389266"/>
        </c:manualLayout>
      </c:layout>
      <c:overlay val="0"/>
      <c:spPr>
        <a:noFill/>
        <a:ln w="25400">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Odpad!$C$30</c:f>
              <c:strCache>
                <c:ptCount val="1"/>
                <c:pt idx="0">
                  <c:v>2014</c:v>
                </c:pt>
              </c:strCache>
            </c:strRef>
          </c:tx>
          <c:spPr>
            <a:solidFill>
              <a:schemeClr val="accent1"/>
            </a:solidFill>
            <a:ln>
              <a:noFill/>
            </a:ln>
            <a:effectLst/>
          </c:spPr>
          <c:invertIfNegative val="0"/>
          <c:cat>
            <c:strRef>
              <c:f>Odpad!$B$31:$B$48</c:f>
              <c:strCache>
                <c:ptCount val="18"/>
                <c:pt idx="0">
                  <c:v>Hlavní město Praha</c:v>
                </c:pt>
                <c:pt idx="1">
                  <c:v>Středočeský kraj</c:v>
                </c:pt>
                <c:pt idx="2">
                  <c:v>Jihočeský kraj</c:v>
                </c:pt>
                <c:pt idx="3">
                  <c:v>Plzeňský kraj</c:v>
                </c:pt>
                <c:pt idx="4">
                  <c:v>Pardubický kraj</c:v>
                </c:pt>
                <c:pt idx="5">
                  <c:v>Kraj Vysočina</c:v>
                </c:pt>
                <c:pt idx="6">
                  <c:v>Olomoucký kraj</c:v>
                </c:pt>
                <c:pt idx="7">
                  <c:v>Zlínský kraj</c:v>
                </c:pt>
                <c:pt idx="8">
                  <c:v>Karlovarský kraj</c:v>
                </c:pt>
                <c:pt idx="9">
                  <c:v>Ústecký kraj</c:v>
                </c:pt>
                <c:pt idx="10">
                  <c:v>Liberecký kraj</c:v>
                </c:pt>
                <c:pt idx="11">
                  <c:v>Královéhradecký kraj</c:v>
                </c:pt>
                <c:pt idx="12">
                  <c:v>Jihomoravský kraj</c:v>
                </c:pt>
                <c:pt idx="13">
                  <c:v>Moravskoslezský kraj</c:v>
                </c:pt>
                <c:pt idx="15">
                  <c:v>Převážně městské</c:v>
                </c:pt>
                <c:pt idx="16">
                  <c:v>Převážně venkovské</c:v>
                </c:pt>
                <c:pt idx="17">
                  <c:v>Smíšené</c:v>
                </c:pt>
              </c:strCache>
            </c:strRef>
          </c:cat>
          <c:val>
            <c:numRef>
              <c:f>Odpad!$C$31:$C$48</c:f>
              <c:numCache>
                <c:formatCode>0.0</c:formatCode>
                <c:ptCount val="18"/>
                <c:pt idx="0">
                  <c:v>16.498508362660672</c:v>
                </c:pt>
                <c:pt idx="1">
                  <c:v>11.696345180232628</c:v>
                </c:pt>
                <c:pt idx="2">
                  <c:v>13.602858015002084</c:v>
                </c:pt>
                <c:pt idx="3">
                  <c:v>17.732317442987753</c:v>
                </c:pt>
                <c:pt idx="4">
                  <c:v>14.249313316575259</c:v>
                </c:pt>
                <c:pt idx="5">
                  <c:v>16.948289200984416</c:v>
                </c:pt>
                <c:pt idx="6">
                  <c:v>13.280172678272548</c:v>
                </c:pt>
                <c:pt idx="7">
                  <c:v>18.890371915069395</c:v>
                </c:pt>
                <c:pt idx="8">
                  <c:v>13.146757329013539</c:v>
                </c:pt>
                <c:pt idx="9">
                  <c:v>12.216032573284433</c:v>
                </c:pt>
                <c:pt idx="10">
                  <c:v>13.755575970797491</c:v>
                </c:pt>
                <c:pt idx="11">
                  <c:v>17.028423944495813</c:v>
                </c:pt>
                <c:pt idx="12">
                  <c:v>11.814381137838124</c:v>
                </c:pt>
                <c:pt idx="13">
                  <c:v>14.915764062278857</c:v>
                </c:pt>
                <c:pt idx="15">
                  <c:v>14.097426771446649</c:v>
                </c:pt>
                <c:pt idx="16">
                  <c:v>15.783887094815242</c:v>
                </c:pt>
                <c:pt idx="17">
                  <c:v>13.812822502951375</c:v>
                </c:pt>
              </c:numCache>
            </c:numRef>
          </c:val>
          <c:extLst>
            <c:ext xmlns:c16="http://schemas.microsoft.com/office/drawing/2014/chart" uri="{C3380CC4-5D6E-409C-BE32-E72D297353CC}">
              <c16:uniqueId val="{00000000-9F64-4C8F-86FC-CE3ABA6AB444}"/>
            </c:ext>
          </c:extLst>
        </c:ser>
        <c:ser>
          <c:idx val="1"/>
          <c:order val="1"/>
          <c:tx>
            <c:strRef>
              <c:f>Odpad!$D$30</c:f>
              <c:strCache>
                <c:ptCount val="1"/>
                <c:pt idx="0">
                  <c:v>2015</c:v>
                </c:pt>
              </c:strCache>
            </c:strRef>
          </c:tx>
          <c:spPr>
            <a:solidFill>
              <a:schemeClr val="accent2"/>
            </a:solidFill>
            <a:ln>
              <a:noFill/>
            </a:ln>
            <a:effectLst/>
          </c:spPr>
          <c:invertIfNegative val="0"/>
          <c:cat>
            <c:strRef>
              <c:f>Odpad!$B$31:$B$48</c:f>
              <c:strCache>
                <c:ptCount val="18"/>
                <c:pt idx="0">
                  <c:v>Hlavní město Praha</c:v>
                </c:pt>
                <c:pt idx="1">
                  <c:v>Středočeský kraj</c:v>
                </c:pt>
                <c:pt idx="2">
                  <c:v>Jihočeský kraj</c:v>
                </c:pt>
                <c:pt idx="3">
                  <c:v>Plzeňský kraj</c:v>
                </c:pt>
                <c:pt idx="4">
                  <c:v>Pardubický kraj</c:v>
                </c:pt>
                <c:pt idx="5">
                  <c:v>Kraj Vysočina</c:v>
                </c:pt>
                <c:pt idx="6">
                  <c:v>Olomoucký kraj</c:v>
                </c:pt>
                <c:pt idx="7">
                  <c:v>Zlínský kraj</c:v>
                </c:pt>
                <c:pt idx="8">
                  <c:v>Karlovarský kraj</c:v>
                </c:pt>
                <c:pt idx="9">
                  <c:v>Ústecký kraj</c:v>
                </c:pt>
                <c:pt idx="10">
                  <c:v>Liberecký kraj</c:v>
                </c:pt>
                <c:pt idx="11">
                  <c:v>Královéhradecký kraj</c:v>
                </c:pt>
                <c:pt idx="12">
                  <c:v>Jihomoravský kraj</c:v>
                </c:pt>
                <c:pt idx="13">
                  <c:v>Moravskoslezský kraj</c:v>
                </c:pt>
                <c:pt idx="15">
                  <c:v>Převážně městské</c:v>
                </c:pt>
                <c:pt idx="16">
                  <c:v>Převážně venkovské</c:v>
                </c:pt>
                <c:pt idx="17">
                  <c:v>Smíšené</c:v>
                </c:pt>
              </c:strCache>
            </c:strRef>
          </c:cat>
          <c:val>
            <c:numRef>
              <c:f>Odpad!$D$31:$D$48</c:f>
              <c:numCache>
                <c:formatCode>0.0</c:formatCode>
                <c:ptCount val="18"/>
                <c:pt idx="0">
                  <c:v>16.764353206222331</c:v>
                </c:pt>
                <c:pt idx="1">
                  <c:v>12.001901617946945</c:v>
                </c:pt>
                <c:pt idx="2">
                  <c:v>14.291662956676612</c:v>
                </c:pt>
                <c:pt idx="3">
                  <c:v>17.138214084671699</c:v>
                </c:pt>
                <c:pt idx="4">
                  <c:v>15.101677558450731</c:v>
                </c:pt>
                <c:pt idx="5">
                  <c:v>16.037107119094028</c:v>
                </c:pt>
                <c:pt idx="6">
                  <c:v>13.286202875685193</c:v>
                </c:pt>
                <c:pt idx="7">
                  <c:v>18.689381868837788</c:v>
                </c:pt>
                <c:pt idx="8">
                  <c:v>13.837968840938347</c:v>
                </c:pt>
                <c:pt idx="9">
                  <c:v>13.183516858152567</c:v>
                </c:pt>
                <c:pt idx="10">
                  <c:v>12.400575746641682</c:v>
                </c:pt>
                <c:pt idx="11">
                  <c:v>15.714627811446572</c:v>
                </c:pt>
                <c:pt idx="12">
                  <c:v>12.556695866763453</c:v>
                </c:pt>
                <c:pt idx="13">
                  <c:v>15.453988945907703</c:v>
                </c:pt>
                <c:pt idx="15">
                  <c:v>14.383127412084638</c:v>
                </c:pt>
                <c:pt idx="16">
                  <c:v>15.757374410569341</c:v>
                </c:pt>
                <c:pt idx="17">
                  <c:v>13.857895678308386</c:v>
                </c:pt>
              </c:numCache>
            </c:numRef>
          </c:val>
          <c:extLst>
            <c:ext xmlns:c16="http://schemas.microsoft.com/office/drawing/2014/chart" uri="{C3380CC4-5D6E-409C-BE32-E72D297353CC}">
              <c16:uniqueId val="{00000001-9F64-4C8F-86FC-CE3ABA6AB444}"/>
            </c:ext>
          </c:extLst>
        </c:ser>
        <c:ser>
          <c:idx val="2"/>
          <c:order val="2"/>
          <c:tx>
            <c:strRef>
              <c:f>Odpad!$E$30</c:f>
              <c:strCache>
                <c:ptCount val="1"/>
                <c:pt idx="0">
                  <c:v>2016</c:v>
                </c:pt>
              </c:strCache>
            </c:strRef>
          </c:tx>
          <c:spPr>
            <a:solidFill>
              <a:schemeClr val="accent3"/>
            </a:solidFill>
            <a:ln>
              <a:noFill/>
            </a:ln>
            <a:effectLst/>
          </c:spPr>
          <c:invertIfNegative val="0"/>
          <c:cat>
            <c:strRef>
              <c:f>Odpad!$B$31:$B$48</c:f>
              <c:strCache>
                <c:ptCount val="18"/>
                <c:pt idx="0">
                  <c:v>Hlavní město Praha</c:v>
                </c:pt>
                <c:pt idx="1">
                  <c:v>Středočeský kraj</c:v>
                </c:pt>
                <c:pt idx="2">
                  <c:v>Jihočeský kraj</c:v>
                </c:pt>
                <c:pt idx="3">
                  <c:v>Plzeňský kraj</c:v>
                </c:pt>
                <c:pt idx="4">
                  <c:v>Pardubický kraj</c:v>
                </c:pt>
                <c:pt idx="5">
                  <c:v>Kraj Vysočina</c:v>
                </c:pt>
                <c:pt idx="6">
                  <c:v>Olomoucký kraj</c:v>
                </c:pt>
                <c:pt idx="7">
                  <c:v>Zlínský kraj</c:v>
                </c:pt>
                <c:pt idx="8">
                  <c:v>Karlovarský kraj</c:v>
                </c:pt>
                <c:pt idx="9">
                  <c:v>Ústecký kraj</c:v>
                </c:pt>
                <c:pt idx="10">
                  <c:v>Liberecký kraj</c:v>
                </c:pt>
                <c:pt idx="11">
                  <c:v>Královéhradecký kraj</c:v>
                </c:pt>
                <c:pt idx="12">
                  <c:v>Jihomoravský kraj</c:v>
                </c:pt>
                <c:pt idx="13">
                  <c:v>Moravskoslezský kraj</c:v>
                </c:pt>
                <c:pt idx="15">
                  <c:v>Převážně městské</c:v>
                </c:pt>
                <c:pt idx="16">
                  <c:v>Převážně venkovské</c:v>
                </c:pt>
                <c:pt idx="17">
                  <c:v>Smíšené</c:v>
                </c:pt>
              </c:strCache>
            </c:strRef>
          </c:cat>
          <c:val>
            <c:numRef>
              <c:f>Odpad!$E$31:$E$48</c:f>
              <c:numCache>
                <c:formatCode>0.0</c:formatCode>
                <c:ptCount val="18"/>
                <c:pt idx="0">
                  <c:v>17.274433563165477</c:v>
                </c:pt>
                <c:pt idx="1">
                  <c:v>12.312364108613565</c:v>
                </c:pt>
                <c:pt idx="2">
                  <c:v>14.425882152528416</c:v>
                </c:pt>
                <c:pt idx="3">
                  <c:v>15.993698692994945</c:v>
                </c:pt>
                <c:pt idx="4">
                  <c:v>14.822039594608356</c:v>
                </c:pt>
                <c:pt idx="5">
                  <c:v>15.241081855614397</c:v>
                </c:pt>
                <c:pt idx="6">
                  <c:v>13.132693524328797</c:v>
                </c:pt>
                <c:pt idx="7">
                  <c:v>19.923746377642566</c:v>
                </c:pt>
                <c:pt idx="8">
                  <c:v>12.816090162983636</c:v>
                </c:pt>
                <c:pt idx="9">
                  <c:v>12.258441510071687</c:v>
                </c:pt>
                <c:pt idx="10">
                  <c:v>12.470394034139938</c:v>
                </c:pt>
                <c:pt idx="11">
                  <c:v>16.133089344149923</c:v>
                </c:pt>
                <c:pt idx="12">
                  <c:v>13.650908596229042</c:v>
                </c:pt>
                <c:pt idx="13">
                  <c:v>14.512287768951701</c:v>
                </c:pt>
                <c:pt idx="15">
                  <c:v>14.793398835889521</c:v>
                </c:pt>
                <c:pt idx="16">
                  <c:v>15.589857032952912</c:v>
                </c:pt>
                <c:pt idx="17">
                  <c:v>13.640201902754322</c:v>
                </c:pt>
              </c:numCache>
            </c:numRef>
          </c:val>
          <c:extLst>
            <c:ext xmlns:c16="http://schemas.microsoft.com/office/drawing/2014/chart" uri="{C3380CC4-5D6E-409C-BE32-E72D297353CC}">
              <c16:uniqueId val="{00000002-9F64-4C8F-86FC-CE3ABA6AB444}"/>
            </c:ext>
          </c:extLst>
        </c:ser>
        <c:dLbls>
          <c:showLegendKey val="0"/>
          <c:showVal val="0"/>
          <c:showCatName val="0"/>
          <c:showSerName val="0"/>
          <c:showPercent val="0"/>
          <c:showBubbleSize val="0"/>
        </c:dLbls>
        <c:gapWidth val="219"/>
        <c:overlap val="-27"/>
        <c:axId val="269097976"/>
        <c:axId val="269098304"/>
      </c:barChart>
      <c:catAx>
        <c:axId val="269097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9098304"/>
        <c:crosses val="autoZero"/>
        <c:auto val="1"/>
        <c:lblAlgn val="ctr"/>
        <c:lblOffset val="100"/>
        <c:noMultiLvlLbl val="0"/>
      </c:catAx>
      <c:valAx>
        <c:axId val="2690983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9097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List1!$N$29</c:f>
              <c:strCache>
                <c:ptCount val="1"/>
                <c:pt idx="0">
                  <c:v>Bílé ZSJ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List1!$M$30:$M$32</c:f>
              <c:strCache>
                <c:ptCount val="3"/>
                <c:pt idx="0">
                  <c:v>Převážně městské</c:v>
                </c:pt>
                <c:pt idx="1">
                  <c:v>Převážně venkovské</c:v>
                </c:pt>
                <c:pt idx="2">
                  <c:v>Smíšené</c:v>
                </c:pt>
              </c:strCache>
            </c:strRef>
          </c:cat>
          <c:val>
            <c:numRef>
              <c:f>List1!$N$30:$N$32</c:f>
              <c:numCache>
                <c:formatCode>0.0%</c:formatCode>
                <c:ptCount val="3"/>
                <c:pt idx="0">
                  <c:v>0.1719</c:v>
                </c:pt>
                <c:pt idx="1">
                  <c:v>0.18161666666666668</c:v>
                </c:pt>
                <c:pt idx="2">
                  <c:v>0.23011666666666666</c:v>
                </c:pt>
              </c:numCache>
            </c:numRef>
          </c:val>
          <c:extLst>
            <c:ext xmlns:c16="http://schemas.microsoft.com/office/drawing/2014/chart" uri="{C3380CC4-5D6E-409C-BE32-E72D297353CC}">
              <c16:uniqueId val="{00000000-AE40-447F-A5AC-467E5EF86337}"/>
            </c:ext>
          </c:extLst>
        </c:ser>
        <c:ser>
          <c:idx val="1"/>
          <c:order val="1"/>
          <c:tx>
            <c:strRef>
              <c:f>List1!$O$29</c:f>
              <c:strCache>
                <c:ptCount val="1"/>
                <c:pt idx="0">
                  <c:v>Šedé ZSJ</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List1!$M$30:$M$32</c:f>
              <c:strCache>
                <c:ptCount val="3"/>
                <c:pt idx="0">
                  <c:v>Převážně městské</c:v>
                </c:pt>
                <c:pt idx="1">
                  <c:v>Převážně venkovské</c:v>
                </c:pt>
                <c:pt idx="2">
                  <c:v>Smíšené</c:v>
                </c:pt>
              </c:strCache>
            </c:strRef>
          </c:cat>
          <c:val>
            <c:numRef>
              <c:f>List1!$O$30:$O$32</c:f>
              <c:numCache>
                <c:formatCode>0.0%</c:formatCode>
                <c:ptCount val="3"/>
                <c:pt idx="0">
                  <c:v>3.6900000000000002E-2</c:v>
                </c:pt>
                <c:pt idx="1">
                  <c:v>8.4100000000000008E-2</c:v>
                </c:pt>
                <c:pt idx="2">
                  <c:v>7.1433333333333335E-2</c:v>
                </c:pt>
              </c:numCache>
            </c:numRef>
          </c:val>
          <c:extLst>
            <c:ext xmlns:c16="http://schemas.microsoft.com/office/drawing/2014/chart" uri="{C3380CC4-5D6E-409C-BE32-E72D297353CC}">
              <c16:uniqueId val="{00000001-AE40-447F-A5AC-467E5EF86337}"/>
            </c:ext>
          </c:extLst>
        </c:ser>
        <c:ser>
          <c:idx val="2"/>
          <c:order val="2"/>
          <c:tx>
            <c:strRef>
              <c:f>List1!$P$29</c:f>
              <c:strCache>
                <c:ptCount val="1"/>
                <c:pt idx="0">
                  <c:v>Černé ZSJ</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List1!$M$30:$M$32</c:f>
              <c:strCache>
                <c:ptCount val="3"/>
                <c:pt idx="0">
                  <c:v>Převážně městské</c:v>
                </c:pt>
                <c:pt idx="1">
                  <c:v>Převážně venkovské</c:v>
                </c:pt>
                <c:pt idx="2">
                  <c:v>Smíšené</c:v>
                </c:pt>
              </c:strCache>
            </c:strRef>
          </c:cat>
          <c:val>
            <c:numRef>
              <c:f>List1!$P$30:$P$32</c:f>
              <c:numCache>
                <c:formatCode>0.0%</c:formatCode>
                <c:ptCount val="3"/>
                <c:pt idx="0">
                  <c:v>0.79125000000000001</c:v>
                </c:pt>
                <c:pt idx="1">
                  <c:v>0.73431666666666662</c:v>
                </c:pt>
                <c:pt idx="2">
                  <c:v>0.6984499999999999</c:v>
                </c:pt>
              </c:numCache>
            </c:numRef>
          </c:val>
          <c:extLst>
            <c:ext xmlns:c16="http://schemas.microsoft.com/office/drawing/2014/chart" uri="{C3380CC4-5D6E-409C-BE32-E72D297353CC}">
              <c16:uniqueId val="{00000002-AE40-447F-A5AC-467E5EF86337}"/>
            </c:ext>
          </c:extLst>
        </c:ser>
        <c:dLbls>
          <c:dLblPos val="outEnd"/>
          <c:showLegendKey val="0"/>
          <c:showVal val="1"/>
          <c:showCatName val="0"/>
          <c:showSerName val="0"/>
          <c:showPercent val="0"/>
          <c:showBubbleSize val="0"/>
        </c:dLbls>
        <c:gapWidth val="267"/>
        <c:overlap val="-43"/>
        <c:axId val="90191360"/>
        <c:axId val="90192896"/>
      </c:barChart>
      <c:catAx>
        <c:axId val="901913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90192896"/>
        <c:crosses val="autoZero"/>
        <c:auto val="1"/>
        <c:lblAlgn val="ctr"/>
        <c:lblOffset val="100"/>
        <c:noMultiLvlLbl val="0"/>
      </c:catAx>
      <c:valAx>
        <c:axId val="9019289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9019136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List1!$I$76</c:f>
              <c:strCache>
                <c:ptCount val="1"/>
                <c:pt idx="0">
                  <c:v>Počet ZSJ s pokrytím NGA menším, než 40/50%: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List1!$H$77:$H$79</c:f>
              <c:strCache>
                <c:ptCount val="3"/>
                <c:pt idx="0">
                  <c:v>Převážně městské</c:v>
                </c:pt>
                <c:pt idx="1">
                  <c:v>Převážně venkovské</c:v>
                </c:pt>
                <c:pt idx="2">
                  <c:v>Smíšené</c:v>
                </c:pt>
              </c:strCache>
            </c:strRef>
          </c:cat>
          <c:val>
            <c:numRef>
              <c:f>List1!$I$77:$I$79</c:f>
              <c:numCache>
                <c:formatCode>#,##0</c:formatCode>
                <c:ptCount val="3"/>
                <c:pt idx="0">
                  <c:v>2273</c:v>
                </c:pt>
                <c:pt idx="1">
                  <c:v>4432</c:v>
                </c:pt>
                <c:pt idx="2">
                  <c:v>4908</c:v>
                </c:pt>
              </c:numCache>
            </c:numRef>
          </c:val>
          <c:extLst>
            <c:ext xmlns:c16="http://schemas.microsoft.com/office/drawing/2014/chart" uri="{C3380CC4-5D6E-409C-BE32-E72D297353CC}">
              <c16:uniqueId val="{00000000-4B94-4407-BA99-02292940DF64}"/>
            </c:ext>
          </c:extLst>
        </c:ser>
        <c:dLbls>
          <c:dLblPos val="outEnd"/>
          <c:showLegendKey val="0"/>
          <c:showVal val="1"/>
          <c:showCatName val="0"/>
          <c:showSerName val="0"/>
          <c:showPercent val="0"/>
          <c:showBubbleSize val="0"/>
        </c:dLbls>
        <c:gapWidth val="267"/>
        <c:overlap val="-43"/>
        <c:axId val="90228992"/>
        <c:axId val="90834048"/>
      </c:barChart>
      <c:catAx>
        <c:axId val="902289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90834048"/>
        <c:crosses val="autoZero"/>
        <c:auto val="1"/>
        <c:lblAlgn val="ctr"/>
        <c:lblOffset val="100"/>
        <c:noMultiLvlLbl val="0"/>
      </c:catAx>
      <c:valAx>
        <c:axId val="9083404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902289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'Grafy text'!$E$33</c:f>
              <c:strCache>
                <c:ptCount val="1"/>
                <c:pt idx="0">
                  <c:v>Přírůstek obyvatelstva 2001-16</c:v>
                </c:pt>
              </c:strCache>
            </c:strRef>
          </c:tx>
          <c:spPr>
            <a:solidFill>
              <a:schemeClr val="accent1"/>
            </a:solidFill>
            <a:ln>
              <a:noFill/>
            </a:ln>
            <a:effectLst/>
          </c:spPr>
          <c:invertIfNegative val="0"/>
          <c:cat>
            <c:strRef>
              <c:f>'Grafy text'!$D$34:$D$43</c:f>
              <c:strCache>
                <c:ptCount val="10"/>
                <c:pt idx="0">
                  <c:v>do 99</c:v>
                </c:pt>
                <c:pt idx="1">
                  <c:v>100-199</c:v>
                </c:pt>
                <c:pt idx="2">
                  <c:v>200-499</c:v>
                </c:pt>
                <c:pt idx="3">
                  <c:v>500-999</c:v>
                </c:pt>
                <c:pt idx="4">
                  <c:v>1 000-1999</c:v>
                </c:pt>
                <c:pt idx="5">
                  <c:v>2 000-9 999</c:v>
                </c:pt>
                <c:pt idx="6">
                  <c:v>10 000-19 999</c:v>
                </c:pt>
                <c:pt idx="7">
                  <c:v>20 000-49 999</c:v>
                </c:pt>
                <c:pt idx="8">
                  <c:v>50 000-99 999 </c:v>
                </c:pt>
                <c:pt idx="9">
                  <c:v>nad 100 tis.</c:v>
                </c:pt>
              </c:strCache>
            </c:strRef>
          </c:cat>
          <c:val>
            <c:numRef>
              <c:f>'Grafy text'!$E$34:$E$43</c:f>
              <c:numCache>
                <c:formatCode>General</c:formatCode>
                <c:ptCount val="10"/>
                <c:pt idx="0">
                  <c:v>1918</c:v>
                </c:pt>
                <c:pt idx="1">
                  <c:v>10748</c:v>
                </c:pt>
                <c:pt idx="2">
                  <c:v>26803</c:v>
                </c:pt>
                <c:pt idx="3">
                  <c:v>22505</c:v>
                </c:pt>
                <c:pt idx="4">
                  <c:v>15788</c:v>
                </c:pt>
                <c:pt idx="5">
                  <c:v>6834</c:v>
                </c:pt>
                <c:pt idx="6">
                  <c:v>77</c:v>
                </c:pt>
                <c:pt idx="7">
                  <c:v>-249</c:v>
                </c:pt>
                <c:pt idx="8">
                  <c:v>-69</c:v>
                </c:pt>
                <c:pt idx="9">
                  <c:v>9</c:v>
                </c:pt>
              </c:numCache>
            </c:numRef>
          </c:val>
          <c:extLst>
            <c:ext xmlns:c16="http://schemas.microsoft.com/office/drawing/2014/chart" uri="{C3380CC4-5D6E-409C-BE32-E72D297353CC}">
              <c16:uniqueId val="{00000000-AEC5-0045-8BD4-F72FD82B24F4}"/>
            </c:ext>
          </c:extLst>
        </c:ser>
        <c:dLbls>
          <c:showLegendKey val="0"/>
          <c:showVal val="0"/>
          <c:showCatName val="0"/>
          <c:showSerName val="0"/>
          <c:showPercent val="0"/>
          <c:showBubbleSize val="0"/>
        </c:dLbls>
        <c:gapWidth val="219"/>
        <c:overlap val="-27"/>
        <c:axId val="2376448"/>
        <c:axId val="2377984"/>
      </c:barChart>
      <c:lineChart>
        <c:grouping val="standard"/>
        <c:varyColors val="0"/>
        <c:ser>
          <c:idx val="1"/>
          <c:order val="1"/>
          <c:tx>
            <c:strRef>
              <c:f>'Grafy text'!$F$33</c:f>
              <c:strCache>
                <c:ptCount val="1"/>
                <c:pt idx="0">
                  <c:v>Přírůstek na 100 obyvatel </c:v>
                </c:pt>
              </c:strCache>
            </c:strRef>
          </c:tx>
          <c:spPr>
            <a:ln w="28575" cap="rnd">
              <a:solidFill>
                <a:schemeClr val="accent2"/>
              </a:solidFill>
              <a:round/>
            </a:ln>
            <a:effectLst/>
          </c:spPr>
          <c:marker>
            <c:symbol val="none"/>
          </c:marker>
          <c:dLbls>
            <c:dLbl>
              <c:idx val="6"/>
              <c:layout>
                <c:manualLayout>
                  <c:x val="-1.9086571233810596E-2"/>
                  <c:y val="-1.7094017094017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C5-0045-8BD4-F72FD82B24F4}"/>
                </c:ext>
              </c:extLst>
            </c:dLbl>
            <c:dLbl>
              <c:idx val="7"/>
              <c:layout>
                <c:manualLayout>
                  <c:x val="-4.0899795501022497E-2"/>
                  <c:y val="-2.5641025641025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C5-0045-8BD4-F72FD82B24F4}"/>
                </c:ext>
              </c:extLst>
            </c:dLbl>
            <c:dLbl>
              <c:idx val="8"/>
              <c:layout>
                <c:manualLayout>
                  <c:x val="-4.3626448534424003E-2"/>
                  <c:y val="-2.136752136752137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5.8255049407167664E-2"/>
                      <c:h val="7.6859142607174094E-2"/>
                    </c:manualLayout>
                  </c15:layout>
                </c:ext>
                <c:ext xmlns:c16="http://schemas.microsoft.com/office/drawing/2014/chart" uri="{C3380CC4-5D6E-409C-BE32-E72D297353CC}">
                  <c16:uniqueId val="{00000003-AEC5-0045-8BD4-F72FD82B24F4}"/>
                </c:ext>
              </c:extLst>
            </c:dLbl>
            <c:dLbl>
              <c:idx val="9"/>
              <c:layout>
                <c:manualLayout>
                  <c:x val="-5.7259713701431396E-2"/>
                  <c:y val="-2.5641025641025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C5-0045-8BD4-F72FD82B24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text'!$D$34:$D$43</c:f>
              <c:strCache>
                <c:ptCount val="10"/>
                <c:pt idx="0">
                  <c:v>do 99</c:v>
                </c:pt>
                <c:pt idx="1">
                  <c:v>100-199</c:v>
                </c:pt>
                <c:pt idx="2">
                  <c:v>200-499</c:v>
                </c:pt>
                <c:pt idx="3">
                  <c:v>500-999</c:v>
                </c:pt>
                <c:pt idx="4">
                  <c:v>1 000-1999</c:v>
                </c:pt>
                <c:pt idx="5">
                  <c:v>2 000-9 999</c:v>
                </c:pt>
                <c:pt idx="6">
                  <c:v>10 000-19 999</c:v>
                </c:pt>
                <c:pt idx="7">
                  <c:v>20 000-49 999</c:v>
                </c:pt>
                <c:pt idx="8">
                  <c:v>50 000-99 999 </c:v>
                </c:pt>
                <c:pt idx="9">
                  <c:v>nad 100 tis.</c:v>
                </c:pt>
              </c:strCache>
            </c:strRef>
          </c:cat>
          <c:val>
            <c:numRef>
              <c:f>'Grafy text'!$F$34:$F$43</c:f>
              <c:numCache>
                <c:formatCode>0.0</c:formatCode>
                <c:ptCount val="10"/>
                <c:pt idx="0">
                  <c:v>6.1592806679511884</c:v>
                </c:pt>
                <c:pt idx="1">
                  <c:v>7.2578466857544166</c:v>
                </c:pt>
                <c:pt idx="2">
                  <c:v>4.1016294500759019</c:v>
                </c:pt>
                <c:pt idx="3">
                  <c:v>2.3169572858294458</c:v>
                </c:pt>
                <c:pt idx="4">
                  <c:v>1.5129170032590769</c:v>
                </c:pt>
                <c:pt idx="5">
                  <c:v>0.3030669900445554</c:v>
                </c:pt>
                <c:pt idx="6">
                  <c:v>8.0342237061769607E-3</c:v>
                </c:pt>
                <c:pt idx="7">
                  <c:v>-1.8853766702430774E-2</c:v>
                </c:pt>
                <c:pt idx="8">
                  <c:v>-7.9099050352850545E-3</c:v>
                </c:pt>
                <c:pt idx="9">
                  <c:v>3.8711442328123345E-4</c:v>
                </c:pt>
              </c:numCache>
            </c:numRef>
          </c:val>
          <c:smooth val="0"/>
          <c:extLst>
            <c:ext xmlns:c16="http://schemas.microsoft.com/office/drawing/2014/chart" uri="{C3380CC4-5D6E-409C-BE32-E72D297353CC}">
              <c16:uniqueId val="{00000005-AEC5-0045-8BD4-F72FD82B24F4}"/>
            </c:ext>
          </c:extLst>
        </c:ser>
        <c:dLbls>
          <c:showLegendKey val="0"/>
          <c:showVal val="0"/>
          <c:showCatName val="0"/>
          <c:showSerName val="0"/>
          <c:showPercent val="0"/>
          <c:showBubbleSize val="0"/>
        </c:dLbls>
        <c:marker val="1"/>
        <c:smooth val="0"/>
        <c:axId val="2389504"/>
        <c:axId val="2387968"/>
      </c:lineChart>
      <c:catAx>
        <c:axId val="237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377984"/>
        <c:crosses val="autoZero"/>
        <c:auto val="1"/>
        <c:lblAlgn val="ctr"/>
        <c:lblOffset val="100"/>
        <c:noMultiLvlLbl val="0"/>
      </c:catAx>
      <c:valAx>
        <c:axId val="2377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376448"/>
        <c:crosses val="autoZero"/>
        <c:crossBetween val="between"/>
      </c:valAx>
      <c:valAx>
        <c:axId val="238796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389504"/>
        <c:crosses val="max"/>
        <c:crossBetween val="between"/>
      </c:valAx>
      <c:catAx>
        <c:axId val="2389504"/>
        <c:scaling>
          <c:orientation val="minMax"/>
        </c:scaling>
        <c:delete val="1"/>
        <c:axPos val="b"/>
        <c:numFmt formatCode="General" sourceLinked="1"/>
        <c:majorTickMark val="out"/>
        <c:minorTickMark val="none"/>
        <c:tickLblPos val="nextTo"/>
        <c:crossAx val="23879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List10!$B$34</c:f>
              <c:strCache>
                <c:ptCount val="1"/>
                <c:pt idx="0">
                  <c:v>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List10!$A$35:$A$45</c:f>
              <c:strCache>
                <c:ptCount val="11"/>
                <c:pt idx="0">
                  <c:v>do 99</c:v>
                </c:pt>
                <c:pt idx="1">
                  <c:v>100-199</c:v>
                </c:pt>
                <c:pt idx="2">
                  <c:v>200-499</c:v>
                </c:pt>
                <c:pt idx="3">
                  <c:v>500-999</c:v>
                </c:pt>
                <c:pt idx="4">
                  <c:v>1000-1999</c:v>
                </c:pt>
                <c:pt idx="5">
                  <c:v>2000-9999</c:v>
                </c:pt>
                <c:pt idx="6">
                  <c:v>10 000-19 999</c:v>
                </c:pt>
                <c:pt idx="7">
                  <c:v>20 000-49 999</c:v>
                </c:pt>
                <c:pt idx="8">
                  <c:v>50 000-99 999 </c:v>
                </c:pt>
                <c:pt idx="9">
                  <c:v>nad 100 tis.</c:v>
                </c:pt>
                <c:pt idx="10">
                  <c:v>ČR celkem</c:v>
                </c:pt>
              </c:strCache>
            </c:strRef>
          </c:cat>
          <c:val>
            <c:numRef>
              <c:f>List10!$B$35:$B$45</c:f>
              <c:numCache>
                <c:formatCode>0.0</c:formatCode>
                <c:ptCount val="11"/>
                <c:pt idx="0">
                  <c:v>14.001284521515736</c:v>
                </c:pt>
                <c:pt idx="1">
                  <c:v>15.007292960942141</c:v>
                </c:pt>
                <c:pt idx="2">
                  <c:v>15.774662112531217</c:v>
                </c:pt>
                <c:pt idx="3">
                  <c:v>16.293136020475295</c:v>
                </c:pt>
                <c:pt idx="4">
                  <c:v>16.488093013539402</c:v>
                </c:pt>
                <c:pt idx="5">
                  <c:v>15.898777221814969</c:v>
                </c:pt>
                <c:pt idx="6">
                  <c:v>15.537353923205341</c:v>
                </c:pt>
                <c:pt idx="7">
                  <c:v>14.909619282633107</c:v>
                </c:pt>
                <c:pt idx="8">
                  <c:v>15.004516670411453</c:v>
                </c:pt>
                <c:pt idx="9">
                  <c:v>15.143572137052269</c:v>
                </c:pt>
                <c:pt idx="10">
                  <c:v>15.571443695988776</c:v>
                </c:pt>
              </c:numCache>
            </c:numRef>
          </c:val>
          <c:extLst>
            <c:ext xmlns:c16="http://schemas.microsoft.com/office/drawing/2014/chart" uri="{C3380CC4-5D6E-409C-BE32-E72D297353CC}">
              <c16:uniqueId val="{00000000-758D-A44A-AB96-ED9C689F6578}"/>
            </c:ext>
          </c:extLst>
        </c:ser>
        <c:ser>
          <c:idx val="1"/>
          <c:order val="1"/>
          <c:tx>
            <c:strRef>
              <c:f>List10!$C$34</c:f>
              <c:strCache>
                <c:ptCount val="1"/>
                <c:pt idx="0">
                  <c:v>15-64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List10!$A$35:$A$45</c:f>
              <c:strCache>
                <c:ptCount val="11"/>
                <c:pt idx="0">
                  <c:v>do 99</c:v>
                </c:pt>
                <c:pt idx="1">
                  <c:v>100-199</c:v>
                </c:pt>
                <c:pt idx="2">
                  <c:v>200-499</c:v>
                </c:pt>
                <c:pt idx="3">
                  <c:v>500-999</c:v>
                </c:pt>
                <c:pt idx="4">
                  <c:v>1000-1999</c:v>
                </c:pt>
                <c:pt idx="5">
                  <c:v>2000-9999</c:v>
                </c:pt>
                <c:pt idx="6">
                  <c:v>10 000-19 999</c:v>
                </c:pt>
                <c:pt idx="7">
                  <c:v>20 000-49 999</c:v>
                </c:pt>
                <c:pt idx="8">
                  <c:v>50 000-99 999 </c:v>
                </c:pt>
                <c:pt idx="9">
                  <c:v>nad 100 tis.</c:v>
                </c:pt>
                <c:pt idx="10">
                  <c:v>ČR celkem</c:v>
                </c:pt>
              </c:strCache>
            </c:strRef>
          </c:cat>
          <c:val>
            <c:numRef>
              <c:f>List10!$C$35:$C$45</c:f>
              <c:numCache>
                <c:formatCode>0.0</c:formatCode>
                <c:ptCount val="11"/>
                <c:pt idx="0">
                  <c:v>63.635195889531147</c:v>
                </c:pt>
                <c:pt idx="1">
                  <c:v>65.488763437955811</c:v>
                </c:pt>
                <c:pt idx="2">
                  <c:v>66.209263748102444</c:v>
                </c:pt>
                <c:pt idx="3">
                  <c:v>66.187454765025223</c:v>
                </c:pt>
                <c:pt idx="4">
                  <c:v>66.121027610639487</c:v>
                </c:pt>
                <c:pt idx="5">
                  <c:v>65.475241768431815</c:v>
                </c:pt>
                <c:pt idx="6">
                  <c:v>65.328985809682806</c:v>
                </c:pt>
                <c:pt idx="7">
                  <c:v>65.39001174385227</c:v>
                </c:pt>
                <c:pt idx="8">
                  <c:v>64.909712446292886</c:v>
                </c:pt>
                <c:pt idx="9">
                  <c:v>65.719340322612567</c:v>
                </c:pt>
                <c:pt idx="10">
                  <c:v>65.627574720053843</c:v>
                </c:pt>
              </c:numCache>
            </c:numRef>
          </c:val>
          <c:extLst>
            <c:ext xmlns:c16="http://schemas.microsoft.com/office/drawing/2014/chart" uri="{C3380CC4-5D6E-409C-BE32-E72D297353CC}">
              <c16:uniqueId val="{00000001-758D-A44A-AB96-ED9C689F6578}"/>
            </c:ext>
          </c:extLst>
        </c:ser>
        <c:ser>
          <c:idx val="2"/>
          <c:order val="2"/>
          <c:tx>
            <c:strRef>
              <c:f>List10!$D$34</c:f>
              <c:strCache>
                <c:ptCount val="1"/>
                <c:pt idx="0">
                  <c:v>65+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List10!$A$35:$A$45</c:f>
              <c:strCache>
                <c:ptCount val="11"/>
                <c:pt idx="0">
                  <c:v>do 99</c:v>
                </c:pt>
                <c:pt idx="1">
                  <c:v>100-199</c:v>
                </c:pt>
                <c:pt idx="2">
                  <c:v>200-499</c:v>
                </c:pt>
                <c:pt idx="3">
                  <c:v>500-999</c:v>
                </c:pt>
                <c:pt idx="4">
                  <c:v>1000-1999</c:v>
                </c:pt>
                <c:pt idx="5">
                  <c:v>2000-9999</c:v>
                </c:pt>
                <c:pt idx="6">
                  <c:v>10 000-19 999</c:v>
                </c:pt>
                <c:pt idx="7">
                  <c:v>20 000-49 999</c:v>
                </c:pt>
                <c:pt idx="8">
                  <c:v>50 000-99 999 </c:v>
                </c:pt>
                <c:pt idx="9">
                  <c:v>nad 100 tis.</c:v>
                </c:pt>
                <c:pt idx="10">
                  <c:v>ČR celkem</c:v>
                </c:pt>
              </c:strCache>
            </c:strRef>
          </c:cat>
          <c:val>
            <c:numRef>
              <c:f>List10!$D$35:$D$45</c:f>
              <c:numCache>
                <c:formatCode>0.0</c:formatCode>
                <c:ptCount val="11"/>
                <c:pt idx="0">
                  <c:v>22.363519588953114</c:v>
                </c:pt>
                <c:pt idx="1">
                  <c:v>19.503943601102048</c:v>
                </c:pt>
                <c:pt idx="2">
                  <c:v>18.016074139366339</c:v>
                </c:pt>
                <c:pt idx="3">
                  <c:v>17.51940921449949</c:v>
                </c:pt>
                <c:pt idx="4">
                  <c:v>17.390879375821118</c:v>
                </c:pt>
                <c:pt idx="5">
                  <c:v>18.625981009753222</c:v>
                </c:pt>
                <c:pt idx="6">
                  <c:v>19.133660267111853</c:v>
                </c:pt>
                <c:pt idx="7">
                  <c:v>19.700368973514625</c:v>
                </c:pt>
                <c:pt idx="8">
                  <c:v>20.085770883295655</c:v>
                </c:pt>
                <c:pt idx="9">
                  <c:v>19.13708754033517</c:v>
                </c:pt>
                <c:pt idx="10">
                  <c:v>18.80098158395738</c:v>
                </c:pt>
              </c:numCache>
            </c:numRef>
          </c:val>
          <c:extLst>
            <c:ext xmlns:c16="http://schemas.microsoft.com/office/drawing/2014/chart" uri="{C3380CC4-5D6E-409C-BE32-E72D297353CC}">
              <c16:uniqueId val="{00000002-758D-A44A-AB96-ED9C689F6578}"/>
            </c:ext>
          </c:extLst>
        </c:ser>
        <c:dLbls>
          <c:showLegendKey val="0"/>
          <c:showVal val="0"/>
          <c:showCatName val="0"/>
          <c:showSerName val="0"/>
          <c:showPercent val="0"/>
          <c:showBubbleSize val="0"/>
        </c:dLbls>
        <c:gapWidth val="219"/>
        <c:overlap val="100"/>
        <c:axId val="2413312"/>
        <c:axId val="2414848"/>
      </c:barChart>
      <c:lineChart>
        <c:grouping val="standard"/>
        <c:varyColors val="0"/>
        <c:ser>
          <c:idx val="3"/>
          <c:order val="3"/>
          <c:tx>
            <c:strRef>
              <c:f>List10!$E$34</c:f>
              <c:strCache>
                <c:ptCount val="1"/>
                <c:pt idx="0">
                  <c:v>Index stáří (%)</c:v>
                </c:pt>
              </c:strCache>
            </c:strRef>
          </c:tx>
          <c:spPr>
            <a:ln w="28575" cap="rnd">
              <a:solidFill>
                <a:schemeClr val="accent4"/>
              </a:solidFill>
              <a:round/>
            </a:ln>
            <a:effectLst/>
          </c:spPr>
          <c:marker>
            <c:symbol val="none"/>
          </c:marker>
          <c:dLbls>
            <c:dLbl>
              <c:idx val="0"/>
              <c:layout>
                <c:manualLayout>
                  <c:x val="-5.000000000000001E-2"/>
                  <c:y val="-2.777777777777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8D-A44A-AB96-ED9C689F6578}"/>
                </c:ext>
              </c:extLst>
            </c:dLbl>
            <c:dLbl>
              <c:idx val="1"/>
              <c:layout>
                <c:manualLayout>
                  <c:x val="-4.1666666666666664E-2"/>
                  <c:y val="-5.0925925925925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8D-A44A-AB96-ED9C689F6578}"/>
                </c:ext>
              </c:extLst>
            </c:dLbl>
            <c:dLbl>
              <c:idx val="2"/>
              <c:layout>
                <c:manualLayout>
                  <c:x val="-3.888888888888889E-2"/>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8D-A44A-AB96-ED9C689F6578}"/>
                </c:ext>
              </c:extLst>
            </c:dLbl>
            <c:dLbl>
              <c:idx val="3"/>
              <c:layout>
                <c:manualLayout>
                  <c:x val="-2.7777777777777776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58D-A44A-AB96-ED9C689F6578}"/>
                </c:ext>
              </c:extLst>
            </c:dLbl>
            <c:dLbl>
              <c:idx val="4"/>
              <c:layout>
                <c:manualLayout>
                  <c:x val="-4.4444444444444446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58D-A44A-AB96-ED9C689F6578}"/>
                </c:ext>
              </c:extLst>
            </c:dLbl>
            <c:dLbl>
              <c:idx val="5"/>
              <c:layout>
                <c:manualLayout>
                  <c:x val="-4.4444444444444446E-2"/>
                  <c:y val="-1.8518518518518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58D-A44A-AB96-ED9C689F6578}"/>
                </c:ext>
              </c:extLst>
            </c:dLbl>
            <c:dLbl>
              <c:idx val="6"/>
              <c:layout>
                <c:manualLayout>
                  <c:x val="-4.4444444444444446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58D-A44A-AB96-ED9C689F6578}"/>
                </c:ext>
              </c:extLst>
            </c:dLbl>
            <c:dLbl>
              <c:idx val="7"/>
              <c:layout>
                <c:manualLayout>
                  <c:x val="-4.44444444444445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58D-A44A-AB96-ED9C689F6578}"/>
                </c:ext>
              </c:extLst>
            </c:dLbl>
            <c:dLbl>
              <c:idx val="8"/>
              <c:layout>
                <c:manualLayout>
                  <c:x val="-2.5000000000000001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58D-A44A-AB96-ED9C689F6578}"/>
                </c:ext>
              </c:extLst>
            </c:dLbl>
            <c:dLbl>
              <c:idx val="9"/>
              <c:layout>
                <c:manualLayout>
                  <c:x val="-0.05"/>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58D-A44A-AB96-ED9C689F6578}"/>
                </c:ext>
              </c:extLst>
            </c:dLbl>
            <c:dLbl>
              <c:idx val="10"/>
              <c:layout>
                <c:manualLayout>
                  <c:x val="-5.000000000000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58D-A44A-AB96-ED9C689F65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List10!$A$35:$A$45</c:f>
              <c:strCache>
                <c:ptCount val="11"/>
                <c:pt idx="0">
                  <c:v>do 99</c:v>
                </c:pt>
                <c:pt idx="1">
                  <c:v>100-199</c:v>
                </c:pt>
                <c:pt idx="2">
                  <c:v>200-499</c:v>
                </c:pt>
                <c:pt idx="3">
                  <c:v>500-999</c:v>
                </c:pt>
                <c:pt idx="4">
                  <c:v>1000-1999</c:v>
                </c:pt>
                <c:pt idx="5">
                  <c:v>2000-9999</c:v>
                </c:pt>
                <c:pt idx="6">
                  <c:v>10 000-19 999</c:v>
                </c:pt>
                <c:pt idx="7">
                  <c:v>20 000-49 999</c:v>
                </c:pt>
                <c:pt idx="8">
                  <c:v>50 000-99 999 </c:v>
                </c:pt>
                <c:pt idx="9">
                  <c:v>nad 100 tis.</c:v>
                </c:pt>
                <c:pt idx="10">
                  <c:v>ČR celkem</c:v>
                </c:pt>
              </c:strCache>
            </c:strRef>
          </c:cat>
          <c:val>
            <c:numRef>
              <c:f>List10!$E$35:$E$45</c:f>
              <c:numCache>
                <c:formatCode>0.0</c:formatCode>
                <c:ptCount val="11"/>
                <c:pt idx="0">
                  <c:v>159.72477064220183</c:v>
                </c:pt>
                <c:pt idx="1">
                  <c:v>129.96310295176389</c:v>
                </c:pt>
                <c:pt idx="2">
                  <c:v>114.20893842825683</c:v>
                </c:pt>
                <c:pt idx="3">
                  <c:v>107.52631778488291</c:v>
                </c:pt>
                <c:pt idx="4">
                  <c:v>105.4753837301887</c:v>
                </c:pt>
                <c:pt idx="5">
                  <c:v>117.15354426248715</c:v>
                </c:pt>
                <c:pt idx="6">
                  <c:v>123.14619568867103</c:v>
                </c:pt>
                <c:pt idx="7">
                  <c:v>132.13193844903765</c:v>
                </c:pt>
                <c:pt idx="8">
                  <c:v>133.86483100055008</c:v>
                </c:pt>
                <c:pt idx="9">
                  <c:v>126.37102638096751</c:v>
                </c:pt>
                <c:pt idx="10">
                  <c:v>120.74013142917852</c:v>
                </c:pt>
              </c:numCache>
            </c:numRef>
          </c:val>
          <c:smooth val="0"/>
          <c:extLst>
            <c:ext xmlns:c16="http://schemas.microsoft.com/office/drawing/2014/chart" uri="{C3380CC4-5D6E-409C-BE32-E72D297353CC}">
              <c16:uniqueId val="{0000000E-758D-A44A-AB96-ED9C689F6578}"/>
            </c:ext>
          </c:extLst>
        </c:ser>
        <c:dLbls>
          <c:showLegendKey val="0"/>
          <c:showVal val="0"/>
          <c:showCatName val="0"/>
          <c:showSerName val="0"/>
          <c:showPercent val="0"/>
          <c:showBubbleSize val="0"/>
        </c:dLbls>
        <c:marker val="1"/>
        <c:smooth val="0"/>
        <c:axId val="2418176"/>
        <c:axId val="2416640"/>
      </c:lineChart>
      <c:catAx>
        <c:axId val="241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414848"/>
        <c:crosses val="autoZero"/>
        <c:auto val="1"/>
        <c:lblAlgn val="ctr"/>
        <c:lblOffset val="100"/>
        <c:noMultiLvlLbl val="0"/>
      </c:catAx>
      <c:valAx>
        <c:axId val="2414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413312"/>
        <c:crosses val="autoZero"/>
        <c:crossBetween val="between"/>
      </c:valAx>
      <c:valAx>
        <c:axId val="241664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418176"/>
        <c:crosses val="max"/>
        <c:crossBetween val="between"/>
      </c:valAx>
      <c:catAx>
        <c:axId val="2418176"/>
        <c:scaling>
          <c:orientation val="minMax"/>
        </c:scaling>
        <c:delete val="1"/>
        <c:axPos val="b"/>
        <c:numFmt formatCode="General" sourceLinked="1"/>
        <c:majorTickMark val="out"/>
        <c:minorTickMark val="none"/>
        <c:tickLblPos val="nextTo"/>
        <c:crossAx val="2416640"/>
        <c:crosses val="autoZero"/>
        <c:auto val="1"/>
        <c:lblAlgn val="ctr"/>
        <c:lblOffset val="100"/>
        <c:noMultiLvlLbl val="0"/>
      </c:catAx>
      <c:spPr>
        <a:noFill/>
        <a:ln>
          <a:noFill/>
        </a:ln>
        <a:effectLst/>
      </c:spPr>
    </c:plotArea>
    <c:legend>
      <c:legendPos val="b"/>
      <c:layout>
        <c:manualLayout>
          <c:xMode val="edge"/>
          <c:yMode val="edge"/>
          <c:x val="0.22377912712367265"/>
          <c:y val="0.88520327816165845"/>
          <c:w val="0.5524417457526547"/>
          <c:h val="7.39803953077293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Věk!$G$71</c:f>
              <c:strCache>
                <c:ptCount val="1"/>
                <c:pt idx="0">
                  <c:v>Index stáří</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Věk!$F$72:$F$87</c:f>
              <c:strCache>
                <c:ptCount val="16"/>
                <c:pt idx="0">
                  <c:v>Královéhradecký kraj</c:v>
                </c:pt>
                <c:pt idx="1">
                  <c:v>Zlínský kraj (V)</c:v>
                </c:pt>
                <c:pt idx="2">
                  <c:v>Plzeňský kraj (V)</c:v>
                </c:pt>
                <c:pt idx="3">
                  <c:v>Kraj Vysočina (V)</c:v>
                </c:pt>
                <c:pt idx="4">
                  <c:v>Olomoucký kraj (V)</c:v>
                </c:pt>
                <c:pt idx="5">
                  <c:v>Karlovarský kraj</c:v>
                </c:pt>
                <c:pt idx="6">
                  <c:v>Moravskoslezský kraj</c:v>
                </c:pt>
                <c:pt idx="7">
                  <c:v>Jihočeský kraj (V)</c:v>
                </c:pt>
                <c:pt idx="8">
                  <c:v>Jihomoravský kraj</c:v>
                </c:pt>
                <c:pt idx="9">
                  <c:v>Pardubický kraj (V)</c:v>
                </c:pt>
                <c:pt idx="10">
                  <c:v>Hl. m. Praha (M)</c:v>
                </c:pt>
                <c:pt idx="11">
                  <c:v>Liberecký kraj</c:v>
                </c:pt>
                <c:pt idx="12">
                  <c:v>Ústecký kraj</c:v>
                </c:pt>
                <c:pt idx="13">
                  <c:v>Středočeský kraj (M)</c:v>
                </c:pt>
                <c:pt idx="15">
                  <c:v>Celkový součet</c:v>
                </c:pt>
              </c:strCache>
            </c:strRef>
          </c:cat>
          <c:val>
            <c:numRef>
              <c:f>Věk!$G$72:$G$87</c:f>
              <c:numCache>
                <c:formatCode>General</c:formatCode>
                <c:ptCount val="16"/>
                <c:pt idx="0">
                  <c:v>132.01443974730444</c:v>
                </c:pt>
                <c:pt idx="1">
                  <c:v>131.08826903688595</c:v>
                </c:pt>
                <c:pt idx="2">
                  <c:v>126.68400282853167</c:v>
                </c:pt>
                <c:pt idx="3">
                  <c:v>126.67692586222503</c:v>
                </c:pt>
                <c:pt idx="4">
                  <c:v>126.38341861787356</c:v>
                </c:pt>
                <c:pt idx="5">
                  <c:v>126.2603291828969</c:v>
                </c:pt>
                <c:pt idx="6">
                  <c:v>124.48844483920976</c:v>
                </c:pt>
                <c:pt idx="7">
                  <c:v>122.92053434498345</c:v>
                </c:pt>
                <c:pt idx="8">
                  <c:v>122.91200351108185</c:v>
                </c:pt>
                <c:pt idx="9">
                  <c:v>122.50789859939798</c:v>
                </c:pt>
                <c:pt idx="10">
                  <c:v>122.43954499043083</c:v>
                </c:pt>
                <c:pt idx="11">
                  <c:v>118.37827853712596</c:v>
                </c:pt>
                <c:pt idx="12">
                  <c:v>114.95049126428871</c:v>
                </c:pt>
                <c:pt idx="13">
                  <c:v>101.49630243969867</c:v>
                </c:pt>
                <c:pt idx="15">
                  <c:v>120.7401314291785</c:v>
                </c:pt>
              </c:numCache>
            </c:numRef>
          </c:val>
          <c:extLst>
            <c:ext xmlns:c16="http://schemas.microsoft.com/office/drawing/2014/chart" uri="{C3380CC4-5D6E-409C-BE32-E72D297353CC}">
              <c16:uniqueId val="{00000000-8C5C-DD46-8074-E00ED1D13979}"/>
            </c:ext>
          </c:extLst>
        </c:ser>
        <c:dLbls>
          <c:showLegendKey val="0"/>
          <c:showVal val="0"/>
          <c:showCatName val="0"/>
          <c:showSerName val="0"/>
          <c:showPercent val="0"/>
          <c:showBubbleSize val="0"/>
        </c:dLbls>
        <c:gapWidth val="219"/>
        <c:overlap val="-27"/>
        <c:axId val="2427136"/>
        <c:axId val="2437120"/>
      </c:barChart>
      <c:catAx>
        <c:axId val="242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437120"/>
        <c:crosses val="autoZero"/>
        <c:auto val="1"/>
        <c:lblAlgn val="ctr"/>
        <c:lblOffset val="100"/>
        <c:noMultiLvlLbl val="0"/>
      </c:catAx>
      <c:valAx>
        <c:axId val="2437120"/>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427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Věk!$C$179</c:f>
              <c:strCache>
                <c:ptCount val="1"/>
                <c:pt idx="0">
                  <c:v>Index stáří</c:v>
                </c:pt>
              </c:strCache>
            </c:strRef>
          </c:tx>
          <c:spPr>
            <a:solidFill>
              <a:srgbClr val="FF0000"/>
            </a:solidFill>
            <a:ln>
              <a:noFill/>
            </a:ln>
            <a:effectLst/>
          </c:spPr>
          <c:invertIfNegative val="0"/>
          <c:dPt>
            <c:idx val="2"/>
            <c:invertIfNegative val="0"/>
            <c:bubble3D val="0"/>
            <c:spPr>
              <a:solidFill>
                <a:srgbClr val="92D050"/>
              </a:solidFill>
              <a:ln>
                <a:noFill/>
              </a:ln>
              <a:effectLst/>
            </c:spPr>
            <c:extLst>
              <c:ext xmlns:c16="http://schemas.microsoft.com/office/drawing/2014/chart" uri="{C3380CC4-5D6E-409C-BE32-E72D297353CC}">
                <c16:uniqueId val="{00000001-3709-2246-9FE7-4BB223612CEC}"/>
              </c:ext>
            </c:extLst>
          </c:dPt>
          <c:dPt>
            <c:idx val="4"/>
            <c:invertIfNegative val="0"/>
            <c:bubble3D val="0"/>
            <c:spPr>
              <a:solidFill>
                <a:srgbClr val="92D050"/>
              </a:solidFill>
              <a:ln>
                <a:noFill/>
              </a:ln>
              <a:effectLst/>
            </c:spPr>
            <c:extLst>
              <c:ext xmlns:c16="http://schemas.microsoft.com/office/drawing/2014/chart" uri="{C3380CC4-5D6E-409C-BE32-E72D297353CC}">
                <c16:uniqueId val="{00000003-3709-2246-9FE7-4BB223612CEC}"/>
              </c:ext>
            </c:extLst>
          </c:dPt>
          <c:dPt>
            <c:idx val="6"/>
            <c:invertIfNegative val="0"/>
            <c:bubble3D val="0"/>
            <c:spPr>
              <a:solidFill>
                <a:srgbClr val="92D050"/>
              </a:solidFill>
              <a:ln>
                <a:noFill/>
              </a:ln>
              <a:effectLst/>
            </c:spPr>
            <c:extLst>
              <c:ext xmlns:c16="http://schemas.microsoft.com/office/drawing/2014/chart" uri="{C3380CC4-5D6E-409C-BE32-E72D297353CC}">
                <c16:uniqueId val="{00000005-3709-2246-9FE7-4BB223612CEC}"/>
              </c:ext>
            </c:extLst>
          </c:dPt>
          <c:dPt>
            <c:idx val="8"/>
            <c:invertIfNegative val="0"/>
            <c:bubble3D val="0"/>
            <c:spPr>
              <a:solidFill>
                <a:srgbClr val="92D050"/>
              </a:solidFill>
              <a:ln>
                <a:noFill/>
              </a:ln>
              <a:effectLst/>
            </c:spPr>
            <c:extLst>
              <c:ext xmlns:c16="http://schemas.microsoft.com/office/drawing/2014/chart" uri="{C3380CC4-5D6E-409C-BE32-E72D297353CC}">
                <c16:uniqueId val="{00000007-3709-2246-9FE7-4BB223612CEC}"/>
              </c:ext>
            </c:extLst>
          </c:dPt>
          <c:dPt>
            <c:idx val="10"/>
            <c:invertIfNegative val="0"/>
            <c:bubble3D val="0"/>
            <c:spPr>
              <a:solidFill>
                <a:srgbClr val="92D050"/>
              </a:solidFill>
              <a:ln>
                <a:noFill/>
              </a:ln>
              <a:effectLst/>
            </c:spPr>
            <c:extLst>
              <c:ext xmlns:c16="http://schemas.microsoft.com/office/drawing/2014/chart" uri="{C3380CC4-5D6E-409C-BE32-E72D297353CC}">
                <c16:uniqueId val="{00000009-3709-2246-9FE7-4BB223612CEC}"/>
              </c:ext>
            </c:extLst>
          </c:dPt>
          <c:dPt>
            <c:idx val="12"/>
            <c:invertIfNegative val="0"/>
            <c:bubble3D val="0"/>
            <c:spPr>
              <a:solidFill>
                <a:srgbClr val="92D050"/>
              </a:solidFill>
              <a:ln>
                <a:noFill/>
              </a:ln>
              <a:effectLst/>
            </c:spPr>
            <c:extLst>
              <c:ext xmlns:c16="http://schemas.microsoft.com/office/drawing/2014/chart" uri="{C3380CC4-5D6E-409C-BE32-E72D297353CC}">
                <c16:uniqueId val="{0000000B-3709-2246-9FE7-4BB223612CEC}"/>
              </c:ext>
            </c:extLst>
          </c:dPt>
          <c:dPt>
            <c:idx val="14"/>
            <c:invertIfNegative val="0"/>
            <c:bubble3D val="0"/>
            <c:spPr>
              <a:solidFill>
                <a:srgbClr val="92D050"/>
              </a:solidFill>
              <a:ln>
                <a:noFill/>
              </a:ln>
              <a:effectLst/>
            </c:spPr>
            <c:extLst>
              <c:ext xmlns:c16="http://schemas.microsoft.com/office/drawing/2014/chart" uri="{C3380CC4-5D6E-409C-BE32-E72D297353CC}">
                <c16:uniqueId val="{0000000D-3709-2246-9FE7-4BB223612CEC}"/>
              </c:ext>
            </c:extLst>
          </c:dPt>
          <c:dPt>
            <c:idx val="16"/>
            <c:invertIfNegative val="0"/>
            <c:bubble3D val="0"/>
            <c:spPr>
              <a:solidFill>
                <a:srgbClr val="92D050"/>
              </a:solidFill>
              <a:ln>
                <a:noFill/>
              </a:ln>
              <a:effectLst/>
            </c:spPr>
            <c:extLst>
              <c:ext xmlns:c16="http://schemas.microsoft.com/office/drawing/2014/chart" uri="{C3380CC4-5D6E-409C-BE32-E72D297353CC}">
                <c16:uniqueId val="{0000000F-3709-2246-9FE7-4BB223612CEC}"/>
              </c:ext>
            </c:extLst>
          </c:dPt>
          <c:dPt>
            <c:idx val="18"/>
            <c:invertIfNegative val="0"/>
            <c:bubble3D val="0"/>
            <c:spPr>
              <a:solidFill>
                <a:srgbClr val="92D050"/>
              </a:solidFill>
              <a:ln>
                <a:noFill/>
              </a:ln>
              <a:effectLst/>
            </c:spPr>
            <c:extLst>
              <c:ext xmlns:c16="http://schemas.microsoft.com/office/drawing/2014/chart" uri="{C3380CC4-5D6E-409C-BE32-E72D297353CC}">
                <c16:uniqueId val="{00000011-3709-2246-9FE7-4BB223612CEC}"/>
              </c:ext>
            </c:extLst>
          </c:dPt>
          <c:dPt>
            <c:idx val="20"/>
            <c:invertIfNegative val="0"/>
            <c:bubble3D val="0"/>
            <c:spPr>
              <a:solidFill>
                <a:srgbClr val="92D050"/>
              </a:solidFill>
              <a:ln>
                <a:noFill/>
              </a:ln>
              <a:effectLst/>
            </c:spPr>
            <c:extLst>
              <c:ext xmlns:c16="http://schemas.microsoft.com/office/drawing/2014/chart" uri="{C3380CC4-5D6E-409C-BE32-E72D297353CC}">
                <c16:uniqueId val="{00000013-3709-2246-9FE7-4BB223612CEC}"/>
              </c:ext>
            </c:extLst>
          </c:dPt>
          <c:dPt>
            <c:idx val="22"/>
            <c:invertIfNegative val="0"/>
            <c:bubble3D val="0"/>
            <c:spPr>
              <a:solidFill>
                <a:srgbClr val="92D050"/>
              </a:solidFill>
              <a:ln>
                <a:noFill/>
              </a:ln>
              <a:effectLst/>
            </c:spPr>
            <c:extLst>
              <c:ext xmlns:c16="http://schemas.microsoft.com/office/drawing/2014/chart" uri="{C3380CC4-5D6E-409C-BE32-E72D297353CC}">
                <c16:uniqueId val="{00000015-3709-2246-9FE7-4BB223612CEC}"/>
              </c:ext>
            </c:extLst>
          </c:dPt>
          <c:dPt>
            <c:idx val="24"/>
            <c:invertIfNegative val="0"/>
            <c:bubble3D val="0"/>
            <c:spPr>
              <a:solidFill>
                <a:srgbClr val="92D050"/>
              </a:solidFill>
              <a:ln>
                <a:noFill/>
              </a:ln>
              <a:effectLst/>
            </c:spPr>
            <c:extLst>
              <c:ext xmlns:c16="http://schemas.microsoft.com/office/drawing/2014/chart" uri="{C3380CC4-5D6E-409C-BE32-E72D297353CC}">
                <c16:uniqueId val="{00000017-3709-2246-9FE7-4BB223612CEC}"/>
              </c:ext>
            </c:extLst>
          </c:dPt>
          <c:dPt>
            <c:idx val="26"/>
            <c:invertIfNegative val="0"/>
            <c:bubble3D val="0"/>
            <c:spPr>
              <a:solidFill>
                <a:srgbClr val="92D050"/>
              </a:solidFill>
              <a:ln>
                <a:noFill/>
              </a:ln>
              <a:effectLst/>
            </c:spPr>
            <c:extLst>
              <c:ext xmlns:c16="http://schemas.microsoft.com/office/drawing/2014/chart" uri="{C3380CC4-5D6E-409C-BE32-E72D297353CC}">
                <c16:uniqueId val="{00000019-3709-2246-9FE7-4BB223612C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Věk!$A$180:$B$206</c:f>
              <c:strCache>
                <c:ptCount val="27"/>
                <c:pt idx="0">
                  <c:v>Hl. m. Praha (M)</c:v>
                </c:pt>
                <c:pt idx="1">
                  <c:v>Jihočeský kraj (V)</c:v>
                </c:pt>
                <c:pt idx="3">
                  <c:v>Jihomoravský kraj</c:v>
                </c:pt>
                <c:pt idx="5">
                  <c:v>Karlovarský kraj</c:v>
                </c:pt>
                <c:pt idx="7">
                  <c:v>Kraj Vysočina (V)</c:v>
                </c:pt>
                <c:pt idx="9">
                  <c:v>Královéhradecký kraj</c:v>
                </c:pt>
                <c:pt idx="11">
                  <c:v>Liberecký kraj</c:v>
                </c:pt>
                <c:pt idx="13">
                  <c:v>Moravskoslezský kraj</c:v>
                </c:pt>
                <c:pt idx="15">
                  <c:v>Olomoucký kraj (V)</c:v>
                </c:pt>
                <c:pt idx="17">
                  <c:v>Pardubický kraj (V)</c:v>
                </c:pt>
                <c:pt idx="19">
                  <c:v>Plzeňský kraj (V)</c:v>
                </c:pt>
                <c:pt idx="21">
                  <c:v>Středočeský kraj</c:v>
                </c:pt>
                <c:pt idx="23">
                  <c:v>Ústecký kraj</c:v>
                </c:pt>
                <c:pt idx="25">
                  <c:v>Zlínský kraj (V)</c:v>
                </c:pt>
              </c:strCache>
              <c:extLst/>
            </c:strRef>
          </c:cat>
          <c:val>
            <c:numRef>
              <c:f>Věk!$C$180:$C$206</c:f>
              <c:numCache>
                <c:formatCode>0.0</c:formatCode>
                <c:ptCount val="27"/>
                <c:pt idx="0">
                  <c:v>122.43954499043083</c:v>
                </c:pt>
                <c:pt idx="1">
                  <c:v>128.29716458102328</c:v>
                </c:pt>
                <c:pt idx="2">
                  <c:v>113.48729920515814</c:v>
                </c:pt>
                <c:pt idx="3">
                  <c:v>128.99336565450369</c:v>
                </c:pt>
                <c:pt idx="4">
                  <c:v>109.50203966802646</c:v>
                </c:pt>
                <c:pt idx="5">
                  <c:v>132.59725995722295</c:v>
                </c:pt>
                <c:pt idx="6">
                  <c:v>103.92256749872644</c:v>
                </c:pt>
                <c:pt idx="7">
                  <c:v>132.67441585189746</c:v>
                </c:pt>
                <c:pt idx="8">
                  <c:v>119.45679434564525</c:v>
                </c:pt>
                <c:pt idx="9">
                  <c:v>142.16375760667566</c:v>
                </c:pt>
                <c:pt idx="10">
                  <c:v>113.01916388187956</c:v>
                </c:pt>
                <c:pt idx="11">
                  <c:v>120.28677238628811</c:v>
                </c:pt>
                <c:pt idx="12">
                  <c:v>112.70942629886613</c:v>
                </c:pt>
                <c:pt idx="13">
                  <c:v>128.09964741160576</c:v>
                </c:pt>
                <c:pt idx="14">
                  <c:v>105.93036645668225</c:v>
                </c:pt>
                <c:pt idx="15">
                  <c:v>132.27218915719311</c:v>
                </c:pt>
                <c:pt idx="16">
                  <c:v>116.02988138686132</c:v>
                </c:pt>
                <c:pt idx="17">
                  <c:v>132.15611455589888</c:v>
                </c:pt>
                <c:pt idx="18">
                  <c:v>108.04712025611538</c:v>
                </c:pt>
                <c:pt idx="19">
                  <c:v>129.59698164980279</c:v>
                </c:pt>
                <c:pt idx="20">
                  <c:v>120.90029964587305</c:v>
                </c:pt>
                <c:pt idx="21">
                  <c:v>103.4297311753112</c:v>
                </c:pt>
                <c:pt idx="22">
                  <c:v>98.719230485892595</c:v>
                </c:pt>
                <c:pt idx="23">
                  <c:v>116.40192907584253</c:v>
                </c:pt>
                <c:pt idx="24">
                  <c:v>109.17843144716312</c:v>
                </c:pt>
                <c:pt idx="25">
                  <c:v>138.28813443541225</c:v>
                </c:pt>
                <c:pt idx="26">
                  <c:v>115.88852435375129</c:v>
                </c:pt>
              </c:numCache>
            </c:numRef>
          </c:val>
          <c:extLst>
            <c:ext xmlns:c16="http://schemas.microsoft.com/office/drawing/2014/chart" uri="{C3380CC4-5D6E-409C-BE32-E72D297353CC}">
              <c16:uniqueId val="{0000001A-3709-2246-9FE7-4BB223612CEC}"/>
            </c:ext>
          </c:extLst>
        </c:ser>
        <c:dLbls>
          <c:showLegendKey val="0"/>
          <c:showVal val="0"/>
          <c:showCatName val="0"/>
          <c:showSerName val="0"/>
          <c:showPercent val="0"/>
          <c:showBubbleSize val="0"/>
        </c:dLbls>
        <c:gapWidth val="219"/>
        <c:overlap val="-27"/>
        <c:axId val="2456192"/>
        <c:axId val="2457984"/>
      </c:barChart>
      <c:catAx>
        <c:axId val="245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457984"/>
        <c:crosses val="autoZero"/>
        <c:auto val="1"/>
        <c:lblAlgn val="ctr"/>
        <c:lblOffset val="100"/>
        <c:noMultiLvlLbl val="0"/>
      </c:catAx>
      <c:valAx>
        <c:axId val="2457984"/>
        <c:scaling>
          <c:orientation val="minMax"/>
          <c:max val="150"/>
          <c:min val="9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456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'HDP - kraje'!$K$5</c:f>
              <c:strCache>
                <c:ptCount val="1"/>
                <c:pt idx="0">
                  <c:v>Převážně městské</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'HDP - kraje'!$L$4:$V$4</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'HDP - kraje'!$L$5:$V$5</c:f>
              <c:numCache>
                <c:formatCode>0.0</c:formatCode>
                <c:ptCount val="11"/>
                <c:pt idx="0">
                  <c:v>35.186892286913093</c:v>
                </c:pt>
                <c:pt idx="1">
                  <c:v>36.416031019989177</c:v>
                </c:pt>
                <c:pt idx="2">
                  <c:v>36.43587728394705</c:v>
                </c:pt>
                <c:pt idx="3">
                  <c:v>36.11119812386579</c:v>
                </c:pt>
                <c:pt idx="4">
                  <c:v>36.110204479665967</c:v>
                </c:pt>
                <c:pt idx="5">
                  <c:v>36.115955972238403</c:v>
                </c:pt>
                <c:pt idx="6">
                  <c:v>35.956372262239249</c:v>
                </c:pt>
                <c:pt idx="7">
                  <c:v>35.932173940592179</c:v>
                </c:pt>
                <c:pt idx="8">
                  <c:v>35.766714329867199</c:v>
                </c:pt>
                <c:pt idx="9">
                  <c:v>36.503729623330713</c:v>
                </c:pt>
                <c:pt idx="10">
                  <c:v>36.456840525076842</c:v>
                </c:pt>
              </c:numCache>
            </c:numRef>
          </c:val>
          <c:smooth val="0"/>
          <c:extLst>
            <c:ext xmlns:c16="http://schemas.microsoft.com/office/drawing/2014/chart" uri="{C3380CC4-5D6E-409C-BE32-E72D297353CC}">
              <c16:uniqueId val="{00000000-5E34-E143-8398-EBD3C0781D3C}"/>
            </c:ext>
          </c:extLst>
        </c:ser>
        <c:ser>
          <c:idx val="1"/>
          <c:order val="1"/>
          <c:tx>
            <c:strRef>
              <c:f>'HDP - kraje'!$K$6</c:f>
              <c:strCache>
                <c:ptCount val="1"/>
                <c:pt idx="0">
                  <c:v>Převážně venkovské</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'HDP - kraje'!$L$4:$V$4</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'HDP - kraje'!$L$6:$V$6</c:f>
              <c:numCache>
                <c:formatCode>0.0</c:formatCode>
                <c:ptCount val="11"/>
                <c:pt idx="0">
                  <c:v>28.10501580247508</c:v>
                </c:pt>
                <c:pt idx="1">
                  <c:v>27.516411437542725</c:v>
                </c:pt>
                <c:pt idx="2">
                  <c:v>27.281474386139497</c:v>
                </c:pt>
                <c:pt idx="3">
                  <c:v>27.45819733239777</c:v>
                </c:pt>
                <c:pt idx="4">
                  <c:v>27.652867183247576</c:v>
                </c:pt>
                <c:pt idx="5">
                  <c:v>27.531410321579209</c:v>
                </c:pt>
                <c:pt idx="6">
                  <c:v>27.271709470294947</c:v>
                </c:pt>
                <c:pt idx="7">
                  <c:v>27.520991140209233</c:v>
                </c:pt>
                <c:pt idx="8">
                  <c:v>27.84707643398805</c:v>
                </c:pt>
                <c:pt idx="9">
                  <c:v>27.413997214944558</c:v>
                </c:pt>
                <c:pt idx="10">
                  <c:v>27.382058029250256</c:v>
                </c:pt>
              </c:numCache>
            </c:numRef>
          </c:val>
          <c:smooth val="0"/>
          <c:extLst>
            <c:ext xmlns:c16="http://schemas.microsoft.com/office/drawing/2014/chart" uri="{C3380CC4-5D6E-409C-BE32-E72D297353CC}">
              <c16:uniqueId val="{00000001-5E34-E143-8398-EBD3C0781D3C}"/>
            </c:ext>
          </c:extLst>
        </c:ser>
        <c:ser>
          <c:idx val="2"/>
          <c:order val="2"/>
          <c:tx>
            <c:strRef>
              <c:f>'HDP - kraje'!$K$7</c:f>
              <c:strCache>
                <c:ptCount val="1"/>
                <c:pt idx="0">
                  <c:v>Smíšené</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'HDP - kraje'!$L$4:$V$4</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'HDP - kraje'!$L$7:$V$7</c:f>
              <c:numCache>
                <c:formatCode>0.0</c:formatCode>
                <c:ptCount val="11"/>
                <c:pt idx="0">
                  <c:v>36.70809191061182</c:v>
                </c:pt>
                <c:pt idx="1">
                  <c:v>36.067557542468101</c:v>
                </c:pt>
                <c:pt idx="2">
                  <c:v>36.282648329913449</c:v>
                </c:pt>
                <c:pt idx="3">
                  <c:v>36.430604543736436</c:v>
                </c:pt>
                <c:pt idx="4">
                  <c:v>36.236928337086454</c:v>
                </c:pt>
                <c:pt idx="5">
                  <c:v>36.352633706182388</c:v>
                </c:pt>
                <c:pt idx="6">
                  <c:v>36.7719182674658</c:v>
                </c:pt>
                <c:pt idx="7">
                  <c:v>36.546834919198588</c:v>
                </c:pt>
                <c:pt idx="8">
                  <c:v>36.386209236144751</c:v>
                </c:pt>
                <c:pt idx="9">
                  <c:v>36.082273161724729</c:v>
                </c:pt>
                <c:pt idx="10">
                  <c:v>36.161101445672891</c:v>
                </c:pt>
              </c:numCache>
            </c:numRef>
          </c:val>
          <c:smooth val="0"/>
          <c:extLst>
            <c:ext xmlns:c16="http://schemas.microsoft.com/office/drawing/2014/chart" uri="{C3380CC4-5D6E-409C-BE32-E72D297353CC}">
              <c16:uniqueId val="{00000002-5E34-E143-8398-EBD3C0781D3C}"/>
            </c:ext>
          </c:extLst>
        </c:ser>
        <c:dLbls>
          <c:showLegendKey val="0"/>
          <c:showVal val="0"/>
          <c:showCatName val="0"/>
          <c:showSerName val="0"/>
          <c:showPercent val="0"/>
          <c:showBubbleSize val="0"/>
        </c:dLbls>
        <c:marker val="1"/>
        <c:smooth val="0"/>
        <c:axId val="33707904"/>
        <c:axId val="33714176"/>
      </c:lineChart>
      <c:catAx>
        <c:axId val="33707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33714176"/>
        <c:crosses val="autoZero"/>
        <c:auto val="1"/>
        <c:lblAlgn val="ctr"/>
        <c:lblOffset val="100"/>
        <c:noMultiLvlLbl val="0"/>
      </c:catAx>
      <c:valAx>
        <c:axId val="33714176"/>
        <c:scaling>
          <c:orientation val="minMax"/>
          <c:max val="40"/>
          <c:min val="20"/>
        </c:scaling>
        <c:delete val="0"/>
        <c:axPos val="l"/>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3707904"/>
        <c:crosses val="autoZero"/>
        <c:crossBetween val="between"/>
        <c:majorUnit val="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0.80552</cdr:x>
      <cdr:y>0.90118</cdr:y>
    </cdr:from>
    <cdr:to>
      <cdr:x>0.98118</cdr:x>
      <cdr:y>0.9772</cdr:y>
    </cdr:to>
    <cdr:sp macro="" textlink="">
      <cdr:nvSpPr>
        <cdr:cNvPr id="2" name="TextovéPole 1">
          <a:extLst xmlns:a="http://schemas.openxmlformats.org/drawingml/2006/main">
            <a:ext uri="{FF2B5EF4-FFF2-40B4-BE49-F238E27FC236}">
              <a16:creationId xmlns:a16="http://schemas.microsoft.com/office/drawing/2014/main" id="{4A84CB9F-11CB-4B27-B292-52D835EB17D9}"/>
            </a:ext>
          </a:extLst>
        </cdr:cNvPr>
        <cdr:cNvSpPr txBox="1"/>
      </cdr:nvSpPr>
      <cdr:spPr>
        <a:xfrm xmlns:a="http://schemas.openxmlformats.org/drawingml/2006/main">
          <a:off x="6794501" y="2509310"/>
          <a:ext cx="1481667" cy="2116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cs-CZ"/>
        </a:p>
      </cdr:txBody>
    </cdr: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c3fb474-7ee0-46e5-8a88-7652e86342ee">PPJUKTQ2N3EH-1-120359</_dlc_DocId>
    <_dlc_DocIdUrl xmlns="bc3fb474-7ee0-46e5-8a88-7652e86342ee">
      <Url>http://dms/_layouts/15/DocIdRedir.aspx?ID=PPJUKTQ2N3EH-1-120359</Url>
      <Description>PPJUKTQ2N3EH-1-120359</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4206D1F23D4B7D41BAFDD078F70E603C" ma:contentTypeVersion="0" ma:contentTypeDescription="Vytvoří nový dokument" ma:contentTypeScope="" ma:versionID="a47036528e8bb7f1311485dffa5fb69f">
  <xsd:schema xmlns:xsd="http://www.w3.org/2001/XMLSchema" xmlns:xs="http://www.w3.org/2001/XMLSchema" xmlns:p="http://schemas.microsoft.com/office/2006/metadata/properties" xmlns:ns2="bc3fb474-7ee0-46e5-8a88-7652e86342ee" targetNamespace="http://schemas.microsoft.com/office/2006/metadata/properties" ma:root="true" ma:fieldsID="a8f09a479c298ec734ac2a5224c49aa1" ns2:_="">
    <xsd:import namespace="bc3fb474-7ee0-46e5-8a88-7652e86342e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fb474-7ee0-46e5-8a88-7652e86342ee"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393E5-AC81-42E5-A4BE-6CCF3B6E50C1}">
  <ds:schemaRefs>
    <ds:schemaRef ds:uri="http://schemas.microsoft.com/office/infopath/2007/PartnerControls"/>
    <ds:schemaRef ds:uri="http://purl.org/dc/elements/1.1/"/>
    <ds:schemaRef ds:uri="http://schemas.microsoft.com/office/2006/metadata/properties"/>
    <ds:schemaRef ds:uri="bc3fb474-7ee0-46e5-8a88-7652e86342ee"/>
    <ds:schemaRef ds:uri="http://purl.org/dc/terms/"/>
    <ds:schemaRef ds:uri="http://schemas.openxmlformats.org/package/2006/metadata/core-properties"/>
    <ds:schemaRef ds:uri="http://schemas.microsoft.com/office/2006/documentManagement/types"/>
    <ds:schemaRef ds:uri="http://purl.org/dc/dcmitype/"/>
    <ds:schemaRef ds:uri="http://www.w3.org/XML/1998/namespace"/>
  </ds:schemaRefs>
</ds:datastoreItem>
</file>

<file path=customXml/itemProps2.xml><?xml version="1.0" encoding="utf-8"?>
<ds:datastoreItem xmlns:ds="http://schemas.openxmlformats.org/officeDocument/2006/customXml" ds:itemID="{B3CCEB9F-62CB-4DA0-B802-17127DA95850}">
  <ds:schemaRefs>
    <ds:schemaRef ds:uri="http://schemas.microsoft.com/sharepoint/events"/>
  </ds:schemaRefs>
</ds:datastoreItem>
</file>

<file path=customXml/itemProps3.xml><?xml version="1.0" encoding="utf-8"?>
<ds:datastoreItem xmlns:ds="http://schemas.openxmlformats.org/officeDocument/2006/customXml" ds:itemID="{3B283BFF-5342-4CAA-8EAE-914DF6EA9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fb474-7ee0-46e5-8a88-7652e8634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7027A3-056A-4790-93AD-5B344A1BA9B7}">
  <ds:schemaRefs>
    <ds:schemaRef ds:uri="http://schemas.microsoft.com/sharepoint/v3/contenttype/forms"/>
  </ds:schemaRefs>
</ds:datastoreItem>
</file>

<file path=customXml/itemProps5.xml><?xml version="1.0" encoding="utf-8"?>
<ds:datastoreItem xmlns:ds="http://schemas.openxmlformats.org/officeDocument/2006/customXml" ds:itemID="{E6A13952-3FE0-4476-89D2-2EC61F844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13521</Words>
  <Characters>79780</Characters>
  <Application>Microsoft Office Word</Application>
  <DocSecurity>4</DocSecurity>
  <Lines>664</Lines>
  <Paragraphs>186</Paragraphs>
  <ScaleCrop>false</ScaleCrop>
  <HeadingPairs>
    <vt:vector size="2" baseType="variant">
      <vt:variant>
        <vt:lpstr>Název</vt:lpstr>
      </vt:variant>
      <vt:variant>
        <vt:i4>1</vt:i4>
      </vt:variant>
    </vt:vector>
  </HeadingPairs>
  <TitlesOfParts>
    <vt:vector size="1" baseType="lpstr">
      <vt:lpstr/>
    </vt:vector>
  </TitlesOfParts>
  <Company>MZe ČR</Company>
  <LinksUpToDate>false</LinksUpToDate>
  <CharactersWithSpaces>93115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Jelínek Ladislav</dc:creator>
  <cp:lastModifiedBy>Hlavsa Tomáš</cp:lastModifiedBy>
  <cp:revision>2</cp:revision>
  <dcterms:created xsi:type="dcterms:W3CDTF">2018-09-27T13:49:00Z</dcterms:created>
  <dcterms:modified xsi:type="dcterms:W3CDTF">2018-09-27T13:49:00Z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0x0101004206D1F23D4B7D41BAFDD078F70E603C</vt:lpwstr>
  </property>
  <property fmtid="{D5CDD505-2E9C-101B-9397-08002B2CF9AE}" pid="3" name="_dlc_DocIdItemGuid">
    <vt:lpwstr>cd2e62ed-9a5d-430c-8297-43da8323b214</vt:lpwstr>
  </property>
</Properties>
</file>