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3A" w:rsidRPr="003B6DAE" w:rsidRDefault="0000695E" w:rsidP="00E4113A">
      <w:pPr>
        <w:pStyle w:val="logo"/>
      </w:pPr>
      <w:r>
        <w:rPr>
          <w:noProof/>
          <w:lang w:val="en-US" w:eastAsia="en-US"/>
        </w:rPr>
        <w:drawing>
          <wp:inline distT="0" distB="0" distL="0" distR="0" wp14:anchorId="1A51DEB4" wp14:editId="56F4D287">
            <wp:extent cx="3597275" cy="594995"/>
            <wp:effectExtent l="0" t="0" r="3175" b="0"/>
            <wp:docPr id="15" name="Obrázek 15" descr="C:\Users\jelinekl\AppData\Local\Microsoft\Windows\INetCacheContent.Word\UZEItxRb_208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linekl\AppData\Local\Microsoft\Windows\INetCacheContent.Word\UZEItxRb_208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3A" w:rsidRPr="00FE4B18" w:rsidRDefault="00E4113A" w:rsidP="00E4113A">
      <w:pPr>
        <w:pStyle w:val="UZEI"/>
      </w:pPr>
      <w:r w:rsidRPr="00FE4B18">
        <w:t>Ústav zemědělské ekonomiky a informací</w:t>
      </w:r>
    </w:p>
    <w:p w:rsidR="00E4113A" w:rsidRDefault="00E4113A" w:rsidP="00BD6106">
      <w:pPr>
        <w:pStyle w:val="st-nazev"/>
        <w:spacing w:before="2160"/>
      </w:pPr>
      <w:r>
        <w:t>PODKLADOVÉ ANALÝZY</w:t>
      </w:r>
      <w:r w:rsidRPr="00C81804">
        <w:t xml:space="preserve"> </w:t>
      </w:r>
      <w:r>
        <w:t>PRO PŘÍPRAVU SZP V PROGRAMOVÉM OBDOBÍ 2021+</w:t>
      </w:r>
    </w:p>
    <w:p w:rsidR="00E4113A" w:rsidRDefault="00507479" w:rsidP="00E4113A">
      <w:pPr>
        <w:pStyle w:val="st-rok"/>
        <w:spacing w:before="360"/>
      </w:pPr>
      <w:r>
        <w:t>Specifický cíl</w:t>
      </w:r>
      <w:r w:rsidR="00E92CE2">
        <w:t xml:space="preserve"> A)</w:t>
      </w:r>
      <w:r>
        <w:t xml:space="preserve"> Podpora životaschopného zemědělského příjmu a odolnosti na celém území EU na podporu zajištění potravin</w:t>
      </w:r>
    </w:p>
    <w:p w:rsidR="00E4113A" w:rsidRDefault="00E4113A" w:rsidP="00E4113A"/>
    <w:p w:rsidR="00E4113A" w:rsidRDefault="00E4113A" w:rsidP="00E4113A"/>
    <w:p w:rsidR="00E4113A" w:rsidRDefault="00FE1B6B" w:rsidP="00E4113A">
      <w:r>
        <w:t>Odpovědný vedoucí PS: Ladislav Jelínek</w:t>
      </w:r>
    </w:p>
    <w:p w:rsidR="00FE1B6B" w:rsidRDefault="00FE1B6B" w:rsidP="00E4113A">
      <w:r>
        <w:t>Členové PS: Tomáš Doucha, Tomáš Medonos, Jakub Kučera, Václav Vilhelm, Jindřich Špička, Martin Hruška, Sumudu Boyinová, Jaroslav Humpál, Ivan Foltýn, Michaela Lekešová, Tomáš Hlavsa, Zuzana Hloušková, Tomáš Vintr, Marie Štolbová, Jan Drlík</w:t>
      </w:r>
    </w:p>
    <w:p w:rsidR="00FE1B6B" w:rsidRDefault="00FE1B6B" w:rsidP="00E4113A">
      <w:r>
        <w:t xml:space="preserve"> </w:t>
      </w:r>
    </w:p>
    <w:p w:rsidR="00FE1B6B" w:rsidRDefault="00FE1B6B" w:rsidP="00E4113A"/>
    <w:p w:rsidR="00E4113A" w:rsidRDefault="00E4113A" w:rsidP="00E4113A"/>
    <w:p w:rsidR="00E4113A" w:rsidRDefault="00E4113A" w:rsidP="00E4113A"/>
    <w:p w:rsidR="00E4113A" w:rsidRDefault="00E4113A" w:rsidP="00E4113A"/>
    <w:p w:rsidR="00081C31" w:rsidRDefault="00081C31" w:rsidP="00E4113A">
      <w:pPr>
        <w:jc w:val="center"/>
      </w:pPr>
    </w:p>
    <w:p w:rsidR="00081C31" w:rsidRDefault="00081C31" w:rsidP="00E4113A">
      <w:pPr>
        <w:jc w:val="center"/>
      </w:pPr>
    </w:p>
    <w:p w:rsidR="00081C31" w:rsidRDefault="00081C31" w:rsidP="00E4113A">
      <w:pPr>
        <w:jc w:val="center"/>
      </w:pPr>
    </w:p>
    <w:p w:rsidR="00BD6106" w:rsidRDefault="00FE1B6B" w:rsidP="00E4113A">
      <w:pPr>
        <w:jc w:val="center"/>
      </w:pPr>
      <w:r>
        <w:t xml:space="preserve">Praha, </w:t>
      </w:r>
      <w:r w:rsidR="00DE0FFA">
        <w:t>27</w:t>
      </w:r>
      <w:r>
        <w:t>.</w:t>
      </w:r>
      <w:r w:rsidR="00F93FA4">
        <w:t xml:space="preserve"> </w:t>
      </w:r>
      <w:r w:rsidR="008A342F">
        <w:t>9</w:t>
      </w:r>
      <w:r w:rsidR="00E4113A">
        <w:t>.</w:t>
      </w:r>
      <w:r w:rsidR="00F93FA4">
        <w:t xml:space="preserve"> </w:t>
      </w:r>
      <w:r w:rsidR="00E4113A">
        <w:t>2018</w:t>
      </w:r>
    </w:p>
    <w:p w:rsidR="00BD6106" w:rsidRDefault="00BD6106">
      <w:pPr>
        <w:spacing w:before="0" w:after="160" w:line="259" w:lineRule="auto"/>
        <w:ind w:firstLine="0"/>
        <w:jc w:val="left"/>
      </w:pPr>
      <w:r>
        <w:br w:type="page"/>
      </w:r>
    </w:p>
    <w:p w:rsidR="00E4113A" w:rsidRDefault="00E4113A" w:rsidP="00E4113A">
      <w:pPr>
        <w:pStyle w:val="Nadpis1"/>
      </w:pPr>
      <w:bookmarkStart w:id="0" w:name="_Toc313363000"/>
      <w:bookmarkStart w:id="1" w:name="_Toc525897095"/>
      <w:r>
        <w:lastRenderedPageBreak/>
        <w:t>Se</w:t>
      </w:r>
      <w:r w:rsidRPr="00117FE3">
        <w:t>znam použitých zkratek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7748"/>
      </w:tblGrid>
      <w:tr w:rsidR="00E4113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E4113A" w:rsidRPr="00055039" w:rsidRDefault="00625F0A" w:rsidP="00BB01E6">
            <w:pPr>
              <w:pStyle w:val="Tabulka"/>
            </w:pPr>
            <w:r>
              <w:t>AKIS</w:t>
            </w:r>
          </w:p>
        </w:tc>
        <w:tc>
          <w:tcPr>
            <w:tcW w:w="4276" w:type="pct"/>
            <w:shd w:val="clear" w:color="auto" w:fill="auto"/>
          </w:tcPr>
          <w:p w:rsidR="00E4113A" w:rsidRPr="00055039" w:rsidRDefault="00625F0A" w:rsidP="00BB01E6">
            <w:pPr>
              <w:pStyle w:val="Tabulka"/>
            </w:pPr>
            <w:r>
              <w:t>Zemědělský poradenský systém (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ANC</w:t>
            </w:r>
          </w:p>
        </w:tc>
        <w:tc>
          <w:tcPr>
            <w:tcW w:w="4276" w:type="pct"/>
            <w:shd w:val="clear" w:color="auto" w:fill="auto"/>
          </w:tcPr>
          <w:p w:rsidR="00625F0A" w:rsidRPr="00055039" w:rsidRDefault="00625F0A" w:rsidP="00625F0A">
            <w:pPr>
              <w:pStyle w:val="Tabulka"/>
            </w:pPr>
            <w:r>
              <w:t>Oblasti s přírodním znevýhodněním (</w:t>
            </w:r>
            <w:proofErr w:type="spellStart"/>
            <w:r>
              <w:t>Areas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Natural </w:t>
            </w:r>
            <w:proofErr w:type="spellStart"/>
            <w:r>
              <w:t>Constraints</w:t>
            </w:r>
            <w:proofErr w:type="spellEnd"/>
            <w:r>
              <w:t>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AWU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Přepočtená pracovní jednotka (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Unit)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CZV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Ceny zemědělských výrobců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ČR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Česká republika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ČPH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Čistá přidaná hodnota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EK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Evropská komise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F11BE8" w:rsidRDefault="00625F0A" w:rsidP="00625F0A">
            <w:pPr>
              <w:pStyle w:val="Tabulka"/>
            </w:pPr>
            <w:r>
              <w:t>EP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Evropský parlament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F11BE8" w:rsidRDefault="00625F0A" w:rsidP="00625F0A">
            <w:pPr>
              <w:pStyle w:val="Tabulka"/>
            </w:pPr>
            <w:r>
              <w:t>EU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Evropská unie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 w:rsidRPr="00F11BE8">
              <w:t>EZFRV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Evropský zemědělský fond pro rozvoj venkova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FADN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Zemědělská účetní datová síť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HPH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Hrubá přidaná hodnota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KBTPM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Krávy bez tržní produkce mléka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LFA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Oblasti se znevýhodněním (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>)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NH</w:t>
            </w:r>
          </w:p>
        </w:tc>
        <w:tc>
          <w:tcPr>
            <w:tcW w:w="4276" w:type="pct"/>
            <w:shd w:val="clear" w:color="auto" w:fill="auto"/>
          </w:tcPr>
          <w:p w:rsidR="00625F0A" w:rsidRPr="0038130E" w:rsidRDefault="00625F0A" w:rsidP="00625F0A">
            <w:pPr>
              <w:pStyle w:val="Tabulka"/>
            </w:pPr>
            <w:r>
              <w:t>Národní hospodářství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 xml:space="preserve">PGRLF 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 w:rsidRPr="0038130E">
              <w:t>Podpůrný a garanční rolnický a lesnický fond, a.s.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RV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Rostlinná výroba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SAPS</w:t>
            </w:r>
          </w:p>
        </w:tc>
        <w:tc>
          <w:tcPr>
            <w:tcW w:w="4276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J</w:t>
            </w:r>
            <w:r w:rsidRPr="0038130E">
              <w:t>ednotná platba na plochu zemědělské půdy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SZP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Společná zemědělská politika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Pr="00055039" w:rsidRDefault="00625F0A" w:rsidP="00625F0A">
            <w:pPr>
              <w:pStyle w:val="Tabulka"/>
            </w:pPr>
            <w:r>
              <w:t>SZU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 w:rsidRPr="0051168C">
              <w:t>Souhrnný zemědělský účet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 xml:space="preserve">z. </w:t>
            </w:r>
            <w:proofErr w:type="gramStart"/>
            <w:r>
              <w:t>p.</w:t>
            </w:r>
            <w:proofErr w:type="gramEnd"/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Zemědělská půda</w:t>
            </w:r>
          </w:p>
        </w:tc>
      </w:tr>
      <w:tr w:rsidR="00625F0A" w:rsidRPr="00055039" w:rsidTr="00BB01E6">
        <w:trPr>
          <w:cantSplit/>
          <w:trHeight w:val="315"/>
        </w:trPr>
        <w:tc>
          <w:tcPr>
            <w:tcW w:w="724" w:type="pct"/>
            <w:shd w:val="clear" w:color="auto" w:fill="auto"/>
          </w:tcPr>
          <w:p w:rsidR="00625F0A" w:rsidRDefault="00625F0A" w:rsidP="00625F0A">
            <w:pPr>
              <w:pStyle w:val="Tabulka"/>
            </w:pPr>
            <w:r>
              <w:t>ŽV</w:t>
            </w:r>
          </w:p>
        </w:tc>
        <w:tc>
          <w:tcPr>
            <w:tcW w:w="4276" w:type="pct"/>
            <w:shd w:val="clear" w:color="auto" w:fill="auto"/>
          </w:tcPr>
          <w:p w:rsidR="00625F0A" w:rsidRPr="0051168C" w:rsidRDefault="00625F0A" w:rsidP="00625F0A">
            <w:pPr>
              <w:pStyle w:val="Tabulka"/>
            </w:pPr>
            <w:r>
              <w:t>Živočišná výroba</w:t>
            </w:r>
          </w:p>
        </w:tc>
      </w:tr>
    </w:tbl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081C31" w:rsidRPr="00081C31" w:rsidRDefault="00081C31" w:rsidP="00081C31">
      <w:bookmarkStart w:id="2" w:name="_GoBack"/>
      <w:bookmarkEnd w:id="2"/>
    </w:p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p w:rsidR="0097343D" w:rsidRPr="0097343D" w:rsidRDefault="0097343D" w:rsidP="0097343D"/>
    <w:p w:rsidR="0097343D" w:rsidRDefault="0097343D">
      <w:pPr>
        <w:pStyle w:val="Nadpisobsahu"/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3"/>
          <w:lang w:val="cs-CZ" w:eastAsia="cs-CZ"/>
        </w:rPr>
        <w:id w:val="-2211425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04FF" w:rsidRDefault="00B804FF">
          <w:pPr>
            <w:pStyle w:val="Nadpisobsahu"/>
          </w:pPr>
          <w:r>
            <w:rPr>
              <w:lang w:val="cs-CZ"/>
            </w:rPr>
            <w:t>Obsah</w:t>
          </w:r>
        </w:p>
        <w:p w:rsidR="00081C31" w:rsidRDefault="00B804FF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897095" w:history="1">
            <w:r w:rsidR="00081C31" w:rsidRPr="00662C35">
              <w:rPr>
                <w:rStyle w:val="Hypertextovodkaz"/>
                <w:noProof/>
              </w:rPr>
              <w:t>Seznam použitých zkratek</w:t>
            </w:r>
            <w:r w:rsidR="00081C31">
              <w:rPr>
                <w:noProof/>
                <w:webHidden/>
              </w:rPr>
              <w:tab/>
            </w:r>
            <w:r w:rsidR="00081C31">
              <w:rPr>
                <w:noProof/>
                <w:webHidden/>
              </w:rPr>
              <w:fldChar w:fldCharType="begin"/>
            </w:r>
            <w:r w:rsidR="00081C31">
              <w:rPr>
                <w:noProof/>
                <w:webHidden/>
              </w:rPr>
              <w:instrText xml:space="preserve"> PAGEREF _Toc525897095 \h </w:instrText>
            </w:r>
            <w:r w:rsidR="00081C31">
              <w:rPr>
                <w:noProof/>
                <w:webHidden/>
              </w:rPr>
            </w:r>
            <w:r w:rsidR="00081C31">
              <w:rPr>
                <w:noProof/>
                <w:webHidden/>
              </w:rPr>
              <w:fldChar w:fldCharType="separate"/>
            </w:r>
            <w:r w:rsidR="00081C31">
              <w:rPr>
                <w:noProof/>
                <w:webHidden/>
              </w:rPr>
              <w:t>2</w:t>
            </w:r>
            <w:r w:rsidR="00081C31"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096" w:history="1">
            <w:r w:rsidRPr="00662C35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Stanovení skutečného problému, na který má politika reagovat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097" w:history="1">
            <w:r w:rsidRPr="00662C35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Mechanismus a příčiny problémů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098" w:history="1">
            <w:r w:rsidRPr="00662C35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Závažnost a vývojový trend problému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099" w:history="1">
            <w:r w:rsidRPr="00662C35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SWOT analýza A POTŘEBY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100" w:history="1">
            <w:r w:rsidRPr="00662C35">
              <w:rPr>
                <w:rStyle w:val="Hypertextovodkaz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SWOT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101" w:history="1">
            <w:r w:rsidRPr="00662C35">
              <w:rPr>
                <w:rStyle w:val="Hypertextovodkaz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PŘEHLED a bodové hodnocení POTŘEB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102" w:history="1">
            <w:r w:rsidRPr="00662C35">
              <w:rPr>
                <w:rStyle w:val="Hypertextovodkaz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662C35">
              <w:rPr>
                <w:rStyle w:val="Hypertextovodkaz"/>
                <w:noProof/>
              </w:rPr>
              <w:t>ZDŮVODNĚNÍ POTŘEB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C31" w:rsidRDefault="00081C31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25897103" w:history="1">
            <w:r w:rsidRPr="00662C35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4FF" w:rsidRDefault="00B804FF">
          <w:r>
            <w:rPr>
              <w:b/>
              <w:bCs/>
            </w:rPr>
            <w:fldChar w:fldCharType="end"/>
          </w:r>
        </w:p>
      </w:sdtContent>
    </w:sdt>
    <w:p w:rsidR="00507479" w:rsidRDefault="00507479">
      <w:pPr>
        <w:spacing w:before="0" w:after="160" w:line="259" w:lineRule="auto"/>
        <w:ind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3B41E3" w:rsidRPr="00A7452A" w:rsidRDefault="00A7452A" w:rsidP="003B41E3">
      <w:pPr>
        <w:spacing w:before="0" w:after="160" w:line="259" w:lineRule="auto"/>
        <w:ind w:firstLine="0"/>
        <w:jc w:val="left"/>
        <w:rPr>
          <w:rFonts w:ascii="Arial" w:hAnsi="Arial"/>
          <w:b/>
          <w:caps/>
          <w:kern w:val="28"/>
          <w:sz w:val="28"/>
          <w:szCs w:val="20"/>
          <w:lang w:val="x-none" w:eastAsia="x-none"/>
        </w:rPr>
      </w:pPr>
      <w:r w:rsidRPr="00A7452A">
        <w:rPr>
          <w:rFonts w:ascii="Arial" w:hAnsi="Arial"/>
          <w:b/>
          <w:caps/>
          <w:kern w:val="28"/>
          <w:sz w:val="28"/>
          <w:szCs w:val="20"/>
          <w:lang w:val="x-none" w:eastAsia="x-none"/>
        </w:rPr>
        <w:lastRenderedPageBreak/>
        <w:t>V</w:t>
      </w:r>
      <w:r w:rsidR="003B41E3" w:rsidRPr="00A7452A">
        <w:rPr>
          <w:rFonts w:ascii="Arial" w:hAnsi="Arial"/>
          <w:b/>
          <w:caps/>
          <w:kern w:val="28"/>
          <w:sz w:val="28"/>
          <w:szCs w:val="20"/>
          <w:lang w:val="x-none" w:eastAsia="x-none"/>
        </w:rPr>
        <w:t>ýchozí rámec</w:t>
      </w:r>
    </w:p>
    <w:p w:rsidR="003B41E3" w:rsidRDefault="003B41E3" w:rsidP="003B41E3">
      <w:r>
        <w:t>Situace a problémy v oblasti zemědělských příjmů jsou analyzovány v následujících okruzích:</w:t>
      </w:r>
    </w:p>
    <w:p w:rsidR="003B41E3" w:rsidRDefault="003B41E3" w:rsidP="003B41E3"/>
    <w:p w:rsidR="003B41E3" w:rsidRPr="00974CE1" w:rsidRDefault="003B41E3" w:rsidP="00A7452A">
      <w:pPr>
        <w:pStyle w:val="Odstavecseseznamem"/>
        <w:numPr>
          <w:ilvl w:val="0"/>
          <w:numId w:val="4"/>
        </w:numPr>
        <w:spacing w:before="120" w:after="160" w:line="259" w:lineRule="auto"/>
        <w:ind w:hanging="357"/>
        <w:rPr>
          <w:b/>
          <w:i/>
        </w:rPr>
      </w:pPr>
      <w:r w:rsidRPr="00974CE1">
        <w:rPr>
          <w:b/>
          <w:i/>
        </w:rPr>
        <w:t>Analýza příjmů za celé odvětví zemědělství: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>Úroveň příjmů v zemědělství ČR a její srovnání s ostatními zeměmi EU, za poslední období.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 xml:space="preserve"> Stabilita příjmů v zemědělství ČR v časové řadě 2008 – 2017 a vliv dosavadních opatření řízení rizik na tuto stabilitu.</w:t>
      </w:r>
    </w:p>
    <w:p w:rsidR="003B41E3" w:rsidRPr="00974CE1" w:rsidRDefault="003B41E3" w:rsidP="00A7452A">
      <w:pPr>
        <w:pStyle w:val="Odstavecseseznamem"/>
        <w:numPr>
          <w:ilvl w:val="1"/>
          <w:numId w:val="4"/>
        </w:numPr>
        <w:spacing w:before="120" w:after="160" w:line="259" w:lineRule="auto"/>
        <w:ind w:hanging="357"/>
        <w:rPr>
          <w:i/>
        </w:rPr>
      </w:pPr>
      <w:r w:rsidRPr="00974CE1">
        <w:rPr>
          <w:i/>
        </w:rPr>
        <w:t>Porovnání úrovně příjmů v zemědělství s průměrem národního hospodářství (analýza tzv. disparity mezd a příjmů).</w:t>
      </w:r>
    </w:p>
    <w:p w:rsidR="003B41E3" w:rsidRPr="00974CE1" w:rsidRDefault="003B41E3" w:rsidP="00A7452A">
      <w:pPr>
        <w:pStyle w:val="Odstavecseseznamem"/>
        <w:numPr>
          <w:ilvl w:val="0"/>
          <w:numId w:val="4"/>
        </w:numPr>
        <w:spacing w:before="120" w:after="160" w:line="259" w:lineRule="auto"/>
        <w:ind w:hanging="357"/>
        <w:rPr>
          <w:b/>
          <w:i/>
        </w:rPr>
      </w:pPr>
      <w:r w:rsidRPr="00974CE1">
        <w:rPr>
          <w:b/>
          <w:i/>
        </w:rPr>
        <w:t>Analýza příjmů podle jednotlivých kategorií farem</w:t>
      </w:r>
      <w:r>
        <w:rPr>
          <w:b/>
          <w:i/>
        </w:rPr>
        <w:t xml:space="preserve"> (podniků)</w:t>
      </w:r>
      <w:r w:rsidRPr="00974CE1">
        <w:rPr>
          <w:b/>
          <w:i/>
        </w:rPr>
        <w:t xml:space="preserve">, vymezených podle </w:t>
      </w:r>
      <w:r>
        <w:rPr>
          <w:b/>
          <w:i/>
        </w:rPr>
        <w:t xml:space="preserve">i) </w:t>
      </w:r>
      <w:r w:rsidRPr="00974CE1">
        <w:rPr>
          <w:b/>
          <w:i/>
        </w:rPr>
        <w:t xml:space="preserve">vztahu k oblastem </w:t>
      </w:r>
      <w:r>
        <w:rPr>
          <w:b/>
          <w:i/>
        </w:rPr>
        <w:t>ANC,</w:t>
      </w:r>
      <w:r w:rsidRPr="00974CE1">
        <w:rPr>
          <w:b/>
          <w:i/>
        </w:rPr>
        <w:t xml:space="preserve"> </w:t>
      </w:r>
      <w:proofErr w:type="spellStart"/>
      <w:r>
        <w:rPr>
          <w:b/>
          <w:i/>
        </w:rPr>
        <w:t>ii</w:t>
      </w:r>
      <w:proofErr w:type="spellEnd"/>
      <w:r>
        <w:rPr>
          <w:b/>
          <w:i/>
        </w:rPr>
        <w:t xml:space="preserve">) </w:t>
      </w:r>
      <w:r w:rsidRPr="00974CE1">
        <w:rPr>
          <w:b/>
          <w:i/>
        </w:rPr>
        <w:t xml:space="preserve">výrobního zaměření a </w:t>
      </w:r>
      <w:proofErr w:type="spellStart"/>
      <w:r>
        <w:rPr>
          <w:b/>
          <w:i/>
        </w:rPr>
        <w:t>iii</w:t>
      </w:r>
      <w:proofErr w:type="spellEnd"/>
      <w:r>
        <w:rPr>
          <w:b/>
          <w:i/>
        </w:rPr>
        <w:t xml:space="preserve">) </w:t>
      </w:r>
      <w:r w:rsidRPr="00974CE1">
        <w:rPr>
          <w:b/>
          <w:i/>
        </w:rPr>
        <w:t xml:space="preserve">velikosti </w:t>
      </w:r>
      <w:r>
        <w:rPr>
          <w:b/>
          <w:i/>
        </w:rPr>
        <w:t xml:space="preserve">podniku definované podle obhospodařované výměry </w:t>
      </w:r>
      <w:r w:rsidRPr="00974CE1">
        <w:rPr>
          <w:b/>
          <w:i/>
        </w:rPr>
        <w:t>v ha: analýza úrovně příjmů a její vyváženosti mezi kategoriemi farem.</w:t>
      </w:r>
    </w:p>
    <w:p w:rsidR="006D07AD" w:rsidRPr="00705C68" w:rsidRDefault="006D07AD" w:rsidP="00705C68">
      <w:pPr>
        <w:tabs>
          <w:tab w:val="left" w:pos="3660"/>
        </w:tabs>
        <w:sectPr w:rsidR="006D07AD" w:rsidRPr="00705C68" w:rsidSect="003B41E3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F0141" w:rsidRDefault="00E4113A" w:rsidP="00FE1B6B">
      <w:pPr>
        <w:pStyle w:val="Nadpis1"/>
        <w:numPr>
          <w:ilvl w:val="0"/>
          <w:numId w:val="1"/>
        </w:numPr>
      </w:pPr>
      <w:bookmarkStart w:id="3" w:name="_Toc525897096"/>
      <w:r w:rsidRPr="001B10BE">
        <w:lastRenderedPageBreak/>
        <w:t>Stanovení skutečného problému, na který má politika reagovat</w:t>
      </w:r>
      <w:bookmarkEnd w:id="3"/>
      <w:r w:rsidRPr="001B10BE">
        <w:t xml:space="preserve"> </w:t>
      </w:r>
    </w:p>
    <w:p w:rsidR="000F0141" w:rsidRPr="00A45694" w:rsidRDefault="000F0141" w:rsidP="00BA0E37">
      <w:pPr>
        <w:pStyle w:val="Odstavecseseznamem"/>
        <w:numPr>
          <w:ilvl w:val="0"/>
          <w:numId w:val="15"/>
        </w:numPr>
        <w:ind w:left="0" w:firstLine="69"/>
        <w:rPr>
          <w:i/>
        </w:rPr>
      </w:pPr>
      <w:r w:rsidRPr="00A45694">
        <w:rPr>
          <w:i/>
        </w:rPr>
        <w:t>Vysoká závislost příjmů podniků na provozních podporách</w:t>
      </w:r>
      <w:r w:rsidR="00BA0E37" w:rsidRPr="00A45694">
        <w:rPr>
          <w:i/>
        </w:rPr>
        <w:t>.</w:t>
      </w:r>
    </w:p>
    <w:p w:rsidR="00BA0E37" w:rsidRDefault="00BA0E37" w:rsidP="00BA0E37">
      <w:pPr>
        <w:spacing w:before="120" w:after="160" w:line="259" w:lineRule="auto"/>
        <w:ind w:firstLine="0"/>
      </w:pPr>
      <w:r>
        <w:t>ČR patří mezi země EU s nejvyššími podíly a s mimořádně velkou citlivostí úrovně svých zemědělských příjmů na úrovni provozních podpor.</w:t>
      </w:r>
      <w:r w:rsidRPr="00A37C57">
        <w:t xml:space="preserve"> </w:t>
      </w:r>
      <w:r w:rsidR="00AA1F1C">
        <w:t>Tato závislost dlouhodobě snižuje orientaci podniků na vyšší podíl příjmů z trhu a schopnost prosazovat se na konkurenčních trzích.</w:t>
      </w:r>
    </w:p>
    <w:p w:rsidR="000F0141" w:rsidRPr="00A45694" w:rsidRDefault="000F0141" w:rsidP="004E6A61">
      <w:pPr>
        <w:pStyle w:val="Odstavecseseznamem"/>
        <w:numPr>
          <w:ilvl w:val="0"/>
          <w:numId w:val="15"/>
        </w:numPr>
        <w:ind w:left="0" w:firstLine="0"/>
        <w:rPr>
          <w:i/>
        </w:rPr>
      </w:pPr>
      <w:r w:rsidRPr="00A45694">
        <w:rPr>
          <w:i/>
        </w:rPr>
        <w:t>Nerovnoměrné rozdělení příjmů na pracovníka mezi malými, středně velkými a velkými podniky</w:t>
      </w:r>
      <w:r w:rsidR="004E6A61" w:rsidRPr="00A45694">
        <w:rPr>
          <w:i/>
        </w:rPr>
        <w:t>.</w:t>
      </w:r>
    </w:p>
    <w:p w:rsidR="004E6A61" w:rsidRDefault="000B1AEC" w:rsidP="004E6A61">
      <w:pPr>
        <w:spacing w:before="0" w:after="160" w:line="259" w:lineRule="auto"/>
        <w:ind w:firstLine="0"/>
      </w:pPr>
      <w:r>
        <w:t>Nižší</w:t>
      </w:r>
      <w:r w:rsidR="004E6A61">
        <w:t xml:space="preserve"> úroveň příjmů malých podniků do 100 ha, které však mají významnou úlohu zejména v rozvoji venkova. </w:t>
      </w:r>
    </w:p>
    <w:p w:rsidR="000F0141" w:rsidRPr="00A45694" w:rsidRDefault="000F0141" w:rsidP="004E6A61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 xml:space="preserve">Relativně nižší úroveň příjmů </w:t>
      </w:r>
      <w:r w:rsidR="00DE0FFA" w:rsidRPr="00A45694">
        <w:rPr>
          <w:i/>
        </w:rPr>
        <w:t xml:space="preserve">(na pracovníka) </w:t>
      </w:r>
      <w:r w:rsidRPr="00A45694">
        <w:rPr>
          <w:i/>
        </w:rPr>
        <w:t>v podnicích s vyšším podílem ŽV</w:t>
      </w:r>
    </w:p>
    <w:p w:rsidR="004E6A61" w:rsidRDefault="004E6A61" w:rsidP="004E6A61">
      <w:pPr>
        <w:ind w:firstLine="0"/>
      </w:pPr>
      <w:r>
        <w:t>Dlouhodobě přetrvává disproporce v dosahovaných příjmech mezi podniky orientovanými na polní výrobu, chov</w:t>
      </w:r>
      <w:r w:rsidR="004D6F73">
        <w:t xml:space="preserve"> dojnic,</w:t>
      </w:r>
      <w:r>
        <w:t xml:space="preserve"> skotu (přežvýkavců) a smíšenou výrobu.</w:t>
      </w:r>
    </w:p>
    <w:p w:rsidR="000F0141" w:rsidRPr="00A45694" w:rsidRDefault="000F0141" w:rsidP="000B1AEC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 xml:space="preserve">Nižší životaschopnost farem hospodařících v ANC regionech </w:t>
      </w:r>
    </w:p>
    <w:p w:rsidR="004E6A61" w:rsidRDefault="004E6A61" w:rsidP="000B1AEC">
      <w:pPr>
        <w:spacing w:before="120" w:after="160" w:line="259" w:lineRule="auto"/>
        <w:ind w:firstLine="0"/>
      </w:pPr>
      <w:r>
        <w:t xml:space="preserve">Životaschopnost farem (prostřednictvím ČPH/AWU) v průměru let 2014-16 v </w:t>
      </w:r>
      <w:r w:rsidRPr="000B1AEC">
        <w:t>horské</w:t>
      </w:r>
      <w:r>
        <w:t xml:space="preserve"> oblasti byla o 25 % nižší a v </w:t>
      </w:r>
      <w:r w:rsidRPr="000B1AEC">
        <w:t>jiných ANC</w:t>
      </w:r>
      <w:r>
        <w:t xml:space="preserve"> o 20 % nižší než mimo ANC.</w:t>
      </w:r>
    </w:p>
    <w:p w:rsidR="000F0141" w:rsidRPr="00A45694" w:rsidRDefault="000F0141" w:rsidP="000B1AEC">
      <w:pPr>
        <w:pStyle w:val="Odstavecseseznamem"/>
        <w:numPr>
          <w:ilvl w:val="0"/>
          <w:numId w:val="15"/>
        </w:numPr>
        <w:ind w:left="709"/>
        <w:rPr>
          <w:i/>
        </w:rPr>
      </w:pPr>
      <w:r w:rsidRPr="00A45694">
        <w:rPr>
          <w:i/>
        </w:rPr>
        <w:t>Variabilita podnikových příjmů v důsledku rostoucí četnosti a závažnosti rizik počasí, případně i volatility cen</w:t>
      </w:r>
    </w:p>
    <w:p w:rsidR="004D6F73" w:rsidRDefault="004D6F73" w:rsidP="004D6F73">
      <w:pPr>
        <w:ind w:firstLine="0"/>
      </w:pPr>
      <w:r>
        <w:t xml:space="preserve">Klimatické výkyvy s dopadem do výnosů spolu s fluktuací cen s určitou pravidelností ovlivňují české zemědělce, nicméně </w:t>
      </w:r>
      <w:r w:rsidR="00061F02">
        <w:t>v</w:t>
      </w:r>
      <w:r w:rsidR="000B1AEC">
        <w:t> </w:t>
      </w:r>
      <w:r w:rsidR="00061F02">
        <w:t xml:space="preserve">důsledku </w:t>
      </w:r>
      <w:r>
        <w:t>rostoucí</w:t>
      </w:r>
      <w:r w:rsidR="00A45694">
        <w:t xml:space="preserve">ho objemu kompenzací </w:t>
      </w:r>
      <w:r>
        <w:t>vliv</w:t>
      </w:r>
      <w:r w:rsidR="00A45694">
        <w:t xml:space="preserve"> těchto</w:t>
      </w:r>
      <w:r w:rsidR="000B1AEC">
        <w:t xml:space="preserve"> fluktuací</w:t>
      </w:r>
      <w:r>
        <w:t xml:space="preserve"> na příjmy</w:t>
      </w:r>
      <w:r w:rsidR="00061F02">
        <w:t xml:space="preserve"> podniků</w:t>
      </w:r>
      <w:r>
        <w:t xml:space="preserve"> není závažný. </w:t>
      </w:r>
      <w:r w:rsidR="00061F02">
        <w:t>Cenové, klimatické případně fytosanitární rizika následně ovlivňující příjmy budou v závislosti na klimatických</w:t>
      </w:r>
      <w:r w:rsidR="00A45694">
        <w:t xml:space="preserve"> modelech</w:t>
      </w:r>
      <w:r w:rsidR="00061F02">
        <w:t xml:space="preserve"> přetrvávat</w:t>
      </w:r>
      <w:r w:rsidR="000B1AEC">
        <w:t>,</w:t>
      </w:r>
      <w:r w:rsidR="00061F02">
        <w:t xml:space="preserve"> případně se</w:t>
      </w:r>
      <w:r w:rsidR="000B1AEC">
        <w:t xml:space="preserve"> </w:t>
      </w:r>
      <w:r w:rsidR="00A45694">
        <w:t xml:space="preserve">mohou </w:t>
      </w:r>
      <w:r w:rsidR="000B1AEC">
        <w:t>dále</w:t>
      </w:r>
      <w:r w:rsidR="00A45694">
        <w:t xml:space="preserve"> zintenzivnit</w:t>
      </w:r>
      <w:r w:rsidR="00061F02">
        <w:t>.</w:t>
      </w:r>
    </w:p>
    <w:p w:rsidR="000F0141" w:rsidRPr="00A45694" w:rsidRDefault="000F0141" w:rsidP="000F0141">
      <w:pPr>
        <w:ind w:firstLine="0"/>
        <w:rPr>
          <w:i/>
        </w:rPr>
      </w:pPr>
      <w:r w:rsidRPr="00A45694">
        <w:rPr>
          <w:i/>
        </w:rPr>
        <w:t>f)</w:t>
      </w:r>
      <w:r w:rsidRPr="00A45694">
        <w:rPr>
          <w:i/>
        </w:rPr>
        <w:tab/>
        <w:t>Dlouhodobá disparita mezd mezi zemědělstvím a NH</w:t>
      </w:r>
    </w:p>
    <w:p w:rsidR="00185E93" w:rsidRDefault="00185E93" w:rsidP="000F0141">
      <w:pPr>
        <w:ind w:firstLine="0"/>
      </w:pPr>
      <w:r>
        <w:t xml:space="preserve">Úroveň mezd je v zemědělství dlouhodobě nižší než v průmyslu či v NH celkem, bez větších </w:t>
      </w:r>
      <w:r w:rsidR="000A1E04">
        <w:t xml:space="preserve">meziročních </w:t>
      </w:r>
      <w:r>
        <w:t xml:space="preserve">výkyvů. </w:t>
      </w:r>
      <w:r w:rsidR="000A1E04">
        <w:t>Pohybuje se na úrovni kolem 80</w:t>
      </w:r>
      <w:r>
        <w:t xml:space="preserve"> %</w:t>
      </w:r>
      <w:r w:rsidR="00A45694">
        <w:t>, i přesto</w:t>
      </w:r>
      <w:r w:rsidR="000B1AEC">
        <w:t xml:space="preserve"> patří spíše k těm nižším v rámci zemí EU</w:t>
      </w:r>
      <w:r>
        <w:t>.</w:t>
      </w:r>
    </w:p>
    <w:p w:rsidR="001B10BE" w:rsidRPr="001665C7" w:rsidRDefault="001665C7" w:rsidP="00FE1B6B">
      <w:pPr>
        <w:pStyle w:val="Nadpis1"/>
        <w:numPr>
          <w:ilvl w:val="0"/>
          <w:numId w:val="1"/>
        </w:numPr>
      </w:pPr>
      <w:bookmarkStart w:id="4" w:name="_Toc525897097"/>
      <w:r w:rsidRPr="001665C7">
        <w:rPr>
          <w:lang w:val="cs-CZ"/>
        </w:rPr>
        <w:t>Mechanismus a příčiny problémů</w:t>
      </w:r>
      <w:bookmarkEnd w:id="4"/>
    </w:p>
    <w:p w:rsidR="005A0AD7" w:rsidRDefault="000F3DF6" w:rsidP="005A0AD7">
      <w:r w:rsidRPr="00A45694">
        <w:rPr>
          <w:i/>
        </w:rPr>
        <w:t>Podpora a stabilita příjmů</w:t>
      </w:r>
      <w:r>
        <w:t xml:space="preserve"> v zemědělství přesahuje většinu témat řešených </w:t>
      </w:r>
      <w:r w:rsidR="00A45694">
        <w:t>v dílčích skupinách – dělených podle specifických cílů</w:t>
      </w:r>
      <w:r>
        <w:t xml:space="preserve">. </w:t>
      </w:r>
      <w:r w:rsidR="00E2610F" w:rsidRPr="00E2610F">
        <w:t>Příčiny výše uvedených problémů</w:t>
      </w:r>
      <w:r w:rsidR="00A45694">
        <w:t xml:space="preserve"> v oblasti příjmů tak</w:t>
      </w:r>
      <w:r w:rsidR="00E2610F" w:rsidRPr="00E2610F">
        <w:t xml:space="preserve"> zahrnují </w:t>
      </w:r>
      <w:r>
        <w:t>mnoho různých</w:t>
      </w:r>
      <w:r w:rsidR="00E2610F" w:rsidRPr="00E2610F">
        <w:t xml:space="preserve"> faktorů, které působí na zemědělský příjem buď napřímo (</w:t>
      </w:r>
      <w:r w:rsidR="00E2610F">
        <w:t xml:space="preserve">např. </w:t>
      </w:r>
      <w:r w:rsidR="00E2610F" w:rsidRPr="00E2610F">
        <w:t>pokles cen komodit</w:t>
      </w:r>
      <w:r w:rsidR="00A45694">
        <w:t>, snížení výnosů</w:t>
      </w:r>
      <w:r w:rsidR="00E2610F" w:rsidRPr="00E2610F">
        <w:t>), ale také zprostředkovaně (nižší efektivnost dodavatelských sektorů</w:t>
      </w:r>
      <w:r w:rsidR="00A45694">
        <w:t>, sdružování a zlepšení pozice v dodavatelsko-odběratelském vztahu</w:t>
      </w:r>
      <w:r w:rsidR="00E2610F" w:rsidRPr="00E2610F">
        <w:t>)</w:t>
      </w:r>
      <w:r w:rsidR="00E2610F">
        <w:t>.</w:t>
      </w:r>
      <w:r w:rsidR="00A45694">
        <w:t xml:space="preserve"> </w:t>
      </w:r>
    </w:p>
    <w:p w:rsidR="00FE1A48" w:rsidRPr="005A0AD7" w:rsidRDefault="00FE1A48" w:rsidP="005A0AD7">
      <w:pPr>
        <w:pStyle w:val="Odstavecseseznamem"/>
        <w:numPr>
          <w:ilvl w:val="0"/>
          <w:numId w:val="22"/>
        </w:numPr>
        <w:rPr>
          <w:i/>
        </w:rPr>
      </w:pPr>
      <w:r w:rsidRPr="005A0AD7">
        <w:rPr>
          <w:i/>
        </w:rPr>
        <w:t>Vysoká závislost příjmů podniků na provozních podporách</w:t>
      </w:r>
    </w:p>
    <w:p w:rsidR="00F5509C" w:rsidRDefault="00F5509C" w:rsidP="00FE1A48">
      <w:pPr>
        <w:pStyle w:val="Odstavecseseznamem"/>
        <w:spacing w:before="0" w:after="160" w:line="259" w:lineRule="auto"/>
        <w:ind w:firstLine="0"/>
      </w:pPr>
    </w:p>
    <w:p w:rsidR="00395614" w:rsidRDefault="00395614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 w:rsidRPr="00A37C57">
        <w:t>Relativně vysoká úroveň příjmů</w:t>
      </w:r>
      <w:r>
        <w:t xml:space="preserve"> odvětví zemědělství je do značné míry dána vysokým podíle</w:t>
      </w:r>
      <w:r w:rsidR="006F6C24">
        <w:t xml:space="preserve">m provozních podpor v celkové produkci </w:t>
      </w:r>
      <w:r>
        <w:t>(</w:t>
      </w:r>
      <w:r w:rsidR="006F6C24">
        <w:t xml:space="preserve">podle SZÚ </w:t>
      </w:r>
      <w:r>
        <w:t xml:space="preserve">24 % za </w:t>
      </w:r>
      <w:r w:rsidR="000C3209">
        <w:t xml:space="preserve">průměr let </w:t>
      </w:r>
      <w:r>
        <w:t>2014-17</w:t>
      </w:r>
      <w:r w:rsidR="005A0AD7">
        <w:t>, ČSÚ, 2018</w:t>
      </w:r>
      <w:r>
        <w:t xml:space="preserve">), resp. v důchodu z faktorů (57 % za 2014-17). </w:t>
      </w:r>
    </w:p>
    <w:p w:rsidR="00CE0C7F" w:rsidRDefault="00CE0C7F" w:rsidP="00CE0C7F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Podíl podpor (bez daní) na přidané hodnotě zemědělských podniků činí 77 % v ČR a spolu se Slovenskem výrazně převyšuje hodnotu v okolních zemích (Německo 49 %, Rakousko 45</w:t>
      </w:r>
      <w:r w:rsidR="00F06294">
        <w:t xml:space="preserve"> %</w:t>
      </w:r>
      <w:r>
        <w:t>, Polsko 53 %, Maďarsko 50 %)</w:t>
      </w:r>
      <w:r>
        <w:rPr>
          <w:rStyle w:val="Znakapoznpodarou"/>
        </w:rPr>
        <w:footnoteReference w:id="2"/>
      </w:r>
      <w:r>
        <w:t>.</w:t>
      </w:r>
    </w:p>
    <w:p w:rsidR="00CE0C7F" w:rsidRDefault="00CE0C7F" w:rsidP="00FF20B1">
      <w:pPr>
        <w:pStyle w:val="Titulek"/>
        <w:ind w:firstLine="0"/>
      </w:pPr>
      <w:r>
        <w:t xml:space="preserve">Graf </w:t>
      </w:r>
      <w:r w:rsidR="00931B68">
        <w:fldChar w:fldCharType="begin"/>
      </w:r>
      <w:r w:rsidR="00931B68">
        <w:instrText xml:space="preserve"> SEQ Graf \* ARABIC </w:instrText>
      </w:r>
      <w:r w:rsidR="00931B68">
        <w:fldChar w:fldCharType="separate"/>
      </w:r>
      <w:r w:rsidR="00FF20B1">
        <w:rPr>
          <w:noProof/>
        </w:rPr>
        <w:t>1</w:t>
      </w:r>
      <w:r w:rsidR="00931B68">
        <w:rPr>
          <w:noProof/>
        </w:rPr>
        <w:fldChar w:fldCharType="end"/>
      </w:r>
      <w:r>
        <w:t>. Podíl podpor na přidané hodnotě v ČR a vybraných zemích EU</w:t>
      </w:r>
      <w:r w:rsidR="002D0E41">
        <w:t xml:space="preserve"> (průměr 2014-2016)</w:t>
      </w:r>
    </w:p>
    <w:p w:rsidR="002D0E41" w:rsidRDefault="00586CF7" w:rsidP="00E53131">
      <w:r>
        <w:rPr>
          <w:noProof/>
          <w:lang w:val="en-US" w:eastAsia="en-US"/>
        </w:rPr>
        <w:drawing>
          <wp:inline distT="0" distB="0" distL="0" distR="0" wp14:anchorId="250E4A0A" wp14:editId="303B39AD">
            <wp:extent cx="4167963" cy="3211033"/>
            <wp:effectExtent l="0" t="0" r="4445" b="8890"/>
            <wp:docPr id="11" name="Graf 1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0E41" w:rsidRPr="00A7452A" w:rsidRDefault="00A7452A" w:rsidP="00E53131">
      <w:pPr>
        <w:rPr>
          <w:i/>
          <w:sz w:val="20"/>
        </w:rPr>
      </w:pPr>
      <w:r w:rsidRPr="00A7452A">
        <w:rPr>
          <w:i/>
          <w:sz w:val="20"/>
        </w:rPr>
        <w:t xml:space="preserve">Zdroj: </w:t>
      </w:r>
      <w:proofErr w:type="spellStart"/>
      <w:r w:rsidRPr="00A7452A">
        <w:rPr>
          <w:i/>
          <w:sz w:val="20"/>
        </w:rPr>
        <w:t>Eurostat</w:t>
      </w:r>
      <w:proofErr w:type="spellEnd"/>
      <w:r>
        <w:rPr>
          <w:i/>
          <w:sz w:val="20"/>
        </w:rPr>
        <w:t>, vlastní dopočty</w:t>
      </w:r>
    </w:p>
    <w:p w:rsidR="00CE0C7F" w:rsidRDefault="00CE0C7F" w:rsidP="00E53131">
      <w:pPr>
        <w:pStyle w:val="Odstavecseseznamem"/>
        <w:spacing w:before="0" w:after="160" w:line="259" w:lineRule="auto"/>
        <w:ind w:left="927" w:firstLine="0"/>
        <w:jc w:val="left"/>
      </w:pPr>
    </w:p>
    <w:p w:rsidR="00CE0C7F" w:rsidRDefault="00CE0C7F" w:rsidP="008D4B67">
      <w:pPr>
        <w:pStyle w:val="Odstavecseseznamem"/>
        <w:spacing w:before="0" w:after="160" w:line="259" w:lineRule="auto"/>
        <w:ind w:left="284" w:firstLine="0"/>
      </w:pPr>
    </w:p>
    <w:p w:rsidR="00E92CE2" w:rsidRDefault="003C20F8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 xml:space="preserve">Závislost příjmů podniků na provozních podporách se mění podle velikosti podniků. Výsledky se však liší podle výrobního zaměření podniků. Na základě dat FADN ČR (průměr 2014-16) se podíl provozních dotací na čisté přidané hodnotě snižuje s rostoucí velikostí podniků v polní výrobě mimo LFA (66 % do 100 ha, 50 % nad 2000 ha), v extenzivním chovu přežvýkavců v horských oblastech LFA (168 % do 100 ha, 130 % nad 1000 ha). Naopak závislost příjmů na provozních dotacích a podporách se s rostoucí velikostí podniků zvyšuje u podniků specializovaných na produkci mléka hospodařících v ostatních oblastech LFA (53 % do 100 ha, 75 % nad 1000 ha) či u podniků se smíšenou výrobou v ostatních oblastech LFA (108 % do 100 ha, 73 % nad 2000 ha).  </w:t>
      </w:r>
    </w:p>
    <w:p w:rsidR="009C2281" w:rsidRDefault="009C2281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Jednou z příčin nedostatečné orientace podniků na trh jsou nedostatečné znalosti trhu</w:t>
      </w:r>
      <w:r w:rsidR="00512F2F">
        <w:t xml:space="preserve">, zejména pokud se týká </w:t>
      </w:r>
      <w:r w:rsidR="005F5ECA">
        <w:t xml:space="preserve">jeho </w:t>
      </w:r>
      <w:r w:rsidR="00512F2F">
        <w:t>specifických segmentů</w:t>
      </w:r>
      <w:r w:rsidR="005F5ECA">
        <w:t>,</w:t>
      </w:r>
      <w:r w:rsidR="00512F2F">
        <w:t xml:space="preserve"> jako</w:t>
      </w:r>
      <w:r w:rsidR="005F5ECA">
        <w:t xml:space="preserve"> je</w:t>
      </w:r>
      <w:r w:rsidR="00512F2F">
        <w:t xml:space="preserve"> bio </w:t>
      </w:r>
      <w:r w:rsidR="005F5ECA">
        <w:t>produkce, výrobky se značkou kvality</w:t>
      </w:r>
      <w:r>
        <w:t xml:space="preserve">. </w:t>
      </w:r>
      <w:r w:rsidR="005F5ECA">
        <w:t>Využívání</w:t>
      </w:r>
      <w:r>
        <w:t xml:space="preserve"> poradenských služeb není v této oblasti dostatečné. Současně s tím nejsou poradenské služby dostatečně cílené na specifické marketingové a obchodní</w:t>
      </w:r>
      <w:r w:rsidR="005F5ECA">
        <w:t xml:space="preserve"> dovednosti.</w:t>
      </w:r>
      <w:r>
        <w:t xml:space="preserve"> </w:t>
      </w:r>
    </w:p>
    <w:p w:rsidR="00F5509C" w:rsidRDefault="007C0C78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lastRenderedPageBreak/>
        <w:t>Podle údajů DG AGRI v</w:t>
      </w:r>
      <w:r w:rsidR="00F5509C">
        <w:t> roce 2017 důchod z faktorů (Indikátor A)/AWU v běžných cenách dosahoval 20 tis. € a převyšoval průměr EU 28 o zhruba 2 tis.</w:t>
      </w:r>
      <w:r w:rsidR="00F5509C" w:rsidRPr="002338AC">
        <w:t xml:space="preserve"> </w:t>
      </w:r>
      <w:r w:rsidR="00F5509C">
        <w:t xml:space="preserve">€. V přepočtu na paritu kupní síly dosahoval tento ukazatel 30 tis. € (vyšší úroveň byla dosahována jen v 7 vyspělých zemích EU – Španělsko, Francie, Německo, Belgie, Velká Británie, Dánsko a Nizozemí). </w:t>
      </w:r>
      <w:r>
        <w:t>Naproti tomu, podíl HPH/AWU bez započítání podpor činil 15 tis. €, tedy přibližně 5 tis. € pod průměrem EU-28.</w:t>
      </w:r>
      <w:r w:rsidR="00F5509C">
        <w:t xml:space="preserve"> </w:t>
      </w:r>
    </w:p>
    <w:p w:rsidR="00F5509C" w:rsidRDefault="00F5509C" w:rsidP="00F5509C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ČR patří také spolu s Irskem, Maďarskem, Slovenskem a Bulharskem k pětici zemí EU s nejvyšším nárůstem Indikátoru A po roce 2010 (index 2017/2010 téměř 150).</w:t>
      </w:r>
    </w:p>
    <w:p w:rsidR="0063119E" w:rsidRDefault="00FF20B1" w:rsidP="00FF20B1">
      <w:pPr>
        <w:pStyle w:val="Titulek"/>
        <w:ind w:firstLine="0"/>
      </w:pPr>
      <w:r>
        <w:t xml:space="preserve">Graf </w:t>
      </w:r>
      <w:r>
        <w:fldChar w:fldCharType="begin"/>
      </w:r>
      <w:r>
        <w:instrText xml:space="preserve"> SEQ Graf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63119E">
        <w:t>. Srovnání příjmu ze zemědělství v ČR a EU v běžných cenách a v paritě kupní síly (PPS)</w:t>
      </w:r>
      <w:r w:rsidR="00F079BD">
        <w:t xml:space="preserve"> na pracovníka</w:t>
      </w:r>
    </w:p>
    <w:p w:rsidR="00FE1A48" w:rsidRDefault="0063119E" w:rsidP="00FF20B1">
      <w:pPr>
        <w:pStyle w:val="Odstavecseseznamem"/>
        <w:spacing w:before="0" w:after="160" w:line="259" w:lineRule="auto"/>
        <w:ind w:left="0" w:firstLine="0"/>
      </w:pPr>
      <w:r>
        <w:rPr>
          <w:noProof/>
          <w:lang w:val="en-US" w:eastAsia="en-US"/>
        </w:rPr>
        <w:drawing>
          <wp:inline distT="0" distB="0" distL="0" distR="0" wp14:anchorId="6B2065BB" wp14:editId="54EBA680">
            <wp:extent cx="5448464" cy="25968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26" cy="26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B0" w:rsidRDefault="000509B0" w:rsidP="0063119E">
      <w:pPr>
        <w:spacing w:before="0"/>
        <w:ind w:firstLine="0"/>
        <w:rPr>
          <w:i/>
          <w:sz w:val="20"/>
        </w:rPr>
      </w:pPr>
      <w:r>
        <w:rPr>
          <w:i/>
          <w:sz w:val="20"/>
        </w:rPr>
        <w:t>Pozn.: Červený sloupec značí příjem ze zemědělství v paritě kupní síly (PPS/AWU), modrý sloupec v nominální hodnotě (EUR/AWU)</w:t>
      </w:r>
    </w:p>
    <w:p w:rsidR="0063119E" w:rsidRDefault="00F079BD" w:rsidP="0063119E">
      <w:pPr>
        <w:spacing w:before="0"/>
        <w:ind w:firstLine="0"/>
        <w:rPr>
          <w:i/>
          <w:sz w:val="20"/>
        </w:rPr>
      </w:pPr>
      <w:r>
        <w:rPr>
          <w:i/>
          <w:sz w:val="20"/>
        </w:rPr>
        <w:t xml:space="preserve">Zdroj: </w:t>
      </w:r>
      <w:r w:rsidR="00CC540A">
        <w:rPr>
          <w:i/>
          <w:sz w:val="20"/>
        </w:rPr>
        <w:t>DG AGRI</w:t>
      </w:r>
      <w:r w:rsidR="0063119E">
        <w:rPr>
          <w:i/>
          <w:sz w:val="20"/>
        </w:rPr>
        <w:t xml:space="preserve">, podle údajů </w:t>
      </w:r>
      <w:proofErr w:type="spellStart"/>
      <w:r w:rsidR="0063119E">
        <w:rPr>
          <w:i/>
          <w:sz w:val="20"/>
        </w:rPr>
        <w:t>Eurostatu</w:t>
      </w:r>
      <w:proofErr w:type="spellEnd"/>
      <w:r w:rsidR="0063119E">
        <w:rPr>
          <w:i/>
          <w:sz w:val="20"/>
        </w:rPr>
        <w:t xml:space="preserve"> (2017)</w:t>
      </w:r>
    </w:p>
    <w:p w:rsidR="0063119E" w:rsidRDefault="0063119E" w:rsidP="0063119E">
      <w:pPr>
        <w:pStyle w:val="Odstavecseseznamem"/>
        <w:spacing w:before="0" w:after="160" w:line="259" w:lineRule="auto"/>
        <w:ind w:left="284" w:firstLine="0"/>
      </w:pPr>
    </w:p>
    <w:p w:rsidR="00FE1A48" w:rsidRPr="00D40D68" w:rsidRDefault="00FE1A48" w:rsidP="00FE1A48">
      <w:pPr>
        <w:pStyle w:val="Odstavecseseznamem"/>
        <w:numPr>
          <w:ilvl w:val="0"/>
          <w:numId w:val="9"/>
        </w:numPr>
        <w:rPr>
          <w:i/>
        </w:rPr>
      </w:pPr>
      <w:r w:rsidRPr="00D40D68">
        <w:rPr>
          <w:i/>
        </w:rPr>
        <w:t>Nerovnoměrné rozdělení příjmů na pracovníka mezi malými, středně velkými a velkými podniky</w:t>
      </w:r>
      <w:r w:rsidR="00482E46">
        <w:rPr>
          <w:rStyle w:val="Znakapoznpodarou"/>
          <w:i/>
        </w:rPr>
        <w:footnoteReference w:id="3"/>
      </w:r>
    </w:p>
    <w:p w:rsidR="00F5509C" w:rsidRPr="00A37C57" w:rsidRDefault="00F5509C" w:rsidP="00FE1A48">
      <w:pPr>
        <w:pStyle w:val="Odstavecseseznamem"/>
        <w:spacing w:before="0" w:after="160" w:line="259" w:lineRule="auto"/>
        <w:ind w:firstLine="0"/>
      </w:pPr>
    </w:p>
    <w:p w:rsidR="000937F1" w:rsidRDefault="00A70004" w:rsidP="00B975ED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Z hlediska velikostních kategorií výrazně nejmenších příjmů dosahují podniky do 100 ha</w:t>
      </w:r>
      <w:r>
        <w:rPr>
          <w:rStyle w:val="Znakapoznpodarou"/>
        </w:rPr>
        <w:footnoteReference w:id="4"/>
      </w:r>
      <w:r>
        <w:t>, které také signalizují možné problémy do budoucnosti (ukazatel trvalé udržitelnosti TU menší než 1). Podniky do 100 ha vykazují výrazně nižší modifikovanou ČPH</w:t>
      </w:r>
      <w:r w:rsidR="00F04720">
        <w:t xml:space="preserve"> (tj. bez </w:t>
      </w:r>
      <w:proofErr w:type="spellStart"/>
      <w:r w:rsidR="00F04720">
        <w:t>pachtovného</w:t>
      </w:r>
      <w:proofErr w:type="spellEnd"/>
      <w:r w:rsidR="00F04720">
        <w:t xml:space="preserve"> a úroků)</w:t>
      </w:r>
      <w:r>
        <w:t xml:space="preserve"> a mzdovou úroveň než ostatní velikostní kategorie.  Podstatně větší příjmy mají podniky od 100 ha výše, s rostoucí úrovní příjmů s velikostí podniků. </w:t>
      </w:r>
      <w:r w:rsidR="008633A8">
        <w:t xml:space="preserve">Složení </w:t>
      </w:r>
      <w:r w:rsidR="008633A8">
        <w:lastRenderedPageBreak/>
        <w:t xml:space="preserve">příjmu zemědělské domácnosti ve velikosti do 100 ha často významně doplňují jiné nezemědělské a diversifikované příjmy. </w:t>
      </w:r>
    </w:p>
    <w:p w:rsidR="000937F1" w:rsidRDefault="000937F1" w:rsidP="00B975ED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>Také hodnota indexu trvalé udržitelnosti</w:t>
      </w:r>
      <w:r w:rsidR="00A850EE">
        <w:t xml:space="preserve"> ve vztahu ke generovaným příjmům</w:t>
      </w:r>
      <w:r>
        <w:t xml:space="preserve"> (TU</w:t>
      </w:r>
      <w:r w:rsidR="00A850EE">
        <w:rPr>
          <w:rStyle w:val="Znakapoznpodarou"/>
        </w:rPr>
        <w:footnoteReference w:id="5"/>
      </w:r>
      <w:r>
        <w:t xml:space="preserve">) ukazuje na výraznou disproporci mezi velikostními skupinami: </w:t>
      </w:r>
      <w:r w:rsidR="00A850EE">
        <w:t xml:space="preserve">zatímco podniky do 100 ha resp. 300 ha vykazují hodnotu TU 1,1 resp. 3, podniky nad 1000 a poté nad 2000 ha již 7,1 resp. 8,1. </w:t>
      </w:r>
    </w:p>
    <w:p w:rsidR="00975A09" w:rsidRDefault="00975A09" w:rsidP="00B975ED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 xml:space="preserve">Pokud uvažujeme velikostní skupiny odpovídající pásmům pro stanovení </w:t>
      </w:r>
      <w:proofErr w:type="spellStart"/>
      <w:r>
        <w:t>degresivity</w:t>
      </w:r>
      <w:proofErr w:type="spellEnd"/>
      <w:r>
        <w:t xml:space="preserve"> plateb ANC, je zřejmé, že nižší ČPH/AWU vykazuje nejmen</w:t>
      </w:r>
      <w:r w:rsidR="00C437D8">
        <w:t>š</w:t>
      </w:r>
      <w:r>
        <w:t xml:space="preserve">í velikostní skupina do 300 ha (tabulka 10). Tato skupina zahrnuje především rodinné farmy s převahou neplacené práce (nad 80 % z celkových AWU) </w:t>
      </w:r>
      <w:r w:rsidR="00535A77">
        <w:t xml:space="preserve">a je poměrně </w:t>
      </w:r>
      <w:r w:rsidR="00CC540A">
        <w:t xml:space="preserve">vysoce </w:t>
      </w:r>
      <w:r w:rsidR="00535A77">
        <w:t>heterogenní.</w:t>
      </w:r>
    </w:p>
    <w:p w:rsidR="00133D35" w:rsidRDefault="00133D35" w:rsidP="00133D35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 w:rsidRPr="00133D35">
        <w:t xml:space="preserve">Farmy do 300 ha z. </w:t>
      </w:r>
      <w:proofErr w:type="gramStart"/>
      <w:r w:rsidRPr="00133D35">
        <w:t>p.</w:t>
      </w:r>
      <w:proofErr w:type="gramEnd"/>
      <w:r w:rsidRPr="00133D35">
        <w:t xml:space="preserve"> byly</w:t>
      </w:r>
      <w:r w:rsidR="00822261">
        <w:t xml:space="preserve"> dále</w:t>
      </w:r>
      <w:r w:rsidRPr="00133D35">
        <w:t xml:space="preserve"> rozděleny do skupin podle výměry do 50 ha z. p., 50–100 ha z. p., 100–300 ha z. p. a pro srovnání byla zahrnuta i skupina farem s výměrou 300–500 ha z. p.</w:t>
      </w:r>
      <w:r>
        <w:t xml:space="preserve"> </w:t>
      </w:r>
      <w:r w:rsidRPr="00133D35">
        <w:t xml:space="preserve">Nízkou ČPH na AWU zaznamenaly farmy do 100 ha, z toho </w:t>
      </w:r>
      <w:r>
        <w:t>zejména do 50 ha z. p</w:t>
      </w:r>
      <w:r w:rsidRPr="00133D35">
        <w:t xml:space="preserve">. Farmy o výměře 100–300 ha z. p. vykazují </w:t>
      </w:r>
      <w:r>
        <w:t>srovnatelné ekonomické</w:t>
      </w:r>
      <w:r w:rsidRPr="00133D35">
        <w:t xml:space="preserve"> výsledky jako farmy </w:t>
      </w:r>
      <w:r>
        <w:t>nad 300 ha</w:t>
      </w:r>
      <w:r w:rsidRPr="00133D35">
        <w:t>.</w:t>
      </w:r>
      <w:r w:rsidR="00822261">
        <w:t xml:space="preserve"> </w:t>
      </w:r>
    </w:p>
    <w:p w:rsidR="00247417" w:rsidRDefault="00247417" w:rsidP="00247417">
      <w:pPr>
        <w:pStyle w:val="Titulek"/>
        <w:ind w:firstLine="0"/>
        <w:rPr>
          <w:rFonts w:cstheme="minorHAnsi"/>
          <w:b/>
        </w:rPr>
      </w:pPr>
      <w:r w:rsidRPr="00133D35">
        <w:rPr>
          <w:b/>
        </w:rPr>
        <w:t xml:space="preserve">Tabulka </w:t>
      </w:r>
      <w:r w:rsidRPr="00133D35">
        <w:rPr>
          <w:b/>
        </w:rPr>
        <w:fldChar w:fldCharType="begin"/>
      </w:r>
      <w:r w:rsidRPr="00133D35">
        <w:rPr>
          <w:b/>
        </w:rPr>
        <w:instrText xml:space="preserve"> SEQ Tabulka \* ARABIC </w:instrText>
      </w:r>
      <w:r w:rsidRPr="00133D35">
        <w:rPr>
          <w:b/>
        </w:rPr>
        <w:fldChar w:fldCharType="separate"/>
      </w:r>
      <w:r w:rsidR="00874C34">
        <w:rPr>
          <w:b/>
          <w:noProof/>
        </w:rPr>
        <w:t>2</w:t>
      </w:r>
      <w:r w:rsidRPr="00133D35">
        <w:rPr>
          <w:b/>
        </w:rPr>
        <w:fldChar w:fldCharType="end"/>
      </w:r>
      <w:r w:rsidRPr="00133D35">
        <w:rPr>
          <w:b/>
        </w:rPr>
        <w:t xml:space="preserve">. </w:t>
      </w:r>
      <w:r w:rsidRPr="00133D35">
        <w:rPr>
          <w:rFonts w:cstheme="minorHAnsi"/>
          <w:b/>
        </w:rPr>
        <w:t xml:space="preserve">Základní ukazatele </w:t>
      </w:r>
      <w:r w:rsidR="003855CF">
        <w:rPr>
          <w:rFonts w:cstheme="minorHAnsi"/>
          <w:b/>
        </w:rPr>
        <w:t>podniků do velikosti 500 ha z.</w:t>
      </w:r>
      <w:r w:rsidR="00CC540A">
        <w:rPr>
          <w:rFonts w:cstheme="minorHAnsi"/>
          <w:b/>
        </w:rPr>
        <w:t xml:space="preserve"> </w:t>
      </w:r>
      <w:proofErr w:type="gramStart"/>
      <w:r w:rsidR="003855CF">
        <w:rPr>
          <w:rFonts w:cstheme="minorHAnsi"/>
          <w:b/>
        </w:rPr>
        <w:t>p.</w:t>
      </w:r>
      <w:proofErr w:type="gramEnd"/>
      <w:r w:rsidR="003855CF">
        <w:rPr>
          <w:rFonts w:cstheme="minorHAnsi"/>
          <w:b/>
        </w:rPr>
        <w:t xml:space="preserve"> v oblastech ANC </w:t>
      </w:r>
      <w:r w:rsidR="004C3701">
        <w:rPr>
          <w:rFonts w:cstheme="minorHAnsi"/>
          <w:b/>
        </w:rPr>
        <w:t>dle ANC od r.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203"/>
        <w:gridCol w:w="1203"/>
        <w:gridCol w:w="1361"/>
        <w:gridCol w:w="1671"/>
      </w:tblGrid>
      <w:tr w:rsidR="000D7A27" w:rsidRPr="00FF20B1" w:rsidTr="007D616A">
        <w:trPr>
          <w:trHeight w:val="51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FF20B1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Velikostní skupina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50 ha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50-100 ha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100-300 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FF20B1" w:rsidRDefault="000D7A27" w:rsidP="00A16A46">
            <w:pPr>
              <w:spacing w:line="240" w:lineRule="auto"/>
              <w:ind w:hanging="7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20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300-500 ha</w:t>
            </w:r>
          </w:p>
        </w:tc>
      </w:tr>
      <w:tr w:rsidR="000D7A27" w:rsidRPr="00582827" w:rsidTr="007D616A">
        <w:trPr>
          <w:trHeight w:val="378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ČPH Kč na AWU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97343D" w:rsidP="0097343D">
            <w:pPr>
              <w:spacing w:line="240" w:lineRule="auto"/>
              <w:ind w:firstLine="319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230 41</w:t>
            </w:r>
            <w:r w:rsidR="000D7A27"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97343D">
            <w:pPr>
              <w:spacing w:line="240" w:lineRule="auto"/>
              <w:ind w:firstLine="369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438 035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638 022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680 924</w:t>
            </w:r>
          </w:p>
        </w:tc>
      </w:tr>
      <w:tr w:rsidR="000D7A27" w:rsidRPr="00582827" w:rsidTr="007D616A">
        <w:trPr>
          <w:trHeight w:val="271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ČPH bez ANC Kč na AWU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7D616A">
            <w:pPr>
              <w:spacing w:line="240" w:lineRule="auto"/>
              <w:ind w:firstLine="4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184 653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7D616A">
            <w:pPr>
              <w:spacing w:line="240" w:lineRule="auto"/>
              <w:ind w:firstLine="40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352 665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517 696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576 604</w:t>
            </w:r>
          </w:p>
        </w:tc>
      </w:tr>
      <w:tr w:rsidR="000D7A27" w:rsidRPr="00582827" w:rsidTr="007D616A">
        <w:trPr>
          <w:trHeight w:val="3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podíl plateb ANC </w:t>
            </w:r>
            <w:r w:rsidR="00CC54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</w:t>
            </w: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provozních dotacích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16,6</w:t>
            </w:r>
          </w:p>
        </w:tc>
      </w:tr>
      <w:tr w:rsidR="000D7A27" w:rsidRPr="00582827" w:rsidTr="007D616A">
        <w:trPr>
          <w:trHeight w:val="3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podíl plateb ANC na ČPH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</w:p>
        </w:tc>
      </w:tr>
      <w:tr w:rsidR="000D7A27" w:rsidRPr="00582827" w:rsidTr="007D616A">
        <w:trPr>
          <w:trHeight w:val="51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podíl farem se zápornou ČPH bez ANC na celkovém počtu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0D7A27" w:rsidRPr="00582827" w:rsidTr="007D616A">
        <w:trPr>
          <w:trHeight w:val="51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A27" w:rsidRPr="00582827" w:rsidRDefault="000D7A27" w:rsidP="007D616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podíl z. </w:t>
            </w:r>
            <w:proofErr w:type="gramStart"/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p.</w:t>
            </w:r>
            <w:proofErr w:type="gramEnd"/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farem se zápornou ČPH bez ANC na z. p. celkem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7" w:rsidRPr="00582827" w:rsidRDefault="000D7A27" w:rsidP="006718A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282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</w:tbl>
    <w:p w:rsidR="004C3701" w:rsidRDefault="004C3701" w:rsidP="00A16A46">
      <w:pPr>
        <w:spacing w:before="0"/>
        <w:ind w:firstLin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247417" w:rsidRDefault="00247417" w:rsidP="00247417">
      <w:pPr>
        <w:pStyle w:val="Odstavecseseznamem"/>
        <w:spacing w:before="0" w:after="160" w:line="259" w:lineRule="auto"/>
        <w:ind w:left="284" w:firstLine="0"/>
      </w:pPr>
    </w:p>
    <w:p w:rsidR="00A70004" w:rsidRDefault="00A70004" w:rsidP="007D616A">
      <w:pPr>
        <w:pStyle w:val="Odstavecseseznamem"/>
        <w:numPr>
          <w:ilvl w:val="0"/>
          <w:numId w:val="11"/>
        </w:numPr>
        <w:tabs>
          <w:tab w:val="left" w:pos="142"/>
        </w:tabs>
        <w:spacing w:before="0" w:after="160" w:line="259" w:lineRule="auto"/>
        <w:ind w:left="284"/>
      </w:pPr>
      <w:r>
        <w:t xml:space="preserve">V kategorii do 100 ha jsou problematické zejména podniky se smíšenou výrobou hospodařící v ostatních oblastech </w:t>
      </w:r>
      <w:r w:rsidR="00247417">
        <w:t>ANC</w:t>
      </w:r>
      <w:r w:rsidR="00726CDF">
        <w:t xml:space="preserve"> </w:t>
      </w:r>
      <w:r>
        <w:t xml:space="preserve">a mimo </w:t>
      </w:r>
      <w:r w:rsidR="00247417">
        <w:t>ANC</w:t>
      </w:r>
      <w:r>
        <w:t>, podniky s polní výrobou</w:t>
      </w:r>
      <w:r w:rsidR="00247417">
        <w:t xml:space="preserve"> v ostatních oblastech </w:t>
      </w:r>
      <w:r w:rsidR="00726CDF">
        <w:t xml:space="preserve">ANC </w:t>
      </w:r>
      <w:r>
        <w:t xml:space="preserve">a podniky s extenzivním chovem přežvýkavců, u nichž </w:t>
      </w:r>
      <w:r w:rsidR="00E86D3B">
        <w:t xml:space="preserve">většinou </w:t>
      </w:r>
      <w:r>
        <w:t>modifikovaná ČPH</w:t>
      </w:r>
      <w:r w:rsidR="00E86D3B">
        <w:t xml:space="preserve"> (ČPH minus pacht a úroky)</w:t>
      </w:r>
      <w:r>
        <w:t xml:space="preserve"> nepokryje mzdové náklady.</w:t>
      </w:r>
    </w:p>
    <w:p w:rsidR="00936306" w:rsidRDefault="00936306" w:rsidP="00A16A46">
      <w:pPr>
        <w:pStyle w:val="Titulek"/>
        <w:keepNext/>
      </w:pPr>
      <w:r>
        <w:lastRenderedPageBreak/>
        <w:t xml:space="preserve">Graf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183FCB">
        <w:rPr>
          <w:noProof/>
        </w:rPr>
        <w:fldChar w:fldCharType="separate"/>
      </w:r>
      <w:r w:rsidR="00FF20B1">
        <w:rPr>
          <w:noProof/>
        </w:rPr>
        <w:t>3</w:t>
      </w:r>
      <w:r w:rsidR="00183FCB">
        <w:rPr>
          <w:noProof/>
        </w:rPr>
        <w:fldChar w:fldCharType="end"/>
      </w:r>
      <w:r>
        <w:t>. Vývoj čisté přidané hodnoty a mezd na AWU mezi kategoriemi podniků specializující se na polní výrobu (průměr 2014-16)</w:t>
      </w:r>
    </w:p>
    <w:p w:rsidR="00936306" w:rsidRDefault="00936306" w:rsidP="00936306">
      <w:r>
        <w:rPr>
          <w:noProof/>
          <w:lang w:val="en-US" w:eastAsia="en-US"/>
        </w:rPr>
        <w:drawing>
          <wp:inline distT="0" distB="0" distL="0" distR="0" wp14:anchorId="6F5F682B" wp14:editId="3A2C3A80">
            <wp:extent cx="5362042" cy="3204057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6306" w:rsidRDefault="00936306" w:rsidP="00936306">
      <w:pPr>
        <w:spacing w:before="0"/>
        <w:rPr>
          <w:i/>
          <w:sz w:val="20"/>
        </w:rPr>
      </w:pPr>
      <w:r>
        <w:rPr>
          <w:i/>
          <w:sz w:val="20"/>
        </w:rPr>
        <w:t>Zdroj: FADN (ÚZEI)</w:t>
      </w:r>
    </w:p>
    <w:p w:rsidR="00936306" w:rsidRPr="00936306" w:rsidRDefault="00936306" w:rsidP="00936306">
      <w:pPr>
        <w:rPr>
          <w:i/>
          <w:sz w:val="20"/>
        </w:rPr>
      </w:pPr>
    </w:p>
    <w:p w:rsidR="008633A8" w:rsidRDefault="00395614" w:rsidP="008633A8">
      <w:pPr>
        <w:pStyle w:val="Odstavecseseznamem"/>
        <w:numPr>
          <w:ilvl w:val="0"/>
          <w:numId w:val="11"/>
        </w:numPr>
        <w:spacing w:before="0" w:after="160" w:line="259" w:lineRule="auto"/>
        <w:ind w:left="284"/>
      </w:pPr>
      <w:r>
        <w:t xml:space="preserve">Tato skupina podniků je tvořena rodinnými farmami. </w:t>
      </w:r>
      <w:r w:rsidRPr="00A31E64">
        <w:t>Potenciál těchto farem je důležitý z hlediska trvale udržitelného rozvoje a multifunkčního charakteru zemědělství</w:t>
      </w:r>
      <w:r w:rsidR="00CC540A">
        <w:t xml:space="preserve"> a rozvoje venkova, na což se zejména a stále více zaměřuje</w:t>
      </w:r>
      <w:r w:rsidRPr="00A31E64">
        <w:t xml:space="preserve"> Společná zemědělská politika</w:t>
      </w:r>
      <w:r w:rsidR="00CC540A">
        <w:t xml:space="preserve"> EU</w:t>
      </w:r>
      <w:r w:rsidRPr="00A31E64">
        <w:t>.</w:t>
      </w:r>
    </w:p>
    <w:p w:rsidR="00FE1A48" w:rsidRPr="00D40D68" w:rsidRDefault="00FE1A48" w:rsidP="00A16A46">
      <w:pPr>
        <w:pStyle w:val="Odstavecseseznamem"/>
        <w:numPr>
          <w:ilvl w:val="0"/>
          <w:numId w:val="9"/>
        </w:numPr>
        <w:spacing w:before="120"/>
        <w:ind w:left="714" w:hanging="357"/>
        <w:rPr>
          <w:i/>
        </w:rPr>
      </w:pPr>
      <w:r w:rsidRPr="00D40D68">
        <w:rPr>
          <w:i/>
        </w:rPr>
        <w:t>Relativně nižší úroveň příjmů v podnicích s vyšším podílem ŽV</w:t>
      </w:r>
      <w:r w:rsidR="00625F0A">
        <w:rPr>
          <w:i/>
        </w:rPr>
        <w:t xml:space="preserve"> (</w:t>
      </w:r>
      <w:r w:rsidR="00A16A46">
        <w:rPr>
          <w:i/>
        </w:rPr>
        <w:t xml:space="preserve">a </w:t>
      </w:r>
      <w:r w:rsidR="00625F0A">
        <w:rPr>
          <w:i/>
        </w:rPr>
        <w:t>produkcí organických hnojiv)</w:t>
      </w:r>
    </w:p>
    <w:p w:rsidR="00504138" w:rsidRDefault="00504138" w:rsidP="00504138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>Z hlediska výrobního zaměření výrazně vyšší úrovně příjmů dosahují podniky se zaměřením na polní výrobu</w:t>
      </w:r>
      <w:r w:rsidR="00A16A46">
        <w:t xml:space="preserve"> (</w:t>
      </w:r>
      <w:r w:rsidR="00A16A46">
        <w:fldChar w:fldCharType="begin"/>
      </w:r>
      <w:r w:rsidR="00A16A46">
        <w:instrText xml:space="preserve"> REF _Ref525881399 \h </w:instrText>
      </w:r>
      <w:r w:rsidR="00A16A46">
        <w:fldChar w:fldCharType="separate"/>
      </w:r>
      <w:r w:rsidR="00A16A46">
        <w:t xml:space="preserve">Graf </w:t>
      </w:r>
      <w:r w:rsidR="00A16A46">
        <w:rPr>
          <w:noProof/>
        </w:rPr>
        <w:t>4</w:t>
      </w:r>
      <w:r w:rsidR="00A16A46">
        <w:fldChar w:fldCharType="end"/>
      </w:r>
      <w:r w:rsidR="00A16A46">
        <w:t>)</w:t>
      </w:r>
      <w:r>
        <w:t xml:space="preserve">, nejmenší úroveň příjmů se pak realizuje převážně v podnicích se zaměřením na produkci mléka. Relativně </w:t>
      </w:r>
      <w:r w:rsidR="00482E46">
        <w:t xml:space="preserve">méně </w:t>
      </w:r>
      <w:r>
        <w:t>příznivá je také příjmová úroveň ve specializovaných chovech prasat a drůbeže</w:t>
      </w:r>
      <w:r w:rsidR="003E26B3">
        <w:rPr>
          <w:rStyle w:val="Znakapoznpodarou"/>
        </w:rPr>
        <w:footnoteReference w:id="6"/>
      </w:r>
      <w:r>
        <w:t xml:space="preserve">, které jsou na provozních dotacích </w:t>
      </w:r>
      <w:r w:rsidR="00482E46">
        <w:t xml:space="preserve">nejméně </w:t>
      </w:r>
      <w:r>
        <w:t>závislé. Klíčové jsou provozní dotace a podpory naopak pro podniky s extenzi</w:t>
      </w:r>
      <w:r w:rsidR="00030D25">
        <w:t>vním chovem přežvýkavců.</w:t>
      </w:r>
      <w:r>
        <w:t xml:space="preserve"> </w:t>
      </w:r>
    </w:p>
    <w:p w:rsidR="00030D25" w:rsidRPr="00CE0C7F" w:rsidRDefault="00FE6887" w:rsidP="00030D25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 xml:space="preserve">Výrazně vyšší příjem dosahují podniky s převahou rostlinné ve srovnání s orientací na živočišnou výrobu zejména mimo oblasti </w:t>
      </w:r>
      <w:r w:rsidR="00030D25">
        <w:t>ANC.</w:t>
      </w:r>
    </w:p>
    <w:p w:rsidR="00CE0C7F" w:rsidRDefault="00CE0C7F" w:rsidP="00A16A46">
      <w:pPr>
        <w:pStyle w:val="Titulek"/>
        <w:keepNext/>
        <w:ind w:firstLine="0"/>
      </w:pPr>
      <w:bookmarkStart w:id="5" w:name="_Ref525881399"/>
      <w:r>
        <w:lastRenderedPageBreak/>
        <w:t xml:space="preserve">Graf </w:t>
      </w:r>
      <w:r w:rsidR="00931B68">
        <w:fldChar w:fldCharType="begin"/>
      </w:r>
      <w:r w:rsidR="00931B68">
        <w:instrText xml:space="preserve"> SEQ Graf \* ARABIC </w:instrText>
      </w:r>
      <w:r w:rsidR="00931B68">
        <w:fldChar w:fldCharType="separate"/>
      </w:r>
      <w:r w:rsidR="00FF20B1">
        <w:rPr>
          <w:noProof/>
        </w:rPr>
        <w:t>4</w:t>
      </w:r>
      <w:r w:rsidR="00931B68">
        <w:rPr>
          <w:noProof/>
        </w:rPr>
        <w:fldChar w:fldCharType="end"/>
      </w:r>
      <w:bookmarkEnd w:id="5"/>
      <w:r>
        <w:t>.</w:t>
      </w:r>
      <w:r w:rsidRPr="00CC0A38">
        <w:t xml:space="preserve">. Vývoj čisté přidané hodnoty a mezd na AWU mezi kategoriemi podniků specializující se na polní </w:t>
      </w:r>
      <w:r w:rsidR="00A16A46">
        <w:t xml:space="preserve">a smíšenou </w:t>
      </w:r>
      <w:r w:rsidRPr="00CC0A38">
        <w:t>výrobu</w:t>
      </w:r>
    </w:p>
    <w:p w:rsidR="00CE0C7F" w:rsidRDefault="00CE0C7F" w:rsidP="00CE0C7F">
      <w:pPr>
        <w:spacing w:before="0" w:after="160" w:line="259" w:lineRule="auto"/>
        <w:ind w:firstLine="0"/>
      </w:pPr>
      <w:r>
        <w:rPr>
          <w:noProof/>
          <w:lang w:val="en-US" w:eastAsia="en-US"/>
        </w:rPr>
        <w:drawing>
          <wp:inline distT="0" distB="0" distL="0" distR="0" wp14:anchorId="4DCD0429" wp14:editId="4D25738F">
            <wp:extent cx="5507666" cy="329725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61" cy="330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C7F" w:rsidRPr="00B9328D" w:rsidRDefault="00CE0C7F" w:rsidP="00CE0C7F">
      <w:pPr>
        <w:spacing w:before="0" w:after="160" w:line="259" w:lineRule="auto"/>
        <w:ind w:firstLine="0"/>
        <w:rPr>
          <w:i/>
          <w:sz w:val="20"/>
        </w:rPr>
      </w:pPr>
      <w:r w:rsidRPr="00B9328D">
        <w:rPr>
          <w:i/>
          <w:sz w:val="20"/>
        </w:rPr>
        <w:t>Zdroj: výpočty ÚZEI podle údajů FADN</w:t>
      </w:r>
    </w:p>
    <w:p w:rsidR="00FE6887" w:rsidRDefault="00FE6887" w:rsidP="00F079BD">
      <w:pPr>
        <w:pStyle w:val="Odstavecseseznamem"/>
        <w:spacing w:before="0" w:after="160" w:line="259" w:lineRule="auto"/>
        <w:ind w:left="426" w:firstLine="0"/>
      </w:pPr>
    </w:p>
    <w:p w:rsidR="00FE1A48" w:rsidRDefault="00FE1A48" w:rsidP="00FE1A48">
      <w:pPr>
        <w:pStyle w:val="Odstavecseseznamem"/>
        <w:numPr>
          <w:ilvl w:val="0"/>
          <w:numId w:val="11"/>
        </w:numPr>
        <w:spacing w:before="0" w:after="160" w:line="259" w:lineRule="auto"/>
        <w:ind w:left="426"/>
      </w:pPr>
      <w:r>
        <w:t>Relativně nižší úroveň příjmů v podnicích s vyšším podílem ŽV (chovu přežvýkavců), s</w:t>
      </w:r>
      <w:r w:rsidR="00482E46">
        <w:t xml:space="preserve"> tendencí </w:t>
      </w:r>
      <w:r>
        <w:t xml:space="preserve">jejího dalšího snižování. Nižší úroveň příjmů na AWU </w:t>
      </w:r>
      <w:r w:rsidR="00482E46">
        <w:t>je v relaci</w:t>
      </w:r>
      <w:r>
        <w:t xml:space="preserve"> </w:t>
      </w:r>
      <w:r w:rsidR="00482E46">
        <w:t>s</w:t>
      </w:r>
      <w:r>
        <w:t> vyšší pracovní náročnost</w:t>
      </w:r>
      <w:r w:rsidR="00482E46">
        <w:t>í</w:t>
      </w:r>
      <w:r>
        <w:t xml:space="preserve"> živočišné výrob</w:t>
      </w:r>
      <w:r w:rsidR="00482E46">
        <w:t>y</w:t>
      </w:r>
      <w:r>
        <w:t xml:space="preserve"> v porovnání s polní výrobou. Na druhou stranu však živočišná výroba přispívá k zaměstnanosti ve venkovských oblastech a poskytuje </w:t>
      </w:r>
      <w:r w:rsidR="00936306">
        <w:t>organické</w:t>
      </w:r>
      <w:r>
        <w:t xml:space="preserve"> vstupy do rostlinné výroby. </w:t>
      </w:r>
    </w:p>
    <w:p w:rsidR="00815B54" w:rsidRDefault="00395614" w:rsidP="00D50845">
      <w:pPr>
        <w:pStyle w:val="Odstavecseseznamem"/>
        <w:numPr>
          <w:ilvl w:val="0"/>
          <w:numId w:val="11"/>
        </w:numPr>
        <w:spacing w:before="0" w:after="160" w:line="259" w:lineRule="auto"/>
      </w:pPr>
      <w:r>
        <w:t>Velmi vysoká úroveň příjmů v podnicích se zaměřením na polní výrobu, která je dána nejen vysokými provozními podporami</w:t>
      </w:r>
      <w:r w:rsidR="00482E46">
        <w:t xml:space="preserve"> a příznivými tržními podmínkami</w:t>
      </w:r>
      <w:r>
        <w:t xml:space="preserve">, ale i </w:t>
      </w:r>
      <w:r w:rsidR="00482E46">
        <w:t xml:space="preserve">častým </w:t>
      </w:r>
      <w:r>
        <w:t xml:space="preserve">zanedbáváním vztahů ke všem složkám životního prostředí, především ke kvalitě půdy a vodnímu režimu. </w:t>
      </w:r>
      <w:r w:rsidR="00815B54">
        <w:t>Zejména v</w:t>
      </w:r>
      <w:r>
        <w:t xml:space="preserve"> těchto podnicích </w:t>
      </w:r>
      <w:r w:rsidR="00482E46">
        <w:t xml:space="preserve">zpravidla </w:t>
      </w:r>
      <w:r w:rsidR="00815B54">
        <w:t xml:space="preserve">větších velikostních kategorií </w:t>
      </w:r>
      <w:r w:rsidR="00482E46">
        <w:t xml:space="preserve">stoupají </w:t>
      </w:r>
      <w:r>
        <w:t xml:space="preserve">rizika dopadů klimatické změny (sucho) a tlaků na </w:t>
      </w:r>
      <w:r w:rsidR="00815B54">
        <w:t xml:space="preserve">jejich trvalé </w:t>
      </w:r>
      <w:r>
        <w:t xml:space="preserve">a </w:t>
      </w:r>
      <w:r w:rsidR="00815B54">
        <w:t xml:space="preserve">stále </w:t>
      </w:r>
      <w:r>
        <w:t>vyšší kompenzace.</w:t>
      </w:r>
      <w:r w:rsidR="0040276A">
        <w:t xml:space="preserve"> </w:t>
      </w:r>
      <w:r w:rsidR="00D50845" w:rsidRPr="00D50845">
        <w:t>Dodržování podmínek C-C a ozelenění se však týká podniků všech velikostních kategorií, pouze podniky do 10 ha mají výjimku z podmínek ozelenění.</w:t>
      </w:r>
    </w:p>
    <w:p w:rsidR="00931B68" w:rsidRPr="00931B68" w:rsidRDefault="00931B68" w:rsidP="00393EB4">
      <w:pPr>
        <w:pStyle w:val="Odstavecseseznamem"/>
        <w:numPr>
          <w:ilvl w:val="0"/>
          <w:numId w:val="11"/>
        </w:numPr>
        <w:spacing w:before="0" w:line="276" w:lineRule="auto"/>
        <w:rPr>
          <w:rFonts w:cs="Calibri"/>
          <w:szCs w:val="24"/>
        </w:rPr>
      </w:pPr>
      <w:r>
        <w:t>Stávající podmínky tzv. ozelenění jsou orientovány na zlepšení jak kvality půdy</w:t>
      </w:r>
      <w:r w:rsidR="00D50845">
        <w:t>,</w:t>
      </w:r>
      <w:r>
        <w:t xml:space="preserve"> tak vodního režimu. Účinky těchto opatření ke zmírnění degradačních procesů jsou předmětem </w:t>
      </w:r>
      <w:r w:rsidR="00D50845">
        <w:t>rozboru skupiny</w:t>
      </w:r>
      <w:r>
        <w:t xml:space="preserve"> „Přírodní zdroje“</w:t>
      </w:r>
      <w:r w:rsidR="00A16A46">
        <w:t xml:space="preserve"> (zde uvádíme pouze krátký výtah)</w:t>
      </w:r>
      <w:r>
        <w:t>:</w:t>
      </w:r>
    </w:p>
    <w:p w:rsidR="00931B68" w:rsidRDefault="00931B68" w:rsidP="00393EB4">
      <w:pPr>
        <w:pStyle w:val="Odstavecseseznamem"/>
        <w:numPr>
          <w:ilvl w:val="1"/>
          <w:numId w:val="11"/>
        </w:numPr>
        <w:spacing w:before="0" w:line="276" w:lineRule="auto"/>
        <w:rPr>
          <w:rFonts w:cs="Calibri"/>
          <w:szCs w:val="24"/>
        </w:rPr>
      </w:pPr>
      <w:r>
        <w:t xml:space="preserve"> </w:t>
      </w:r>
      <w:r w:rsidRPr="00931B68">
        <w:rPr>
          <w:rFonts w:cs="Calibri"/>
          <w:szCs w:val="24"/>
        </w:rPr>
        <w:t>Ozelenění přímých plateb zmírňuje dopad problematiky eroze na půdu, zejména jeho podmínka zachování výměry travních porostů.</w:t>
      </w:r>
    </w:p>
    <w:p w:rsidR="00931B68" w:rsidRPr="00931B68" w:rsidRDefault="00931B68" w:rsidP="00393EB4">
      <w:pPr>
        <w:pStyle w:val="Odstavecseseznamem"/>
        <w:numPr>
          <w:ilvl w:val="1"/>
          <w:numId w:val="11"/>
        </w:numPr>
        <w:spacing w:before="0" w:line="276" w:lineRule="auto"/>
        <w:rPr>
          <w:rFonts w:cs="Calibri"/>
          <w:szCs w:val="24"/>
        </w:rPr>
      </w:pPr>
      <w:r>
        <w:rPr>
          <w:rFonts w:cs="Arial"/>
          <w:bCs/>
        </w:rPr>
        <w:t xml:space="preserve">Do problému úbytku organické hmoty zasahuje </w:t>
      </w:r>
      <w:r w:rsidR="00D50845">
        <w:rPr>
          <w:rFonts w:cs="Arial"/>
          <w:bCs/>
        </w:rPr>
        <w:t>ozelenění</w:t>
      </w:r>
      <w:r>
        <w:rPr>
          <w:rFonts w:cs="Arial"/>
          <w:bCs/>
        </w:rPr>
        <w:t>, zejména podmínky zachování travních porostů a diverzi</w:t>
      </w:r>
      <w:r w:rsidR="00A16A46">
        <w:rPr>
          <w:rFonts w:cs="Arial"/>
          <w:bCs/>
        </w:rPr>
        <w:t xml:space="preserve">fikace. </w:t>
      </w:r>
    </w:p>
    <w:p w:rsidR="00D50845" w:rsidRDefault="00D50845" w:rsidP="00E87F00">
      <w:pPr>
        <w:pStyle w:val="Odstavecseseznamem"/>
        <w:numPr>
          <w:ilvl w:val="0"/>
          <w:numId w:val="11"/>
        </w:numPr>
        <w:spacing w:before="0" w:after="160" w:line="259" w:lineRule="auto"/>
      </w:pPr>
      <w:r>
        <w:t>Závěr Evropského účetního dvora</w:t>
      </w:r>
      <w:r>
        <w:t>, který přezkoumával účinnost nastavení podmínek ozelenění v zemích EU, poukázal na nízkou účinnost nastavených podmínek</w:t>
      </w:r>
      <w:r>
        <w:t>:</w:t>
      </w:r>
      <w:r>
        <w:t xml:space="preserve"> </w:t>
      </w:r>
      <w:r w:rsidRPr="00641E87">
        <w:t>Ekologizace zůstává v z</w:t>
      </w:r>
      <w:r>
        <w:t xml:space="preserve">ásadě režimem podpory příjmů. </w:t>
      </w:r>
      <w:r w:rsidRPr="00641E87">
        <w:t>Způsob, jak se nyní provádí, pravděpodobně významným způsobem nezvýší environme</w:t>
      </w:r>
      <w:r>
        <w:t>ntální a klimatický profil SZP.</w:t>
      </w:r>
      <w:r w:rsidR="00E87F00">
        <w:t xml:space="preserve"> Zpráva mimo jiné doporučuje, aby </w:t>
      </w:r>
      <w:r w:rsidR="00E87F00" w:rsidRPr="00E87F00">
        <w:t xml:space="preserve">zemědělské programy řešící potřeby v oblasti životního prostředí a klimatu </w:t>
      </w:r>
      <w:r w:rsidR="00E87F00">
        <w:lastRenderedPageBreak/>
        <w:t>zahrnovaly</w:t>
      </w:r>
      <w:r w:rsidR="00E87F00" w:rsidRPr="00E87F00">
        <w:t xml:space="preserve"> výkonností cíle a financování, které bude odrážet vynaložené náklady a ušlé příjmy související s činnostmi, které přesahují </w:t>
      </w:r>
      <w:r w:rsidR="00E87F00">
        <w:t>základní environmentální scénář</w:t>
      </w:r>
      <w:r w:rsidR="00A16A46">
        <w:t xml:space="preserve"> (EÚD, 2017)</w:t>
      </w:r>
      <w:r w:rsidR="00E87F00">
        <w:t>.</w:t>
      </w:r>
    </w:p>
    <w:p w:rsidR="00815B54" w:rsidRDefault="00815B54" w:rsidP="002C2F10">
      <w:pPr>
        <w:ind w:left="66" w:firstLine="0"/>
        <w:rPr>
          <w:i/>
        </w:rPr>
      </w:pPr>
    </w:p>
    <w:p w:rsidR="00FE1A48" w:rsidRPr="002C2F10" w:rsidRDefault="00FE1A48" w:rsidP="002C2F10">
      <w:pPr>
        <w:pStyle w:val="Odstavecseseznamem"/>
        <w:numPr>
          <w:ilvl w:val="0"/>
          <w:numId w:val="9"/>
        </w:numPr>
        <w:spacing w:before="0" w:after="160" w:line="259" w:lineRule="auto"/>
        <w:rPr>
          <w:i/>
        </w:rPr>
      </w:pPr>
      <w:r w:rsidRPr="002C2F10">
        <w:rPr>
          <w:i/>
        </w:rPr>
        <w:t>Nižší životaschopnost farem hospodařících v </w:t>
      </w:r>
      <w:r w:rsidR="008A3768" w:rsidRPr="002C2F10">
        <w:rPr>
          <w:i/>
        </w:rPr>
        <w:t>ANC</w:t>
      </w:r>
      <w:r w:rsidR="0040276A" w:rsidRPr="002C2F10">
        <w:rPr>
          <w:i/>
        </w:rPr>
        <w:t xml:space="preserve"> </w:t>
      </w:r>
      <w:r w:rsidRPr="002C2F10">
        <w:rPr>
          <w:i/>
        </w:rPr>
        <w:t>regionech</w:t>
      </w:r>
      <w:r w:rsidR="00815B54">
        <w:rPr>
          <w:rStyle w:val="Znakapoznpodarou"/>
          <w:i/>
        </w:rPr>
        <w:footnoteReference w:id="7"/>
      </w:r>
      <w:r w:rsidRPr="002C2F10">
        <w:rPr>
          <w:i/>
        </w:rPr>
        <w:t xml:space="preserve"> </w:t>
      </w:r>
    </w:p>
    <w:p w:rsidR="00395614" w:rsidRDefault="00EA62E7" w:rsidP="002C2F10">
      <w:r>
        <w:t>Přetrvává</w:t>
      </w:r>
      <w:r w:rsidR="00395614">
        <w:t xml:space="preserve"> nevyváženost úro</w:t>
      </w:r>
      <w:r w:rsidR="00D40D68">
        <w:t xml:space="preserve">vně příjmů mezi podniky mimo </w:t>
      </w:r>
      <w:r w:rsidR="008A3768">
        <w:t>ANC</w:t>
      </w:r>
      <w:r w:rsidR="0040276A">
        <w:t xml:space="preserve"> </w:t>
      </w:r>
      <w:r w:rsidR="00D40D68">
        <w:t>a podniky v </w:t>
      </w:r>
      <w:r w:rsidR="008A3768">
        <w:t>ANC</w:t>
      </w:r>
      <w:r w:rsidR="0040276A">
        <w:t xml:space="preserve"> </w:t>
      </w:r>
      <w:r w:rsidR="00D40D68">
        <w:t>regionech</w:t>
      </w:r>
      <w:r w:rsidR="00395614">
        <w:t xml:space="preserve">. </w:t>
      </w:r>
      <w:r w:rsidR="00D40D68">
        <w:t>Propočty</w:t>
      </w:r>
      <w:r>
        <w:t xml:space="preserve"> ze zdrojů FADN</w:t>
      </w:r>
      <w:r w:rsidR="00D40D68">
        <w:t xml:space="preserve"> ukazují, že by mělo dojít ke</w:t>
      </w:r>
      <w:r w:rsidR="00395614">
        <w:t xml:space="preserve"> zmírnění této nevyváženosti po implementaci </w:t>
      </w:r>
      <w:r w:rsidR="00D40D68">
        <w:t>nových podmínek plateb v ANC</w:t>
      </w:r>
      <w:r w:rsidR="00395614">
        <w:t xml:space="preserve"> od roku 20</w:t>
      </w:r>
      <w:r>
        <w:t>18.</w:t>
      </w:r>
      <w:r w:rsidR="00F04720">
        <w:t xml:space="preserve"> </w:t>
      </w:r>
      <w:r w:rsidR="00F04720" w:rsidRPr="00F04720">
        <w:t>V hodnocených letech 2014-2016 bylo na platby ANC vyplaceno 1,13 mld. Kč (rok 2014), 2,51mld. Kč (rok 2015) a</w:t>
      </w:r>
      <w:r w:rsidR="00815B54">
        <w:t> </w:t>
      </w:r>
      <w:r w:rsidR="00F04720" w:rsidRPr="00F04720">
        <w:t>2,23</w:t>
      </w:r>
      <w:r w:rsidR="00815B54">
        <w:t> </w:t>
      </w:r>
      <w:r w:rsidR="00F04720" w:rsidRPr="00F04720">
        <w:t xml:space="preserve">mld. Kč (rok 2016). Pro rok 2018 se předpokládá </w:t>
      </w:r>
      <w:r w:rsidR="00DE0F81">
        <w:t xml:space="preserve">vyplacení finančních prostředků ve výši  </w:t>
      </w:r>
      <w:r w:rsidR="00F04720" w:rsidRPr="00F04720">
        <w:t>4,4 mld. Kč (</w:t>
      </w:r>
      <w:r w:rsidR="00237DBB">
        <w:t>odhad</w:t>
      </w:r>
      <w:r w:rsidR="00237DBB" w:rsidRPr="00F04720">
        <w:t xml:space="preserve"> </w:t>
      </w:r>
      <w:proofErr w:type="spellStart"/>
      <w:r w:rsidR="00F04720" w:rsidRPr="00F04720">
        <w:t>MZe</w:t>
      </w:r>
      <w:proofErr w:type="spellEnd"/>
      <w:r w:rsidR="00F04720" w:rsidRPr="00F04720">
        <w:t xml:space="preserve"> na základě </w:t>
      </w:r>
      <w:r w:rsidR="00237DBB">
        <w:t xml:space="preserve">podaných </w:t>
      </w:r>
      <w:r w:rsidR="00F04720" w:rsidRPr="00F04720">
        <w:t>žádostí). Toto zvýšení je směrováno především farmám s chovem přežvýkavců</w:t>
      </w:r>
      <w:r w:rsidR="00F04720">
        <w:t>.</w:t>
      </w:r>
      <w:r>
        <w:t xml:space="preserve"> Z ex-post analýzy FADN dat</w:t>
      </w:r>
      <w:r w:rsidR="00F04720">
        <w:t xml:space="preserve"> mj.</w:t>
      </w:r>
      <w:r>
        <w:t xml:space="preserve"> plyne: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Podnikatelský důchod byl v </w:t>
      </w:r>
      <w:r w:rsidRPr="00815B54">
        <w:rPr>
          <w:i/>
        </w:rPr>
        <w:t>horské</w:t>
      </w:r>
      <w:r>
        <w:t xml:space="preserve"> oblasti o 23 % nižší,</w:t>
      </w:r>
      <w:r w:rsidR="00D40D68">
        <w:t xml:space="preserve"> v</w:t>
      </w:r>
      <w:r>
        <w:t xml:space="preserve"> </w:t>
      </w:r>
      <w:r w:rsidRPr="00815B54">
        <w:rPr>
          <w:i/>
        </w:rPr>
        <w:t>jiných</w:t>
      </w:r>
      <w:r>
        <w:t xml:space="preserve"> o 30 % nižší než mimo </w:t>
      </w:r>
      <w:r w:rsidR="008A3768">
        <w:t>ANC</w:t>
      </w:r>
      <w:r w:rsidR="00D40D68">
        <w:t>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Podnikatelský </w:t>
      </w:r>
      <w:r w:rsidR="00EA62E7">
        <w:t>důchod</w:t>
      </w:r>
      <w:r>
        <w:t xml:space="preserve"> na ha z. </w:t>
      </w:r>
      <w:proofErr w:type="gramStart"/>
      <w:r>
        <w:t>p.</w:t>
      </w:r>
      <w:proofErr w:type="gramEnd"/>
      <w:r>
        <w:t xml:space="preserve"> byl v </w:t>
      </w:r>
      <w:r w:rsidRPr="00815B54">
        <w:rPr>
          <w:i/>
        </w:rPr>
        <w:t>horské</w:t>
      </w:r>
      <w:r>
        <w:t xml:space="preserve"> oblasti o 40 % nižší,</w:t>
      </w:r>
      <w:r w:rsidR="00D40D68">
        <w:t xml:space="preserve"> v</w:t>
      </w:r>
      <w:r>
        <w:t xml:space="preserve"> </w:t>
      </w:r>
      <w:r w:rsidRPr="00815B54">
        <w:rPr>
          <w:i/>
        </w:rPr>
        <w:t>jiných</w:t>
      </w:r>
      <w:r>
        <w:t xml:space="preserve"> o 60 % nižší než mimo </w:t>
      </w:r>
      <w:r w:rsidR="008A3768">
        <w:t>ANC</w:t>
      </w:r>
      <w:r>
        <w:t>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>V</w:t>
      </w:r>
      <w:r w:rsidR="00FE6E51">
        <w:t xml:space="preserve"> podnicích zařazených v </w:t>
      </w:r>
      <w:r>
        <w:t xml:space="preserve">ANC </w:t>
      </w:r>
      <w:r w:rsidR="00FE6E51">
        <w:t>je nákladovost výrazně vyšší oproti podnikům mimo tyto regiony.</w:t>
      </w:r>
    </w:p>
    <w:p w:rsidR="006B40D6" w:rsidRDefault="006B40D6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>
        <w:t xml:space="preserve">V </w:t>
      </w:r>
      <w:r w:rsidR="008A3768">
        <w:t>ANC</w:t>
      </w:r>
      <w:r w:rsidR="0040276A">
        <w:t xml:space="preserve"> </w:t>
      </w:r>
      <w:r>
        <w:t xml:space="preserve">více než 10 % farem by bez plateb </w:t>
      </w:r>
      <w:r w:rsidR="008A3768">
        <w:t>ANC</w:t>
      </w:r>
      <w:r w:rsidR="0040276A">
        <w:t xml:space="preserve"> </w:t>
      </w:r>
      <w:r>
        <w:t>mělo zápornou ČPH (ale i 7,6 % v</w:t>
      </w:r>
      <w:r w:rsidR="00815B54">
        <w:t> </w:t>
      </w:r>
      <w:r>
        <w:t xml:space="preserve">N). To představuje v H 3,2 % v J 2,3 % (v N 1%) užité z. </w:t>
      </w:r>
      <w:proofErr w:type="gramStart"/>
      <w:r>
        <w:t>p.</w:t>
      </w:r>
      <w:proofErr w:type="gramEnd"/>
      <w:r>
        <w:t xml:space="preserve"> </w:t>
      </w:r>
      <w:r w:rsidR="00B96609">
        <w:t xml:space="preserve">Jedná se převážně o malé podniky </w:t>
      </w:r>
      <w:r w:rsidR="0040276A">
        <w:t>–</w:t>
      </w:r>
      <w:r w:rsidR="00B96609">
        <w:t xml:space="preserve"> </w:t>
      </w:r>
      <w:r w:rsidR="00B96609" w:rsidRPr="00B96609">
        <w:t>16</w:t>
      </w:r>
      <w:r w:rsidR="0040276A">
        <w:t xml:space="preserve"> %</w:t>
      </w:r>
      <w:r w:rsidR="00B96609" w:rsidRPr="00B96609">
        <w:t xml:space="preserve"> podniků do 50 ha a 9 % podniků od 50 do 100 ha z</w:t>
      </w:r>
      <w:r w:rsidR="00E606C0">
        <w:t>.</w:t>
      </w:r>
      <w:r w:rsidR="00B96609" w:rsidRPr="00B96609">
        <w:t xml:space="preserve"> p. hospodařících v</w:t>
      </w:r>
      <w:r w:rsidR="00B96609">
        <w:t> </w:t>
      </w:r>
      <w:r w:rsidR="008A3768">
        <w:t>ANC</w:t>
      </w:r>
      <w:r w:rsidR="00B96609">
        <w:t>.</w:t>
      </w:r>
    </w:p>
    <w:p w:rsidR="00F81ABF" w:rsidRDefault="00F81ABF" w:rsidP="002C2F10">
      <w:pPr>
        <w:pStyle w:val="Odstavecseseznamem"/>
        <w:numPr>
          <w:ilvl w:val="0"/>
          <w:numId w:val="16"/>
        </w:numPr>
        <w:spacing w:before="0" w:after="160" w:line="259" w:lineRule="auto"/>
      </w:pPr>
      <w:r w:rsidRPr="00F81ABF">
        <w:t xml:space="preserve">Skupiny reprezentantů </w:t>
      </w:r>
      <w:r w:rsidRPr="00815B54">
        <w:rPr>
          <w:i/>
        </w:rPr>
        <w:t>horské</w:t>
      </w:r>
      <w:r w:rsidRPr="00F81ABF">
        <w:t xml:space="preserve"> </w:t>
      </w:r>
      <w:r w:rsidR="008A3768">
        <w:t>ANC</w:t>
      </w:r>
      <w:r w:rsidR="0040276A" w:rsidRPr="00F81ABF">
        <w:t xml:space="preserve"> </w:t>
      </w:r>
      <w:r w:rsidRPr="00F81ABF">
        <w:t xml:space="preserve">(H), </w:t>
      </w:r>
      <w:r w:rsidRPr="00815B54">
        <w:rPr>
          <w:i/>
        </w:rPr>
        <w:t>jiných</w:t>
      </w:r>
      <w:r w:rsidRPr="00F81ABF">
        <w:t xml:space="preserve"> než </w:t>
      </w:r>
      <w:r w:rsidRPr="00815B54">
        <w:rPr>
          <w:i/>
        </w:rPr>
        <w:t>horských</w:t>
      </w:r>
      <w:r w:rsidRPr="00F81ABF">
        <w:t xml:space="preserve"> </w:t>
      </w:r>
      <w:r w:rsidR="008A3768">
        <w:t>ANC</w:t>
      </w:r>
      <w:r w:rsidR="0040276A" w:rsidRPr="00F81ABF">
        <w:t xml:space="preserve"> </w:t>
      </w:r>
      <w:r w:rsidRPr="00F81ABF">
        <w:t xml:space="preserve">(J) a </w:t>
      </w:r>
      <w:r w:rsidRPr="00815B54">
        <w:rPr>
          <w:i/>
        </w:rPr>
        <w:t>nezařazených</w:t>
      </w:r>
      <w:r w:rsidRPr="00F81ABF">
        <w:t xml:space="preserve"> v </w:t>
      </w:r>
      <w:r w:rsidR="008A3768">
        <w:t>ANC</w:t>
      </w:r>
      <w:r w:rsidR="0040276A" w:rsidRPr="00F81ABF">
        <w:t xml:space="preserve"> </w:t>
      </w:r>
      <w:r w:rsidRPr="00F81ABF">
        <w:t xml:space="preserve">(N) byly </w:t>
      </w:r>
      <w:r w:rsidR="00D40D68">
        <w:t>hodnoceny v dělení</w:t>
      </w:r>
      <w:r w:rsidRPr="00F81ABF">
        <w:t xml:space="preserve"> podle hustoty přežvýkavců (podle údajů FADN, tj. bez koní) na farmy s převahou živočišné výroby – ŽV (≥ 0,3 DJ přežvýkavců na ha </w:t>
      </w:r>
      <w:proofErr w:type="spellStart"/>
      <w:r w:rsidRPr="00F81ABF">
        <w:t>z.p</w:t>
      </w:r>
      <w:proofErr w:type="spellEnd"/>
      <w:r w:rsidRPr="00F81ABF">
        <w:t xml:space="preserve">.) a farmy s převahou rostlinné výroby RV (&lt;0,3 DJ přežvýkavců na ha z. </w:t>
      </w:r>
      <w:proofErr w:type="gramStart"/>
      <w:r w:rsidRPr="00F81ABF">
        <w:t>p.</w:t>
      </w:r>
      <w:proofErr w:type="gramEnd"/>
      <w:r w:rsidRPr="00F81ABF">
        <w:t>).</w:t>
      </w:r>
      <w:r>
        <w:t xml:space="preserve"> </w:t>
      </w:r>
      <w:r w:rsidRPr="00F81ABF">
        <w:t>V horské oblasti se prakticky nelišil</w:t>
      </w:r>
      <w:r w:rsidR="00D40D68">
        <w:t>a životaschopnost farem ŽV a RV.</w:t>
      </w:r>
      <w:r w:rsidRPr="00F81ABF">
        <w:t xml:space="preserve"> V jiných než horských </w:t>
      </w:r>
      <w:r w:rsidR="008A3768">
        <w:t>ANC</w:t>
      </w:r>
      <w:r w:rsidR="0040276A" w:rsidRPr="00F81ABF">
        <w:t xml:space="preserve"> </w:t>
      </w:r>
      <w:r w:rsidRPr="00F81ABF">
        <w:t xml:space="preserve">a zejména mimo </w:t>
      </w:r>
      <w:r w:rsidR="008A3768">
        <w:t>ANC</w:t>
      </w:r>
      <w:r w:rsidR="0040276A" w:rsidRPr="00F81ABF">
        <w:t xml:space="preserve"> </w:t>
      </w:r>
      <w:r w:rsidRPr="00F81ABF">
        <w:t>byla nižší životaschopnost farem živočišné výroby.</w:t>
      </w:r>
    </w:p>
    <w:p w:rsidR="00F81ABF" w:rsidRPr="00F81ABF" w:rsidRDefault="00F81ABF" w:rsidP="00D40D68">
      <w:pPr>
        <w:pStyle w:val="Titulek"/>
        <w:keepNext/>
      </w:pPr>
      <w:r>
        <w:t xml:space="preserve">Graf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183FCB">
        <w:rPr>
          <w:noProof/>
        </w:rPr>
        <w:fldChar w:fldCharType="separate"/>
      </w:r>
      <w:r w:rsidR="00FF20B1">
        <w:rPr>
          <w:noProof/>
        </w:rPr>
        <w:t>5</w:t>
      </w:r>
      <w:r w:rsidR="00183FCB">
        <w:rPr>
          <w:noProof/>
        </w:rPr>
        <w:fldChar w:fldCharType="end"/>
      </w:r>
      <w:r>
        <w:t xml:space="preserve">. Příjmové ukazatele podniků podle příslušnosti k ANC při zohlednění </w:t>
      </w:r>
      <w:r w:rsidR="002B7FDE">
        <w:t xml:space="preserve">modelování plateb roku 2018 na podmínkách roku </w:t>
      </w:r>
      <w:r>
        <w:t>2016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F81ABF" w:rsidTr="00625F0A">
        <w:tc>
          <w:tcPr>
            <w:tcW w:w="449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drawing>
                <wp:inline distT="0" distB="0" distL="0" distR="0" wp14:anchorId="30CF068C" wp14:editId="113AFB49">
                  <wp:extent cx="2667000" cy="160315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79" cy="161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drawing>
                <wp:inline distT="0" distB="0" distL="0" distR="0" wp14:anchorId="1EC6CB81" wp14:editId="4B79DF3E">
                  <wp:extent cx="2736850" cy="1645143"/>
                  <wp:effectExtent l="0" t="0" r="635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79" cy="1662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BF" w:rsidTr="00625F0A">
        <w:tc>
          <w:tcPr>
            <w:tcW w:w="449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lastRenderedPageBreak/>
              <w:drawing>
                <wp:inline distT="0" distB="0" distL="0" distR="0" wp14:anchorId="1D761D06" wp14:editId="57443E4E">
                  <wp:extent cx="2679495" cy="1612900"/>
                  <wp:effectExtent l="0" t="0" r="6985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5" cy="1625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F81ABF" w:rsidRDefault="00F81ABF" w:rsidP="00B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25F0A" w:rsidRPr="00B9328D" w:rsidRDefault="00625F0A" w:rsidP="00625F0A">
      <w:pPr>
        <w:spacing w:before="0" w:after="160" w:line="259" w:lineRule="auto"/>
        <w:ind w:firstLine="708"/>
        <w:rPr>
          <w:i/>
          <w:sz w:val="20"/>
        </w:rPr>
      </w:pPr>
      <w:r w:rsidRPr="00B9328D">
        <w:rPr>
          <w:i/>
          <w:sz w:val="20"/>
        </w:rPr>
        <w:t>Zdroj: výpočty ÚZEI podle údajů FADN</w:t>
      </w:r>
    </w:p>
    <w:p w:rsidR="00F81ABF" w:rsidRDefault="00F81ABF" w:rsidP="00F81ABF">
      <w:pPr>
        <w:pStyle w:val="Odstavecseseznamem"/>
        <w:spacing w:before="0" w:after="160" w:line="259" w:lineRule="auto"/>
        <w:ind w:left="426" w:firstLine="0"/>
      </w:pPr>
    </w:p>
    <w:p w:rsidR="00241E17" w:rsidRDefault="00241E17" w:rsidP="00241E17">
      <w:pPr>
        <w:pStyle w:val="Odstavecseseznamem"/>
        <w:numPr>
          <w:ilvl w:val="0"/>
          <w:numId w:val="9"/>
        </w:numPr>
        <w:rPr>
          <w:i/>
        </w:rPr>
      </w:pPr>
      <w:r w:rsidRPr="00D40D68">
        <w:rPr>
          <w:i/>
        </w:rPr>
        <w:t>Variabilita podnikových příjmů v důsledku rostoucí četnosti a závažnosti rizik počasí, případně i volatility cen</w:t>
      </w:r>
    </w:p>
    <w:p w:rsidR="00D40D68" w:rsidRPr="00D40D68" w:rsidRDefault="00D40D68" w:rsidP="00D40D68">
      <w:pPr>
        <w:pStyle w:val="Odstavecseseznamem"/>
        <w:ind w:firstLine="0"/>
        <w:rPr>
          <w:i/>
        </w:rPr>
      </w:pPr>
    </w:p>
    <w:p w:rsidR="00504138" w:rsidRDefault="00504138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V období 2008 – 2017 je zřetelná variabilita CZV a</w:t>
      </w:r>
      <w:r w:rsidR="00691265">
        <w:t> </w:t>
      </w:r>
      <w:r>
        <w:t xml:space="preserve">v posledním období i </w:t>
      </w:r>
      <w:r w:rsidR="004D6F73">
        <w:t xml:space="preserve">variabilita výnosů </w:t>
      </w:r>
      <w:r>
        <w:t>v důsledku sílících dopadů klimatick</w:t>
      </w:r>
      <w:r w:rsidR="004D6F73">
        <w:t>ých extrémů</w:t>
      </w:r>
      <w:r>
        <w:t>.</w:t>
      </w:r>
      <w:r w:rsidR="008863C6">
        <w:t xml:space="preserve"> Nicméně meziroční index celkové zemědělské produkce podle výkazu SZÚ nevykazuje od roku 2010 výrazný propad.</w:t>
      </w:r>
      <w:r>
        <w:t xml:space="preserve"> </w:t>
      </w:r>
      <w:r w:rsidR="00BB01E6" w:rsidRPr="00A06040">
        <w:t>Z pohledu výrobního zaměření podniků je rizikům počasí přikládán menší význam v živočišné výrobě v porovnání s rostlinnou výrobou</w:t>
      </w:r>
      <w:r w:rsidR="00BB01E6">
        <w:t>. V posledních letech se však změnilo i vnímání rizika počasí v živočišné výrobě s růstem četnosti a závažnosti sucha jako příčiny snížení dostupnosti krmivové základny pro živočišnou výrobu</w:t>
      </w:r>
      <w:r w:rsidR="00BB01E6">
        <w:rPr>
          <w:rStyle w:val="Znakapoznpodarou"/>
        </w:rPr>
        <w:footnoteReference w:id="8"/>
      </w:r>
      <w:r w:rsidR="00BB01E6">
        <w:t xml:space="preserve">.  V podnicích s převažující živočišnou výrobou je jako velmi významné vnímáno riziko </w:t>
      </w:r>
      <w:r w:rsidR="00BB01E6" w:rsidRPr="00A06040">
        <w:t>nákaz a hromadných onemocnění zvířat</w:t>
      </w:r>
      <w:r w:rsidR="00BB01E6">
        <w:t>.</w:t>
      </w:r>
    </w:p>
    <w:p w:rsidR="00F50A5A" w:rsidRDefault="00F50A5A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 w:rsidRPr="00045023">
        <w:t xml:space="preserve">Škodní průběh pojištění hospodářských zvířat je ve sledovaném období trvale nízký </w:t>
      </w:r>
      <w:r>
        <w:t>(v</w:t>
      </w:r>
      <w:r w:rsidR="00691265">
        <w:t> </w:t>
      </w:r>
      <w:r>
        <w:t xml:space="preserve">průměru 42 %) </w:t>
      </w:r>
      <w:r w:rsidRPr="00045023">
        <w:t>s menšími výkyvy proti rostlinné výrobě</w:t>
      </w:r>
      <w:r>
        <w:t xml:space="preserve"> (průměrně 81 %)</w:t>
      </w:r>
      <w:r w:rsidRPr="00045023">
        <w:t>.</w:t>
      </w:r>
    </w:p>
    <w:p w:rsidR="00F50A5A" w:rsidRDefault="00F50A5A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 w:rsidRPr="00F50A5A">
        <w:t>Průměrný škodní průběh za rostlinnou i živočišnou výrobu v období 2001–2017 činil v průměru 70 % s výkyvy od 45 % v roce 2004 do 128 % v roce 2009. V průběhu uvedených let převýšil škodní průběh v rostlinné výrobě 100 % čtyřikrát (2001, 2002, 2009, 2012).</w:t>
      </w:r>
      <w:r>
        <w:t xml:space="preserve"> Dlouhodobá data o </w:t>
      </w:r>
      <w:proofErr w:type="spellStart"/>
      <w:r>
        <w:t>škodním</w:t>
      </w:r>
      <w:proofErr w:type="spellEnd"/>
      <w:r>
        <w:t xml:space="preserve"> průběhu neukazují na rostoucí </w:t>
      </w:r>
      <w:r w:rsidR="00691265">
        <w:t xml:space="preserve">příjmové dopady </w:t>
      </w:r>
      <w:proofErr w:type="spellStart"/>
      <w:r>
        <w:t>škodní</w:t>
      </w:r>
      <w:r w:rsidR="00691265">
        <w:t>ho</w:t>
      </w:r>
      <w:proofErr w:type="spellEnd"/>
      <w:r>
        <w:t xml:space="preserve"> průběh</w:t>
      </w:r>
      <w:r w:rsidR="00691265">
        <w:t>u</w:t>
      </w:r>
      <w:r>
        <w:t xml:space="preserve"> v důsledku </w:t>
      </w:r>
      <w:r w:rsidR="0040413D">
        <w:t>nárůstu</w:t>
      </w:r>
      <w:r>
        <w:t xml:space="preserve"> kompenzací za pojištěná rizika. </w:t>
      </w:r>
    </w:p>
    <w:p w:rsidR="008C6F5C" w:rsidRDefault="008C6F5C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Variabilita v příjmech může být významně ovlivněna narůstajícími nepojistitelnými riziky, především v důsledku sucha</w:t>
      </w:r>
      <w:r w:rsidR="008863C6">
        <w:t xml:space="preserve">. </w:t>
      </w:r>
      <w:r>
        <w:t xml:space="preserve"> </w:t>
      </w:r>
    </w:p>
    <w:p w:rsidR="00504138" w:rsidRDefault="00504138" w:rsidP="002C2F10">
      <w:pPr>
        <w:pStyle w:val="Odstavecseseznamem"/>
        <w:numPr>
          <w:ilvl w:val="0"/>
          <w:numId w:val="17"/>
        </w:numPr>
        <w:spacing w:before="0" w:after="160" w:line="259" w:lineRule="auto"/>
      </w:pPr>
      <w:r>
        <w:t>Meziroční variabilita příjmů však byla do značné míry tlumena všemi druhy provozních podpor, včetně podpory pojištění a zejména od roku 2014 růstem všech typů kompenzací za vliv počasí</w:t>
      </w:r>
      <w:r w:rsidR="00691265">
        <w:t xml:space="preserve"> (viz i bod ke </w:t>
      </w:r>
      <w:proofErr w:type="spellStart"/>
      <w:r w:rsidR="00691265">
        <w:t>škodnímu</w:t>
      </w:r>
      <w:proofErr w:type="spellEnd"/>
      <w:r w:rsidR="00691265">
        <w:t xml:space="preserve"> průběhu)</w:t>
      </w:r>
      <w:r>
        <w:t>, za nákazy v RV a ŽV a za pokles CZV</w:t>
      </w:r>
      <w:r w:rsidR="00E6665F">
        <w:t xml:space="preserve"> (Tabulka 7)</w:t>
      </w:r>
      <w:r>
        <w:t>. Ve srovnání s obdobím 2008-13 vzrostly tyto kompenzace v období 2014-17 více než 3,5 krát, provozní podpory o 28 % a podpory pojištění o 10 %.</w:t>
      </w:r>
      <w:r w:rsidR="0040413D">
        <w:t xml:space="preserve"> Z tohoto důvodu </w:t>
      </w:r>
      <w:r w:rsidR="00A543CF">
        <w:t xml:space="preserve">žádné kategorie zemědělských podniků ve sledovaném období nebyly ohroženy rizikem bankrotu následkem fluktuace výnosů nebo ceny. </w:t>
      </w:r>
    </w:p>
    <w:p w:rsidR="00241E17" w:rsidRPr="000B019C" w:rsidRDefault="00241E17" w:rsidP="00241E17">
      <w:pPr>
        <w:pStyle w:val="Odstavecseseznamem"/>
        <w:numPr>
          <w:ilvl w:val="0"/>
          <w:numId w:val="9"/>
        </w:numPr>
        <w:rPr>
          <w:i/>
        </w:rPr>
      </w:pPr>
      <w:r w:rsidRPr="000B019C">
        <w:rPr>
          <w:i/>
        </w:rPr>
        <w:t xml:space="preserve"> Dlouhodobá disparita mezd mezi zemědělstvím a NH</w:t>
      </w:r>
    </w:p>
    <w:p w:rsidR="00185E93" w:rsidRDefault="000B019C" w:rsidP="000B019C">
      <w:pPr>
        <w:pStyle w:val="Odstavecseseznamem"/>
        <w:numPr>
          <w:ilvl w:val="0"/>
          <w:numId w:val="7"/>
        </w:numPr>
        <w:spacing w:line="240" w:lineRule="auto"/>
      </w:pPr>
      <w:r>
        <w:t xml:space="preserve">Většina pracovníků v zemědělství ČR (téměř </w:t>
      </w:r>
      <w:r w:rsidR="00691265">
        <w:t>75 %</w:t>
      </w:r>
      <w:r>
        <w:t>)</w:t>
      </w:r>
      <w:r w:rsidR="00E16A2A">
        <w:t xml:space="preserve"> je odměňována mzdou</w:t>
      </w:r>
      <w:r>
        <w:t>. Úroveň mezd je v zemědělství dlouhodobě nižší než v průmyslu či v NH celkem</w:t>
      </w:r>
      <w:r w:rsidR="00E16A2A">
        <w:t>, což je částečně způsobeno vyšším podílem méně kvalifikované práce s nižší úrovní odměňování</w:t>
      </w:r>
      <w:r w:rsidR="00897EC5">
        <w:t xml:space="preserve"> v zemědělství</w:t>
      </w:r>
      <w:r w:rsidR="00E16A2A">
        <w:t xml:space="preserve">. </w:t>
      </w:r>
      <w:r w:rsidR="00185E93">
        <w:t xml:space="preserve">Mzdy v zemědělství (vč. lesnictví a rybářství) se pohybují v posledních letech </w:t>
      </w:r>
      <w:r w:rsidR="00185E93">
        <w:lastRenderedPageBreak/>
        <w:t>zhruba na úrovni 80 % jak ve srovnání s průmyslem, tak s NH (zaměstnanci v zemědělství přitom odpracují měsíčně nejvyšší počet hodin v rámci všech odvětví NH). V období 2014-17 se mzdová disparita mírně prohlubovala (</w:t>
      </w:r>
      <w:r w:rsidR="000A1E04">
        <w:fldChar w:fldCharType="begin"/>
      </w:r>
      <w:r w:rsidR="000A1E04">
        <w:instrText xml:space="preserve"> REF _Ref520396724 \h </w:instrText>
      </w:r>
      <w:r w:rsidR="000A1E04">
        <w:fldChar w:fldCharType="separate"/>
      </w:r>
      <w:r w:rsidR="00874C34">
        <w:t xml:space="preserve">Graf </w:t>
      </w:r>
      <w:r w:rsidR="00874C34">
        <w:rPr>
          <w:noProof/>
        </w:rPr>
        <w:t>5</w:t>
      </w:r>
      <w:r w:rsidR="000A1E04">
        <w:fldChar w:fldCharType="end"/>
      </w:r>
      <w:r w:rsidR="00185E93">
        <w:t>).</w:t>
      </w:r>
    </w:p>
    <w:p w:rsidR="000B019C" w:rsidRDefault="00B838EF" w:rsidP="000B019C">
      <w:pPr>
        <w:pStyle w:val="Odstavecseseznamem"/>
        <w:numPr>
          <w:ilvl w:val="0"/>
          <w:numId w:val="7"/>
        </w:numPr>
        <w:spacing w:line="240" w:lineRule="auto"/>
      </w:pPr>
      <w:r>
        <w:t xml:space="preserve">Aktuální propočty ÚZEI z dat ČSÚ za rok 2017 ukazují, že by se mzda v odvětví zvedla, a to o 12,7 %, pokud by při nezměněné vzdělanostní struktuře byly jednotlivé kategorie vzdělání odměňovány stejně jako v NH.  </w:t>
      </w:r>
    </w:p>
    <w:p w:rsidR="00E16A2A" w:rsidRDefault="00691265" w:rsidP="00FD7C64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U</w:t>
      </w:r>
      <w:r w:rsidR="00747D01">
        <w:t xml:space="preserve">vážíme-li </w:t>
      </w:r>
      <w:r>
        <w:t xml:space="preserve">však </w:t>
      </w:r>
      <w:r w:rsidR="00747D01">
        <w:t>indikativní ukazatel podnikatelského</w:t>
      </w:r>
      <w:r w:rsidR="00FD7C64">
        <w:t xml:space="preserve"> důchod</w:t>
      </w:r>
      <w:r w:rsidR="00747D01">
        <w:t>u</w:t>
      </w:r>
      <w:r w:rsidR="00E16A2A">
        <w:t xml:space="preserve"> na neplacené AWU</w:t>
      </w:r>
      <w:r w:rsidR="00747D01">
        <w:t>,</w:t>
      </w:r>
      <w:r w:rsidR="00E16A2A">
        <w:t xml:space="preserve"> v roce 2017 činil zhruba 24 tis. € a převyšoval o téměř 10 tis. € průměr EU 28. Vyšší úrovně tohoto ukazatele dosahovaly jen Německo, Francie, Dánsko, Velká Británie, Španělsko a Nizozemí. ČR patřila mezi několik málo zemí EU (v roce 2016 např. Španělsko), kde úroveň tohoto ukazatele (vysoce) převyšovala průměrné mzdy v národním hospodářství.</w:t>
      </w:r>
      <w:r w:rsidR="00FD7C64">
        <w:t xml:space="preserve"> Je třeba upozornit, že t</w:t>
      </w:r>
      <w:r w:rsidR="00FD7C64" w:rsidRPr="00FD7C64">
        <w:t xml:space="preserve">ento ukazatel za celé odvětví z důvodu naprosto odlišné podnikatelské struktury </w:t>
      </w:r>
      <w:r w:rsidR="001C7116">
        <w:t xml:space="preserve">zemědělství </w:t>
      </w:r>
      <w:r w:rsidR="00FD7C64" w:rsidRPr="00FD7C64">
        <w:t>ČR proti většině zemí EU je nutno posuzovat jako orientační. Více se může uplatnit na podnikové úrovni u kategorií podniků s převahou neplacených AWU (rodinných podniků).</w:t>
      </w:r>
    </w:p>
    <w:p w:rsidR="000B019C" w:rsidRDefault="000B019C" w:rsidP="00E16A2A">
      <w:pPr>
        <w:pStyle w:val="Odstavecseseznamem"/>
        <w:spacing w:line="240" w:lineRule="auto"/>
        <w:ind w:left="360" w:firstLine="0"/>
      </w:pPr>
    </w:p>
    <w:p w:rsidR="000B019C" w:rsidRDefault="000B019C" w:rsidP="000B019C">
      <w:pPr>
        <w:pStyle w:val="Titulek"/>
      </w:pPr>
      <w:bookmarkStart w:id="6" w:name="_Ref520396724"/>
      <w:r>
        <w:t xml:space="preserve">Graf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183FCB">
        <w:rPr>
          <w:noProof/>
        </w:rPr>
        <w:fldChar w:fldCharType="separate"/>
      </w:r>
      <w:r w:rsidR="00FF20B1">
        <w:rPr>
          <w:noProof/>
        </w:rPr>
        <w:t>6</w:t>
      </w:r>
      <w:r w:rsidR="00183FCB">
        <w:rPr>
          <w:noProof/>
        </w:rPr>
        <w:fldChar w:fldCharType="end"/>
      </w:r>
      <w:bookmarkEnd w:id="6"/>
      <w:r>
        <w:t xml:space="preserve">. </w:t>
      </w:r>
      <w:r w:rsidRPr="0059503D">
        <w:t>Průměrná hrubá měsíční mzda v Kč (na přepočtené počty)</w:t>
      </w:r>
    </w:p>
    <w:p w:rsidR="000B019C" w:rsidRDefault="000B019C" w:rsidP="000B019C">
      <w:pPr>
        <w:pStyle w:val="Odstavecseseznamem"/>
        <w:ind w:left="426" w:firstLine="0"/>
      </w:pPr>
      <w:r>
        <w:rPr>
          <w:noProof/>
          <w:lang w:val="en-US" w:eastAsia="en-US"/>
        </w:rPr>
        <w:drawing>
          <wp:inline distT="0" distB="0" distL="0" distR="0" wp14:anchorId="701708FB" wp14:editId="3EC06C6F">
            <wp:extent cx="5018227" cy="2728569"/>
            <wp:effectExtent l="0" t="0" r="11430" b="1524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2DB83977-D12E-44B9-B306-40010F9A87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019C" w:rsidRPr="000B019C" w:rsidRDefault="000B019C" w:rsidP="000B019C">
      <w:pPr>
        <w:pStyle w:val="Odstavecseseznamem"/>
        <w:ind w:left="360" w:firstLine="0"/>
        <w:rPr>
          <w:i/>
          <w:sz w:val="20"/>
        </w:rPr>
      </w:pPr>
      <w:r w:rsidRPr="000B019C">
        <w:rPr>
          <w:i/>
          <w:sz w:val="20"/>
        </w:rPr>
        <w:t>Zdroj: ČSÚ</w:t>
      </w:r>
      <w:r w:rsidR="00EC05FF">
        <w:rPr>
          <w:i/>
          <w:sz w:val="20"/>
        </w:rPr>
        <w:t xml:space="preserve"> 2000-2017</w:t>
      </w:r>
    </w:p>
    <w:p w:rsidR="000B019C" w:rsidRDefault="000B019C" w:rsidP="000B019C">
      <w:pPr>
        <w:pStyle w:val="Odstavecseseznamem"/>
        <w:spacing w:before="0" w:after="160" w:line="259" w:lineRule="auto"/>
        <w:ind w:left="360" w:firstLine="0"/>
      </w:pPr>
    </w:p>
    <w:p w:rsidR="00F5509C" w:rsidRDefault="00F5509C" w:rsidP="00F5509C">
      <w:pPr>
        <w:pStyle w:val="Odstavecseseznamem"/>
        <w:spacing w:before="0" w:after="160" w:line="259" w:lineRule="auto"/>
        <w:ind w:left="360" w:firstLine="0"/>
      </w:pPr>
    </w:p>
    <w:p w:rsidR="00E16A2A" w:rsidRDefault="00E16A2A" w:rsidP="00F5509C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Nižší úroveň mezd vykazují především manažeři a technici zemědělských podniků (tedy pracovníci vzdělaní vysokoškolsky či středoškolsky s maturitou) ve srovnání s průmyslem i NH. Ostatní profesní skupiny (obecně s nižší úrovní vzdělání) jsou již podstatně méně mzdově znevýhodněny.</w:t>
      </w:r>
    </w:p>
    <w:p w:rsidR="00F5509C" w:rsidRDefault="00F5509C" w:rsidP="00F5509C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 xml:space="preserve">Souhrnně lze konstatovat, že úroveň příjmů v českém zemědělství </w:t>
      </w:r>
      <w:r w:rsidR="00E6665F">
        <w:t xml:space="preserve">(i se započítáním dotací) </w:t>
      </w:r>
      <w:r>
        <w:t xml:space="preserve">je i ve srovnání s ostatními zeměmi </w:t>
      </w:r>
      <w:r w:rsidR="007C7C3F">
        <w:t xml:space="preserve">EU relativně </w:t>
      </w:r>
      <w:r>
        <w:t xml:space="preserve">vysoká a že české zemědělství má značný potenciál pro </w:t>
      </w:r>
      <w:r w:rsidR="00E6665F">
        <w:t>snižování disparity mezd</w:t>
      </w:r>
      <w:r>
        <w:t xml:space="preserve"> v rámci národního hospodářství ČR</w:t>
      </w:r>
      <w:r w:rsidR="007C7C3F">
        <w:t>,</w:t>
      </w:r>
      <w:r w:rsidR="00E6665F">
        <w:t xml:space="preserve"> jak je </w:t>
      </w:r>
      <w:r w:rsidR="007C7C3F">
        <w:t xml:space="preserve">zřejmé </w:t>
      </w:r>
      <w:r w:rsidR="00E6665F">
        <w:t>z</w:t>
      </w:r>
      <w:r w:rsidR="007C7C3F">
        <w:t> úrovně ukazatele modifikované ČPH/AWU</w:t>
      </w:r>
      <w:r w:rsidR="00E6665F">
        <w:t> </w:t>
      </w:r>
      <w:r w:rsidR="007C7C3F">
        <w:t xml:space="preserve">a z </w:t>
      </w:r>
      <w:r w:rsidR="00E6665F">
        <w:t>Grafu 6</w:t>
      </w:r>
      <w:r w:rsidR="007C7C3F">
        <w:t xml:space="preserve"> a 7</w:t>
      </w:r>
      <w:r>
        <w:t>.</w:t>
      </w:r>
    </w:p>
    <w:p w:rsidR="00E6665F" w:rsidRDefault="00E6665F" w:rsidP="00E6665F">
      <w:pPr>
        <w:pStyle w:val="Titulek"/>
      </w:pPr>
      <w:r>
        <w:t xml:space="preserve">Graf </w:t>
      </w:r>
      <w:r w:rsidR="00931B68">
        <w:fldChar w:fldCharType="begin"/>
      </w:r>
      <w:r w:rsidR="00931B68">
        <w:instrText xml:space="preserve"> SEQ Graf \* ARABIC </w:instrText>
      </w:r>
      <w:r w:rsidR="00931B68">
        <w:fldChar w:fldCharType="separate"/>
      </w:r>
      <w:r w:rsidR="00FF20B1">
        <w:rPr>
          <w:noProof/>
        </w:rPr>
        <w:t>7</w:t>
      </w:r>
      <w:r w:rsidR="00931B68">
        <w:rPr>
          <w:noProof/>
        </w:rPr>
        <w:fldChar w:fldCharType="end"/>
      </w:r>
      <w:r>
        <w:t>. Srovnání zemědělského příjmu a mzdové úrovně NH mezi zeměmi EU</w:t>
      </w:r>
    </w:p>
    <w:p w:rsidR="00157D72" w:rsidRDefault="00157D72" w:rsidP="00185E93">
      <w:pPr>
        <w:pStyle w:val="Odstavecseseznamem"/>
        <w:spacing w:before="0" w:after="160" w:line="259" w:lineRule="auto"/>
        <w:ind w:left="360" w:firstLine="0"/>
      </w:pPr>
      <w:r>
        <w:rPr>
          <w:noProof/>
          <w:lang w:val="en-US" w:eastAsia="en-US"/>
        </w:rPr>
        <w:lastRenderedPageBreak/>
        <w:drawing>
          <wp:inline distT="0" distB="0" distL="0" distR="0" wp14:anchorId="770CC3D9" wp14:editId="3FC260C1">
            <wp:extent cx="4912995" cy="3568008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4154" cy="35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93" w:rsidRPr="00B9328D" w:rsidRDefault="00185E93" w:rsidP="00185E93">
      <w:pPr>
        <w:pStyle w:val="Odstavecseseznamem"/>
        <w:ind w:hanging="720"/>
        <w:rPr>
          <w:i/>
          <w:sz w:val="20"/>
        </w:rPr>
      </w:pPr>
      <w:r w:rsidRPr="00B9328D">
        <w:rPr>
          <w:i/>
          <w:sz w:val="20"/>
        </w:rPr>
        <w:t xml:space="preserve">Zdroj: </w:t>
      </w:r>
      <w:r>
        <w:rPr>
          <w:i/>
          <w:sz w:val="20"/>
        </w:rPr>
        <w:t xml:space="preserve">EK, </w:t>
      </w:r>
      <w:proofErr w:type="spellStart"/>
      <w:r>
        <w:rPr>
          <w:i/>
          <w:sz w:val="20"/>
        </w:rPr>
        <w:t>Eurostat</w:t>
      </w:r>
      <w:proofErr w:type="spellEnd"/>
      <w:r w:rsidRPr="00B9328D">
        <w:rPr>
          <w:noProof/>
          <w:lang w:eastAsia="en-US"/>
        </w:rPr>
        <w:t xml:space="preserve"> </w:t>
      </w:r>
    </w:p>
    <w:p w:rsidR="00185E93" w:rsidRDefault="00185E93" w:rsidP="00185E93">
      <w:pPr>
        <w:pStyle w:val="Odstavecseseznamem"/>
        <w:spacing w:before="0" w:after="160" w:line="259" w:lineRule="auto"/>
        <w:ind w:left="360" w:firstLine="0"/>
      </w:pPr>
    </w:p>
    <w:p w:rsidR="00CE0C7F" w:rsidRDefault="00625F0A" w:rsidP="00EC05FF">
      <w:pPr>
        <w:pStyle w:val="Odstavecseseznamem"/>
        <w:spacing w:before="0" w:after="160" w:line="259" w:lineRule="auto"/>
        <w:ind w:left="0" w:firstLine="0"/>
      </w:pPr>
      <w:r>
        <w:t>V následujícím grafu je znázorněna průměrná hrubá mzda v zemědělství vůči celkovému zemědělskému příjmu přepočtenému na jednu plně zaměstnanou pracovní jednotku,</w:t>
      </w:r>
    </w:p>
    <w:p w:rsidR="00CE0C7F" w:rsidRPr="00B9328D" w:rsidRDefault="00CE0C7F" w:rsidP="00CE0C7F">
      <w:pPr>
        <w:pStyle w:val="Titulek"/>
      </w:pPr>
      <w:r>
        <w:t xml:space="preserve">Graf </w:t>
      </w:r>
      <w:r w:rsidR="00931B68">
        <w:fldChar w:fldCharType="begin"/>
      </w:r>
      <w:r w:rsidR="00931B68">
        <w:instrText xml:space="preserve"> SEQ Graf \* ARABIC </w:instrText>
      </w:r>
      <w:r w:rsidR="00931B68">
        <w:fldChar w:fldCharType="separate"/>
      </w:r>
      <w:r w:rsidR="00FF20B1">
        <w:rPr>
          <w:noProof/>
        </w:rPr>
        <w:t>8</w:t>
      </w:r>
      <w:r w:rsidR="00931B68">
        <w:rPr>
          <w:noProof/>
        </w:rPr>
        <w:fldChar w:fldCharType="end"/>
      </w:r>
      <w:r>
        <w:t xml:space="preserve">. </w:t>
      </w:r>
      <w:r w:rsidRPr="00B9328D">
        <w:rPr>
          <w:bCs/>
        </w:rPr>
        <w:t>Zem</w:t>
      </w:r>
      <w:r w:rsidR="007C7C3F">
        <w:rPr>
          <w:bCs/>
        </w:rPr>
        <w:t>ědělský</w:t>
      </w:r>
      <w:r w:rsidRPr="00B9328D">
        <w:rPr>
          <w:bCs/>
        </w:rPr>
        <w:t xml:space="preserve"> příjem na pracovníka (modifikovaná CPH/AWU),</w:t>
      </w:r>
      <w:r>
        <w:rPr>
          <w:bCs/>
        </w:rPr>
        <w:t xml:space="preserve"> a průměrná mzda v NH,</w:t>
      </w:r>
      <w:r w:rsidRPr="00B9328D">
        <w:rPr>
          <w:bCs/>
        </w:rPr>
        <w:t xml:space="preserve"> 2014-16</w:t>
      </w:r>
    </w:p>
    <w:p w:rsidR="00CE0C7F" w:rsidRDefault="00CE0C7F" w:rsidP="00CE0C7F">
      <w:pPr>
        <w:pStyle w:val="Odstavecseseznamem"/>
        <w:spacing w:before="0" w:after="160" w:line="259" w:lineRule="auto"/>
        <w:ind w:left="360" w:firstLine="0"/>
      </w:pPr>
    </w:p>
    <w:p w:rsidR="00CE0C7F" w:rsidRDefault="00CE0C7F" w:rsidP="00CE0C7F">
      <w:pPr>
        <w:pStyle w:val="Odstavecseseznamem"/>
        <w:ind w:hanging="720"/>
      </w:pPr>
      <w:r w:rsidRPr="00E32B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6AEF2" wp14:editId="5E7243CB">
                <wp:simplePos x="0" y="0"/>
                <wp:positionH relativeFrom="column">
                  <wp:posOffset>471170</wp:posOffset>
                </wp:positionH>
                <wp:positionV relativeFrom="paragraph">
                  <wp:posOffset>309880</wp:posOffset>
                </wp:positionV>
                <wp:extent cx="1219200" cy="338554"/>
                <wp:effectExtent l="0" t="0" r="0" b="0"/>
                <wp:wrapNone/>
                <wp:docPr id="18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1E87" w:rsidRPr="00B9328D" w:rsidRDefault="00641E87" w:rsidP="00CE0C7F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B9328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cs-CZ"/>
                              </w:rPr>
                              <w:t>Průměrná mzda NH 2014-16: 26,6 tis. Kč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6AEF2" id="_x0000_t202" coordsize="21600,21600" o:spt="202" path="m,l,21600r21600,l21600,xe">
                <v:stroke joinstyle="miter"/>
                <v:path gradientshapeok="t" o:connecttype="rect"/>
              </v:shapetype>
              <v:shape id="TextovéPole 12" o:spid="_x0000_s1026" type="#_x0000_t202" style="position:absolute;left:0;text-align:left;margin-left:37.1pt;margin-top:24.4pt;width:96pt;height:26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w5nQEAABQDAAAOAAAAZHJzL2Uyb0RvYy54bWysUttuEzEQfUfiHyy/k01SitpVNhVQlRcE&#10;lVo+wPGOs5Zsj/E42c0n8R38GGMnTRF9q3jxZS7HZ87x6mbyTuwhkcXQycVsLgUEjb0N207+eLx7&#10;dyUFZRV65TBAJw9A8mb99s1qjC0scUDXQxIMEqgdYyeHnGPbNKQH8IpmGCFw0mDyKvM1bZs+qZHR&#10;vWuW8/mHZsTUx4QaiDh6e0zKdcU3BnT+bgxBFq6TzC3XNdV1U9ZmvVLtNqk4WH2ioV7Bwisb+NEz&#10;1K3KSuySfQHlrU5IaPJMo2/QGKuhzsDTLOb/TPMwqAh1FhaH4lkm+n+w+tv+Pgnbs3fsVFCePXqE&#10;KeP+9697dCAWy6LRGKnl0ofIxXn6hBPXP8WJg2X0ySRfdh5KcJ7VPpwVZkShS9Nycc22SaE5d3Fx&#10;dXn5vsA0z90xUf4C6EU5dDKxg1VYtf9K+Vj6VFIeC3hnnSvxQvFIpZzytJlOvDfYH5j2yCZ3kn7u&#10;VAIpUnafsf6JgkLx4y4zUn2gtB97TqgsfaV4+ibF27/vter5M6//AAAA//8DAFBLAwQUAAYACAAA&#10;ACEA1j4sCNwAAAAJAQAADwAAAGRycy9kb3ducmV2LnhtbEyPzU7DMBCE70i8g7VI3KidqIQqxKkq&#10;fiQOXGjDfRsvcURsR7HbpG/PcoLjznyanam2ixvEmabYB68hWykQ5Ntget9paA6vdxsQMaE3OARP&#10;Gi4UYVtfX1VYmjD7DzrvUyc4xMcSNdiUxlLK2FpyGFdhJM/eV5gcJj6nTpoJZw53g8yVKqTD3vMH&#10;iyM9WWq/9yenISWzyy7Ni4tvn8v782xVe4+N1rc3y+4RRKIl/cHwW5+rQ82djuHkTRSDhod1zqSG&#10;9YYXsJ8XBQtHBlWegawr+X9B/QMAAP//AwBQSwECLQAUAAYACAAAACEAtoM4kv4AAADhAQAAEwAA&#10;AAAAAAAAAAAAAAAAAAAAW0NvbnRlbnRfVHlwZXNdLnhtbFBLAQItABQABgAIAAAAIQA4/SH/1gAA&#10;AJQBAAALAAAAAAAAAAAAAAAAAC8BAABfcmVscy8ucmVsc1BLAQItABQABgAIAAAAIQANs3w5nQEA&#10;ABQDAAAOAAAAAAAAAAAAAAAAAC4CAABkcnMvZTJvRG9jLnhtbFBLAQItABQABgAIAAAAIQDWPiwI&#10;3AAAAAkBAAAPAAAAAAAAAAAAAAAAAPcDAABkcnMvZG93bnJldi54bWxQSwUGAAAAAAQABADzAAAA&#10;AAUAAAAA&#10;" filled="f" stroked="f">
                <v:textbox style="mso-fit-shape-to-text:t">
                  <w:txbxContent>
                    <w:p w:rsidR="00641E87" w:rsidRPr="00B9328D" w:rsidRDefault="00641E87" w:rsidP="00CE0C7F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B9328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32"/>
                          <w:lang w:val="cs-CZ"/>
                        </w:rPr>
                        <w:t>Průměrná mzda NH 2014-16: 26,6 tis. Kč</w:t>
                      </w:r>
                    </w:p>
                  </w:txbxContent>
                </v:textbox>
              </v:shape>
            </w:pict>
          </mc:Fallback>
        </mc:AlternateContent>
      </w:r>
      <w:r w:rsidRPr="00E32BC8">
        <w:rPr>
          <w:i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FA054" wp14:editId="66D6B1B2">
                <wp:simplePos x="0" y="0"/>
                <wp:positionH relativeFrom="column">
                  <wp:posOffset>414019</wp:posOffset>
                </wp:positionH>
                <wp:positionV relativeFrom="paragraph">
                  <wp:posOffset>548005</wp:posOffset>
                </wp:positionV>
                <wp:extent cx="4524375" cy="0"/>
                <wp:effectExtent l="0" t="19050" r="0" b="19050"/>
                <wp:wrapNone/>
                <wp:docPr id="17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DD8D6E1" id="Přímá spojnic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43.15pt" to="388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tQPAIAAM0EAAAOAAAAZHJzL2Uyb0RvYy54bWysVEtyEzEQ3VPFHVTak7Ed51NTHmcREzYp&#10;cBE4QFufGYF+JSke+ygsOQCnSHGvtDRjh8CGUGxUkvr1571uaXG1M5psRYjK2YZOTyaUCMscV7Zt&#10;6OdPN28uKYkJLAftrGjoXkR6tXz9atH7Wsxc5zQXgWAQG+veN7RLyddVFVknDMQT54VFo3TBQMJj&#10;aCseoMfoRlezyeS86l3gPjgmYsTb1WCkyxJfSsHSBymjSEQ3FGtLZQ1l3eS1Wi6gbgP4TrGxDPiH&#10;Kgwoi0mPoVaQgNwH9Ucoo1hw0cl0wpypnJSKicIB2Uwnv7G568CLwgXFif4oU/x/Ydn77ToQxbF3&#10;F5RYMNij9c9vDz/Mw3cSvftisUBynnXqfawRfm3XITNlO3vnbx37GtFWPTPmQ/QDbCeDyXCkSnZF&#10;9/1Rd7FLhOHl/Gw2P704o4QdbBXUB0cfYnonnCF501CtbJYEatjexpRTQ32A5GttSd/Q08vpBNvN&#10;AEdKaki4NR5JRttSArrFWWUplDjRacVvlNbZu8yduNaBbAEnBhgTNs0ze0zzDJlzriB2A5Djbpil&#10;4O4tRzzUnQD+1nKS9h5FtTj+NJdmBKdEC6wg7woygdJ/g8QatB3FHvQtSqe9FgP1j0JiL4vMA5vQ&#10;bjKZYeDxRaImh7EvwdAhAyXSf6Hv6JK9RXlnL/Q/OpX8zqajv1HWja3Jv8BTN9JuOnZCDviDFIMA&#10;WYuN4/t1yO3KJ3wzpXHj+86P8tdzQT39QstHAAAA//8DAFBLAwQUAAYACAAAACEAHvr6V9sAAAAI&#10;AQAADwAAAGRycy9kb3ducmV2LnhtbEyPMU/DMBCFdyT+g3VIbNRpo6ZRiFMhJDaG1nTo6MbXOCI+&#10;R7Hbhn/PIQa47e49vftevZ39IK44xT6QguUiA4HUBttTp+Dw8fZUgojJkDVDIFTwhRG2zf1dbSob&#10;brTHq06d4BCKlVHgUhorKWPr0Ju4CCMSa+cweZN4nTppJ3PjcD/IVZYV0pue+IMzI746bD/1xSvY&#10;7fVyne+OZ6tdKY/53Ep9eFfq8WF+eQaRcE5/ZvjBZ3RomOkULmSjGBQU6xU7FZRFDoL1DQ+I0+9B&#10;NrX8X6D5BgAA//8DAFBLAQItABQABgAIAAAAIQC2gziS/gAAAOEBAAATAAAAAAAAAAAAAAAAAAAA&#10;AABbQ29udGVudF9UeXBlc10ueG1sUEsBAi0AFAAGAAgAAAAhADj9If/WAAAAlAEAAAsAAAAAAAAA&#10;AAAAAAAALwEAAF9yZWxzLy5yZWxzUEsBAi0AFAAGAAgAAAAhANjJy1A8AgAAzQQAAA4AAAAAAAAA&#10;AAAAAAAALgIAAGRycy9lMm9Eb2MueG1sUEsBAi0AFAAGAAgAAAAhAB76+lfbAAAACAEAAA8AAAAA&#10;AAAAAAAAAAAAlgQAAGRycy9kb3ducmV2LnhtbFBLBQYAAAAABAAEAPMAAACeBQAAAAA=&#10;" strokecolor="#ffc000 [3207]" strokeweight="3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56BEB2E" wp14:editId="282A24AC">
            <wp:extent cx="5038725" cy="236605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29" cy="2367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63A">
        <w:rPr>
          <w:noProof/>
          <w:lang w:eastAsia="en-US"/>
        </w:rPr>
        <w:t xml:space="preserve"> </w:t>
      </w:r>
    </w:p>
    <w:p w:rsidR="00CE0C7F" w:rsidRPr="00B9328D" w:rsidRDefault="00CE0C7F" w:rsidP="00CE0C7F">
      <w:pPr>
        <w:pStyle w:val="Odstavecseseznamem"/>
        <w:ind w:hanging="720"/>
        <w:rPr>
          <w:i/>
          <w:sz w:val="20"/>
        </w:rPr>
      </w:pPr>
      <w:r w:rsidRPr="00B9328D">
        <w:rPr>
          <w:i/>
          <w:sz w:val="20"/>
        </w:rPr>
        <w:t>Zdroj: výpočty ÚZEI podle FADN, ČSÚ</w:t>
      </w:r>
      <w:r w:rsidRPr="00B9328D">
        <w:rPr>
          <w:noProof/>
          <w:lang w:eastAsia="en-US"/>
        </w:rPr>
        <w:t xml:space="preserve"> </w:t>
      </w:r>
    </w:p>
    <w:p w:rsidR="00F245B1" w:rsidRDefault="00E326BC" w:rsidP="00E4113A">
      <w:pPr>
        <w:pStyle w:val="Nadpis1"/>
        <w:numPr>
          <w:ilvl w:val="0"/>
          <w:numId w:val="1"/>
        </w:numPr>
      </w:pPr>
      <w:bookmarkStart w:id="7" w:name="_Toc525897098"/>
      <w:r>
        <w:t xml:space="preserve">Závažnost </w:t>
      </w:r>
      <w:r w:rsidR="00D87347">
        <w:rPr>
          <w:lang w:val="cs-CZ"/>
        </w:rPr>
        <w:t xml:space="preserve">a vývojový trend </w:t>
      </w:r>
      <w:r>
        <w:t>problému</w:t>
      </w:r>
      <w:bookmarkEnd w:id="7"/>
      <w:r w:rsidR="00E4113A">
        <w:t xml:space="preserve"> </w:t>
      </w:r>
    </w:p>
    <w:p w:rsidR="00D87347" w:rsidRDefault="00D87347" w:rsidP="00D87347">
      <w:pPr>
        <w:pStyle w:val="Odstavecseseznamem"/>
        <w:spacing w:before="0" w:after="160" w:line="259" w:lineRule="auto"/>
        <w:ind w:firstLine="0"/>
      </w:pPr>
    </w:p>
    <w:p w:rsidR="00D87347" w:rsidRDefault="00D87347" w:rsidP="00D87347">
      <w:pPr>
        <w:spacing w:before="0" w:after="160" w:line="259" w:lineRule="auto"/>
        <w:ind w:firstLine="0"/>
      </w:pPr>
      <w:r>
        <w:t>Problém</w:t>
      </w:r>
      <w:r w:rsidR="00897EC5">
        <w:t xml:space="preserve"> vysoké závislosti příjmů na podporách</w:t>
      </w:r>
      <w:r>
        <w:t xml:space="preserve"> je spojen s rostoucí úrovní zejména provozních podpor do zemědělství po vstupu do EU. Od roku 2004 je nominální úroveň podpor </w:t>
      </w:r>
      <w:r>
        <w:lastRenderedPageBreak/>
        <w:t>zemědělským podnikům v současnosti téměř čtyřnásobná (2003: 1</w:t>
      </w:r>
      <w:r w:rsidR="00A85D4F">
        <w:t>2,2 mld. Kč; 2017: 45,5 mld. Kč; hodnota zemědělské produkce ve stálých cenách vzrostla mezi 2017/2003 o 11</w:t>
      </w:r>
      <w:r w:rsidR="007C7C3F">
        <w:t xml:space="preserve"> </w:t>
      </w:r>
      <w:r w:rsidR="00A85D4F">
        <w:t>%)</w:t>
      </w:r>
      <w:r w:rsidR="007C7C3F">
        <w:t>.</w:t>
      </w:r>
      <w:r w:rsidR="00A85D4F">
        <w:t xml:space="preserve"> </w:t>
      </w:r>
    </w:p>
    <w:p w:rsidR="00D87347" w:rsidRDefault="00D87347" w:rsidP="00D87347">
      <w:pPr>
        <w:spacing w:before="0" w:after="160" w:line="259" w:lineRule="auto"/>
        <w:ind w:firstLine="0"/>
      </w:pPr>
      <w:r>
        <w:t xml:space="preserve">Vysoký podíl </w:t>
      </w:r>
      <w:r w:rsidR="00DF5C71">
        <w:t>orné půdy</w:t>
      </w:r>
      <w:r>
        <w:t xml:space="preserve"> spojený s polní výrobou s převažujícími 2 – 3 plodinami na velkých plochách, které při slabších environmentálních omezeních generují stále vyšší příjmy příslušné kategorii podniků</w:t>
      </w:r>
      <w:r w:rsidR="00775214">
        <w:rPr>
          <w:rStyle w:val="Znakapoznpodarou"/>
        </w:rPr>
        <w:footnoteReference w:id="9"/>
      </w:r>
      <w:r>
        <w:t>.</w:t>
      </w:r>
    </w:p>
    <w:p w:rsidR="00D87347" w:rsidRDefault="00D87347" w:rsidP="00D87347">
      <w:pPr>
        <w:spacing w:before="0" w:after="160" w:line="259" w:lineRule="auto"/>
        <w:ind w:firstLine="0"/>
      </w:pPr>
      <w:r>
        <w:t>Na druhou stranu tendence ke snižování počtu podniků se zaměřením na (relativně méně ziskovou) ŽV.</w:t>
      </w:r>
    </w:p>
    <w:p w:rsidR="00D87347" w:rsidRDefault="00D87347" w:rsidP="00D87347">
      <w:pPr>
        <w:spacing w:before="0" w:after="160" w:line="259" w:lineRule="auto"/>
        <w:ind w:firstLine="0"/>
      </w:pPr>
      <w:r>
        <w:t xml:space="preserve">Disparita mezi skupinou malých, středních a velkých podniků dlouhodobě přetrvává, v rámci </w:t>
      </w:r>
      <w:r w:rsidR="00812A0D">
        <w:t>přímých plateb</w:t>
      </w:r>
      <w:r>
        <w:t xml:space="preserve"> nicméně není dosud uplatněn princip </w:t>
      </w:r>
      <w:r w:rsidR="007C7C3F">
        <w:t xml:space="preserve">výraznější </w:t>
      </w:r>
      <w:proofErr w:type="spellStart"/>
      <w:r>
        <w:t>degresivity</w:t>
      </w:r>
      <w:proofErr w:type="spellEnd"/>
      <w:r>
        <w:t xml:space="preserve"> výplaty s velikostí podniku.  </w:t>
      </w:r>
    </w:p>
    <w:p w:rsidR="008643D9" w:rsidRDefault="008643D9" w:rsidP="008643D9">
      <w:pPr>
        <w:pStyle w:val="Titulek"/>
        <w:ind w:firstLine="0"/>
      </w:pPr>
      <w:r>
        <w:t xml:space="preserve">Graf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Graf \* ARABIC </w:instrText>
      </w:r>
      <w:r w:rsidR="00183FCB">
        <w:rPr>
          <w:noProof/>
        </w:rPr>
        <w:fldChar w:fldCharType="separate"/>
      </w:r>
      <w:r w:rsidR="00FF20B1">
        <w:rPr>
          <w:noProof/>
        </w:rPr>
        <w:t>9</w:t>
      </w:r>
      <w:r w:rsidR="00183FCB">
        <w:rPr>
          <w:noProof/>
        </w:rPr>
        <w:fldChar w:fldCharType="end"/>
      </w:r>
      <w:r w:rsidR="008C6F5C">
        <w:t>. Ekonomický zisk (</w:t>
      </w:r>
      <w:r>
        <w:t>zisk minus oportunitní náklady vlastní práce a půdy) v rámci ANC</w:t>
      </w:r>
      <w:r w:rsidR="00B16B5C">
        <w:t>-jiná</w:t>
      </w:r>
      <w:r>
        <w:t xml:space="preserve"> a mimo ANC </w:t>
      </w:r>
    </w:p>
    <w:p w:rsidR="008643D9" w:rsidRDefault="003816C5" w:rsidP="00D87347">
      <w:pPr>
        <w:spacing w:before="0" w:after="160" w:line="259" w:lineRule="auto"/>
        <w:ind w:firstLine="0"/>
      </w:pPr>
      <w:r>
        <w:rPr>
          <w:noProof/>
          <w:lang w:val="en-US" w:eastAsia="en-US"/>
        </w:rPr>
        <w:drawing>
          <wp:inline distT="0" distB="0" distL="0" distR="0" wp14:anchorId="73CD8F9B" wp14:editId="300B2532">
            <wp:extent cx="5581650" cy="27432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10" cy="275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6C5" w:rsidRPr="000B019C" w:rsidRDefault="00FF7514" w:rsidP="00775214">
      <w:pPr>
        <w:pStyle w:val="Odstavecseseznamem"/>
        <w:spacing w:before="0"/>
        <w:ind w:left="357" w:firstLine="0"/>
        <w:jc w:val="left"/>
        <w:rPr>
          <w:i/>
          <w:sz w:val="20"/>
        </w:rPr>
      </w:pPr>
      <w:r>
        <w:rPr>
          <w:i/>
          <w:sz w:val="20"/>
        </w:rPr>
        <w:t xml:space="preserve">Pozn. Horská ANC nebyla uvedena. </w:t>
      </w:r>
      <w:r w:rsidR="003816C5">
        <w:rPr>
          <w:i/>
          <w:sz w:val="20"/>
        </w:rPr>
        <w:t>Zdroj: vlastní výpočty s využitím FADN</w:t>
      </w:r>
    </w:p>
    <w:p w:rsidR="003816C5" w:rsidRDefault="003816C5" w:rsidP="00D87347">
      <w:pPr>
        <w:spacing w:before="0" w:after="160" w:line="259" w:lineRule="auto"/>
        <w:ind w:firstLine="0"/>
      </w:pPr>
    </w:p>
    <w:p w:rsidR="00197CBD" w:rsidRDefault="00197CBD" w:rsidP="00197CBD">
      <w:pPr>
        <w:spacing w:before="0" w:line="240" w:lineRule="auto"/>
        <w:ind w:firstLine="426"/>
        <w:rPr>
          <w:rFonts w:eastAsia="Calibri"/>
          <w:szCs w:val="24"/>
          <w:lang w:eastAsia="en-US"/>
        </w:rPr>
      </w:pPr>
      <w:r w:rsidRPr="00197CBD">
        <w:rPr>
          <w:rFonts w:eastAsia="Calibri"/>
          <w:szCs w:val="24"/>
          <w:lang w:eastAsia="en-US"/>
        </w:rPr>
        <w:t xml:space="preserve">Rozměr rizika zničení zemědělského </w:t>
      </w:r>
      <w:r>
        <w:rPr>
          <w:rFonts w:eastAsia="Calibri"/>
          <w:szCs w:val="24"/>
          <w:lang w:eastAsia="en-US"/>
        </w:rPr>
        <w:t>subjektu v důsledku přírodní katastrofy</w:t>
      </w:r>
      <w:r w:rsidRPr="00197CBD">
        <w:rPr>
          <w:rFonts w:eastAsia="Calibri"/>
          <w:szCs w:val="24"/>
          <w:lang w:eastAsia="en-US"/>
        </w:rPr>
        <w:t xml:space="preserve"> v českých podmínkách zatím není přesně kvantifikován. V úvahu připadá zejména ztráta ornice v důsledku povodně</w:t>
      </w:r>
      <w:r w:rsidR="008C6F5C">
        <w:rPr>
          <w:rFonts w:eastAsia="Calibri"/>
          <w:szCs w:val="24"/>
          <w:lang w:eastAsia="en-US"/>
        </w:rPr>
        <w:t>/přívalového deště</w:t>
      </w:r>
      <w:r w:rsidRPr="00197CBD">
        <w:rPr>
          <w:rFonts w:eastAsia="Calibri"/>
          <w:szCs w:val="24"/>
          <w:lang w:eastAsia="en-US"/>
        </w:rPr>
        <w:t xml:space="preserve"> nebo nutnost likvidace trvalých kultur (stromů v sadech, vinné révy nebo chmelových rostlin) v případech napadení chorobami nebo škůdci. Orientovat se přitom lze podle výpočtů ze studie </w:t>
      </w:r>
      <w:r w:rsidRPr="00197CBD">
        <w:rPr>
          <w:rFonts w:eastAsia="Calibri"/>
          <w:i/>
          <w:szCs w:val="24"/>
          <w:lang w:eastAsia="en-US"/>
        </w:rPr>
        <w:t xml:space="preserve">Risk management </w:t>
      </w:r>
      <w:proofErr w:type="spellStart"/>
      <w:r w:rsidRPr="00197CBD">
        <w:rPr>
          <w:rFonts w:eastAsia="Calibri"/>
          <w:i/>
          <w:szCs w:val="24"/>
          <w:lang w:eastAsia="en-US"/>
        </w:rPr>
        <w:t>schemes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in EU </w:t>
      </w:r>
      <w:proofErr w:type="spellStart"/>
      <w:r w:rsidRPr="00197CBD">
        <w:rPr>
          <w:rFonts w:eastAsia="Calibri"/>
          <w:i/>
          <w:szCs w:val="24"/>
          <w:lang w:eastAsia="en-US"/>
        </w:rPr>
        <w:t>agriculture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– </w:t>
      </w:r>
      <w:proofErr w:type="spellStart"/>
      <w:r w:rsidRPr="00197CBD">
        <w:rPr>
          <w:rFonts w:eastAsia="Calibri"/>
          <w:i/>
          <w:szCs w:val="24"/>
          <w:lang w:eastAsia="en-US"/>
        </w:rPr>
        <w:t>Dealing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97CBD">
        <w:rPr>
          <w:rFonts w:eastAsia="Calibri"/>
          <w:i/>
          <w:szCs w:val="24"/>
          <w:lang w:eastAsia="en-US"/>
        </w:rPr>
        <w:t>with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risk and volatility (</w:t>
      </w:r>
      <w:proofErr w:type="spellStart"/>
      <w:r w:rsidRPr="00197CBD">
        <w:rPr>
          <w:rFonts w:eastAsia="Calibri"/>
          <w:i/>
          <w:szCs w:val="24"/>
          <w:lang w:eastAsia="en-US"/>
        </w:rPr>
        <w:t>European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97CBD">
        <w:rPr>
          <w:rFonts w:eastAsia="Calibri"/>
          <w:i/>
          <w:szCs w:val="24"/>
          <w:lang w:eastAsia="en-US"/>
        </w:rPr>
        <w:t>Commission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, </w:t>
      </w:r>
      <w:r w:rsidRPr="00197CBD">
        <w:rPr>
          <w:rFonts w:eastAsia="Calibri"/>
          <w:szCs w:val="24"/>
          <w:lang w:eastAsia="en-US"/>
        </w:rPr>
        <w:t>2017)</w:t>
      </w:r>
      <w:r w:rsidRPr="00197CBD">
        <w:rPr>
          <w:rFonts w:eastAsia="Calibri"/>
          <w:szCs w:val="24"/>
          <w:vertAlign w:val="superscript"/>
          <w:lang w:eastAsia="en-US"/>
        </w:rPr>
        <w:footnoteReference w:id="10"/>
      </w:r>
      <w:r w:rsidRPr="00197CBD">
        <w:rPr>
          <w:rFonts w:eastAsia="Calibri"/>
          <w:szCs w:val="24"/>
          <w:lang w:eastAsia="en-US"/>
        </w:rPr>
        <w:t>. Ve studii je na základě dat FADN EU odhadnut podíl zemědělských podniků, které by byly postiženy více než 30% ztrátou na zemědělském příjmu počítaném jako rozdíl výnosů a nákladů (</w:t>
      </w:r>
      <w:proofErr w:type="spellStart"/>
      <w:r w:rsidRPr="00197CBD">
        <w:rPr>
          <w:rFonts w:eastAsia="Calibri"/>
          <w:i/>
          <w:szCs w:val="24"/>
          <w:lang w:eastAsia="en-US"/>
        </w:rPr>
        <w:t>income</w:t>
      </w:r>
      <w:proofErr w:type="spellEnd"/>
      <w:r w:rsidRPr="00197CBD">
        <w:rPr>
          <w:rFonts w:eastAsia="Calibri"/>
          <w:i/>
          <w:szCs w:val="24"/>
          <w:lang w:eastAsia="en-US"/>
        </w:rPr>
        <w:t xml:space="preserve"> risk</w:t>
      </w:r>
      <w:r w:rsidRPr="00197CBD">
        <w:rPr>
          <w:rFonts w:eastAsia="Calibri"/>
          <w:szCs w:val="24"/>
          <w:lang w:eastAsia="en-US"/>
        </w:rPr>
        <w:t xml:space="preserve">). </w:t>
      </w:r>
    </w:p>
    <w:p w:rsidR="007C7C3F" w:rsidRDefault="00197CBD" w:rsidP="00197CBD">
      <w:pPr>
        <w:spacing w:line="240" w:lineRule="auto"/>
        <w:rPr>
          <w:szCs w:val="24"/>
        </w:rPr>
      </w:pPr>
      <w:r>
        <w:rPr>
          <w:szCs w:val="24"/>
        </w:rPr>
        <w:t xml:space="preserve">Nejvíce rizikové jsou z tohoto hlediska podniky s převažující polní výrobou, farmy specializované na chov prasat a drůbeže a podniky specializované na produkci ovoce a zeleniny. Naopak relativně nejméně rizikové jsou podniky se smíšenou živočišnou výrobou a podniky s kombinovanou rostlinnou a živočišnou výrobou. </w:t>
      </w:r>
    </w:p>
    <w:p w:rsidR="00197CBD" w:rsidRDefault="00197CBD" w:rsidP="00197CBD">
      <w:pPr>
        <w:spacing w:line="240" w:lineRule="auto"/>
        <w:rPr>
          <w:szCs w:val="24"/>
        </w:rPr>
      </w:pPr>
      <w:r>
        <w:rPr>
          <w:szCs w:val="24"/>
        </w:rPr>
        <w:lastRenderedPageBreak/>
        <w:t>Česká republika má jeden z nejnižších podílů zemědělských podniků citlivých na propad příjmů zejména z důvodu specifické faremní struktury</w:t>
      </w:r>
      <w:r w:rsidR="001C7116">
        <w:rPr>
          <w:szCs w:val="24"/>
        </w:rPr>
        <w:t>, charakterizované dle obhospodařované plochy převažujícími velkými obchodními korporacemi</w:t>
      </w:r>
      <w:r>
        <w:rPr>
          <w:szCs w:val="24"/>
        </w:rPr>
        <w:t>. R</w:t>
      </w:r>
      <w:r w:rsidRPr="0028421B">
        <w:rPr>
          <w:szCs w:val="24"/>
        </w:rPr>
        <w:t xml:space="preserve">iziko zničení více než 30 % zemědělského potenciálu takto postiženého </w:t>
      </w:r>
      <w:r w:rsidR="001C7116">
        <w:rPr>
          <w:szCs w:val="24"/>
        </w:rPr>
        <w:t xml:space="preserve">velkého </w:t>
      </w:r>
      <w:r w:rsidRPr="0028421B">
        <w:rPr>
          <w:szCs w:val="24"/>
        </w:rPr>
        <w:t xml:space="preserve">zemědělského podniku lze </w:t>
      </w:r>
      <w:r>
        <w:rPr>
          <w:szCs w:val="24"/>
        </w:rPr>
        <w:t xml:space="preserve">tedy </w:t>
      </w:r>
      <w:r w:rsidRPr="0028421B">
        <w:rPr>
          <w:szCs w:val="24"/>
        </w:rPr>
        <w:t>považovat v ČR za velmi malé.</w:t>
      </w:r>
      <w:r>
        <w:rPr>
          <w:szCs w:val="24"/>
        </w:rPr>
        <w:t xml:space="preserve"> V případě snížení limitů ztráty na 20 % bude však podíl zasažených podniků vyšší, nicméně </w:t>
      </w:r>
      <w:r w:rsidR="001C7116">
        <w:rPr>
          <w:szCs w:val="24"/>
        </w:rPr>
        <w:t>exaktní</w:t>
      </w:r>
      <w:r>
        <w:rPr>
          <w:szCs w:val="24"/>
        </w:rPr>
        <w:t xml:space="preserve"> komparace nejsou k dispozici.  </w:t>
      </w:r>
      <w:r w:rsidR="00FD78F2" w:rsidRPr="00FD78F2">
        <w:rPr>
          <w:szCs w:val="24"/>
        </w:rPr>
        <w:t>Pokud sečteme náhrady škod od pojišťoven a ad hoc kompenzace škod ze státního rozpočtu, je možné průměrnou roční škodu v zemědělské výrobě vlivem produkčních rizik v období 2001–2017 kvantifikovat ve výši 1,3 mld. Kč což je 1,1 % průměrné hodnoty produkce zemědělského odvětví za uvedené období.</w:t>
      </w:r>
    </w:p>
    <w:p w:rsidR="00FD78F2" w:rsidRDefault="00FD78F2" w:rsidP="00197CBD">
      <w:pPr>
        <w:spacing w:before="0" w:line="240" w:lineRule="auto"/>
        <w:ind w:firstLine="426"/>
        <w:rPr>
          <w:rFonts w:eastAsia="Calibri"/>
          <w:szCs w:val="24"/>
          <w:lang w:eastAsia="en-US"/>
        </w:rPr>
      </w:pPr>
      <w:r w:rsidRPr="00FD78F2">
        <w:rPr>
          <w:rFonts w:eastAsia="Calibri"/>
          <w:szCs w:val="24"/>
          <w:lang w:eastAsia="en-US"/>
        </w:rPr>
        <w:t xml:space="preserve">Pokud bude zemědělská politika orientována jako doposud, hrozí </w:t>
      </w:r>
      <w:r>
        <w:rPr>
          <w:rFonts w:eastAsia="Calibri"/>
          <w:szCs w:val="24"/>
          <w:lang w:eastAsia="en-US"/>
        </w:rPr>
        <w:t>následující rizika:</w:t>
      </w:r>
      <w:r w:rsidRPr="00FD78F2">
        <w:rPr>
          <w:rFonts w:eastAsia="Calibri"/>
          <w:szCs w:val="24"/>
          <w:lang w:eastAsia="en-US"/>
        </w:rPr>
        <w:t xml:space="preserve"> </w:t>
      </w:r>
    </w:p>
    <w:p w:rsidR="00197CBD" w:rsidRPr="001C7116" w:rsidRDefault="007C7C3F" w:rsidP="002C2F10">
      <w:pPr>
        <w:pStyle w:val="Odstavecseseznamem"/>
        <w:numPr>
          <w:ilvl w:val="0"/>
          <w:numId w:val="18"/>
        </w:numPr>
        <w:spacing w:before="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FD78F2" w:rsidRPr="0091560D">
        <w:rPr>
          <w:rFonts w:eastAsia="Calibri"/>
          <w:szCs w:val="24"/>
          <w:lang w:eastAsia="en-US"/>
        </w:rPr>
        <w:t>vládnutí českého zemědělství mimořádně velkými podniky s převažujícím zaměřením na environmentálně méně regulovanou polní výrobu, resp. na velmi extenzivní chov přežvýkavců v horských a podhorských podmínkách</w:t>
      </w:r>
      <w:r w:rsidR="00A5416F" w:rsidRPr="00AA453E">
        <w:rPr>
          <w:rFonts w:eastAsia="Calibri"/>
          <w:szCs w:val="24"/>
          <w:lang w:eastAsia="en-US"/>
        </w:rPr>
        <w:t xml:space="preserve"> při současném dalším posilování jejich výhod z rozsahu</w:t>
      </w:r>
      <w:r w:rsidR="00FD78F2" w:rsidRPr="00AA453E">
        <w:rPr>
          <w:rFonts w:eastAsia="Calibri"/>
          <w:szCs w:val="24"/>
          <w:lang w:eastAsia="en-US"/>
        </w:rPr>
        <w:t>.</w:t>
      </w:r>
      <w:r w:rsidR="006718A0" w:rsidRPr="00AA453E">
        <w:rPr>
          <w:rFonts w:eastAsia="Calibri"/>
          <w:szCs w:val="24"/>
          <w:lang w:eastAsia="en-US"/>
        </w:rPr>
        <w:t xml:space="preserve"> Z tabulky 3 </w:t>
      </w:r>
      <w:r w:rsidR="009B03BD" w:rsidRPr="00AA453E">
        <w:rPr>
          <w:rFonts w:eastAsia="Calibri"/>
          <w:szCs w:val="24"/>
          <w:lang w:eastAsia="en-US"/>
        </w:rPr>
        <w:t xml:space="preserve">vyplývá nízká intenzita chovu přežvýkavců ve všech velikostních kategoriích podniků s KBTPM (v průměru 0,5 DJ/ha krmných plodin a méně), vyšší provozní dotace a </w:t>
      </w:r>
      <w:r w:rsidR="002909C2" w:rsidRPr="001C7116">
        <w:rPr>
          <w:rFonts w:eastAsia="Calibri"/>
          <w:szCs w:val="24"/>
          <w:lang w:eastAsia="en-US"/>
        </w:rPr>
        <w:t>podpory,</w:t>
      </w:r>
      <w:r w:rsidR="009B03BD" w:rsidRPr="001C7116">
        <w:rPr>
          <w:rFonts w:eastAsia="Calibri"/>
          <w:szCs w:val="24"/>
          <w:lang w:eastAsia="en-US"/>
        </w:rPr>
        <w:t xml:space="preserve"> než generují podniky vlastní zemědělskou produkcí, klesající zapojení AWU/100 a rostoucí úroveň příjmového indikátoru ČPH/AWU s rostoucí velikostí podniku</w:t>
      </w:r>
      <w:r w:rsidR="002909C2" w:rsidRPr="001C7116">
        <w:rPr>
          <w:rFonts w:eastAsia="Calibri"/>
          <w:szCs w:val="24"/>
          <w:lang w:eastAsia="en-US"/>
        </w:rPr>
        <w:t xml:space="preserve">. </w:t>
      </w:r>
      <w:r w:rsidR="009B03BD" w:rsidRPr="001C7116">
        <w:rPr>
          <w:rFonts w:eastAsia="Calibri"/>
          <w:szCs w:val="24"/>
          <w:lang w:eastAsia="en-US"/>
        </w:rPr>
        <w:t xml:space="preserve"> </w:t>
      </w:r>
    </w:p>
    <w:p w:rsidR="00A85D4F" w:rsidRPr="002C2F10" w:rsidRDefault="0097259E" w:rsidP="002C2F10">
      <w:pPr>
        <w:pStyle w:val="Odstavecseseznamem"/>
        <w:numPr>
          <w:ilvl w:val="0"/>
          <w:numId w:val="18"/>
        </w:numPr>
        <w:spacing w:before="0" w:line="240" w:lineRule="auto"/>
        <w:rPr>
          <w:rFonts w:eastAsia="Calibri"/>
          <w:szCs w:val="24"/>
          <w:lang w:eastAsia="en-US"/>
        </w:rPr>
      </w:pPr>
      <w:r w:rsidRPr="002C2F10">
        <w:rPr>
          <w:rFonts w:eastAsia="Calibri"/>
          <w:szCs w:val="24"/>
          <w:lang w:eastAsia="en-US"/>
        </w:rPr>
        <w:t>R</w:t>
      </w:r>
      <w:r w:rsidR="00A85D4F" w:rsidRPr="002C2F10">
        <w:rPr>
          <w:rFonts w:eastAsia="Calibri"/>
          <w:szCs w:val="24"/>
          <w:lang w:eastAsia="en-US"/>
        </w:rPr>
        <w:t xml:space="preserve">ostoucí kompenzace podnikům za škody způsobené jak přírodními faktory, tak vlivem výkyvu cen. </w:t>
      </w:r>
    </w:p>
    <w:p w:rsidR="00FD78F2" w:rsidRDefault="00FD78F2" w:rsidP="00E53131">
      <w:pPr>
        <w:spacing w:before="0" w:line="240" w:lineRule="auto"/>
        <w:ind w:firstLine="0"/>
        <w:rPr>
          <w:rFonts w:eastAsia="Calibri"/>
          <w:szCs w:val="24"/>
          <w:lang w:eastAsia="en-US"/>
        </w:rPr>
      </w:pPr>
    </w:p>
    <w:p w:rsidR="006718A0" w:rsidRDefault="00E53131" w:rsidP="00E53131">
      <w:pPr>
        <w:pStyle w:val="Titulek"/>
        <w:ind w:firstLine="0"/>
        <w:rPr>
          <w:rFonts w:eastAsia="Calibri"/>
          <w:szCs w:val="24"/>
          <w:lang w:eastAsia="en-US"/>
        </w:rPr>
      </w:pPr>
      <w:r>
        <w:t xml:space="preserve">Tabulka </w:t>
      </w:r>
      <w:r w:rsidR="006718A0">
        <w:rPr>
          <w:rFonts w:eastAsia="Calibri"/>
          <w:szCs w:val="24"/>
          <w:lang w:eastAsia="en-US"/>
        </w:rPr>
        <w:t xml:space="preserve"> Strukturální a ekonomické ukazatele podniků s KBTPM v horských oblastech</w:t>
      </w:r>
      <w:r w:rsidR="002909C2">
        <w:rPr>
          <w:rFonts w:eastAsia="Calibri"/>
          <w:szCs w:val="24"/>
          <w:lang w:eastAsia="en-US"/>
        </w:rPr>
        <w:t xml:space="preserve"> LFA</w:t>
      </w:r>
      <w:r w:rsidR="006718A0">
        <w:rPr>
          <w:rFonts w:eastAsia="Calibri"/>
          <w:szCs w:val="24"/>
          <w:lang w:eastAsia="en-US"/>
        </w:rPr>
        <w:t xml:space="preserve"> podle výměry využívané z. </w:t>
      </w:r>
      <w:proofErr w:type="gramStart"/>
      <w:r w:rsidR="006718A0">
        <w:rPr>
          <w:rFonts w:eastAsia="Calibri"/>
          <w:szCs w:val="24"/>
          <w:lang w:eastAsia="en-US"/>
        </w:rPr>
        <w:t>p.</w:t>
      </w:r>
      <w:proofErr w:type="gramEnd"/>
      <w:r w:rsidR="006718A0">
        <w:rPr>
          <w:rFonts w:eastAsia="Calibri"/>
          <w:szCs w:val="24"/>
          <w:lang w:eastAsia="en-US"/>
        </w:rPr>
        <w:t xml:space="preserve"> (průměr 2014 – 2016)</w:t>
      </w: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83"/>
        <w:gridCol w:w="1211"/>
        <w:gridCol w:w="1417"/>
        <w:gridCol w:w="1452"/>
      </w:tblGrid>
      <w:tr w:rsidR="006718A0" w:rsidRPr="006718A0" w:rsidTr="00E5313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100 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100 - 500 ha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500 - 1000 ha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Počet reprezentovaných podniků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FWU/100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FWU/100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AWU plac. </w:t>
            </w:r>
            <w:proofErr w:type="spellStart"/>
            <w:proofErr w:type="gramStart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prac</w:t>
            </w:r>
            <w:proofErr w:type="spellEnd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./100</w:t>
            </w:r>
            <w:proofErr w:type="gramEnd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AWU/100 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využitá 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z. </w:t>
            </w:r>
            <w:proofErr w:type="gramStart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/podnik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ha/podnik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194,50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718,28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připachtovaná půda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59,80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74,28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Orná půda (% ZP)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10,15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ha: krmné plodiny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95,31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92,78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TTP (% ZP)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97,48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89,85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 celkem/100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46,90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45,20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dojnice/100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ostatní skot/100 ha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42,27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42,53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DJ: ovce a kozy/100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Počet DJ přežvýkavců/ ha krm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ných 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plodin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DJ/ha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užitkovost/dojnici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l/ks/rok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4 951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7 013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celková produkce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11 911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13 344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12 776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produkce RV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3 336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4 140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krmné plodiny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3 006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3 140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produkce ŽV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7 441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5 952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mléko kravské a výrobky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1 424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hovězí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4 406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' - ovce a kozy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' - ovčí a kozí mléko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2 285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produkce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2 566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2 685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23 065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23 322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výrobní spotřeba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14 659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12 963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přímé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5 885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věcné náklady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7 468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7 077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3 576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3 130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externí faktory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4 830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7 229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Provozní dotace a podpory celkem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15 980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15 084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Jednotná platba na plochu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5 555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Environmentální dotace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5 081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4 763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LFA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3 268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2 941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platby na rozvoj venkova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výrobní spotřebu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na externí faktory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Ostatní dotace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1 735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z toho podpory OZE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Daně a poplatky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dotace invest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iční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Indikátor "A" (CPH/AWU), Kč/AWU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261 194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512 628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701 567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M-ČPH/AWU, Kč/AWU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14 271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28 189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37 899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MZDY (Kč/AWU)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Kč/AWU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18 566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22 307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Účetní zisk (zisk, Kč/ha)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6 091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4 382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Ekonomický zisk/ha)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Kč/ha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-2 917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2 860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3 812</w:t>
            </w:r>
          </w:p>
        </w:tc>
      </w:tr>
      <w:tr w:rsidR="006718A0" w:rsidRPr="006718A0" w:rsidTr="00E531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Trvalá </w:t>
            </w:r>
            <w:proofErr w:type="spellStart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soc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io</w:t>
            </w:r>
            <w:proofErr w:type="spellEnd"/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-ekon</w:t>
            </w:r>
            <w:r w:rsidR="0097259E">
              <w:rPr>
                <w:rFonts w:ascii="Calibri" w:hAnsi="Calibri" w:cs="Calibri"/>
                <w:color w:val="000000"/>
                <w:sz w:val="22"/>
                <w:szCs w:val="22"/>
              </w:rPr>
              <w:t>omická</w:t>
            </w: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udržitelnost (index)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A0" w:rsidRPr="006718A0" w:rsidRDefault="006718A0" w:rsidP="006718A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8A0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</w:tr>
    </w:tbl>
    <w:p w:rsidR="006718A0" w:rsidRPr="00A850EE" w:rsidRDefault="006718A0" w:rsidP="00E53131">
      <w:pPr>
        <w:spacing w:before="0" w:line="240" w:lineRule="auto"/>
        <w:ind w:firstLine="0"/>
        <w:rPr>
          <w:rFonts w:eastAsia="Calibri"/>
          <w:i/>
          <w:sz w:val="20"/>
          <w:szCs w:val="20"/>
          <w:lang w:eastAsia="en-US"/>
        </w:rPr>
      </w:pPr>
      <w:r w:rsidRPr="00A850EE">
        <w:rPr>
          <w:rFonts w:eastAsia="Calibri"/>
          <w:i/>
          <w:sz w:val="20"/>
          <w:szCs w:val="20"/>
          <w:lang w:eastAsia="en-US"/>
        </w:rPr>
        <w:t>Zdroj: FADN ČR</w:t>
      </w:r>
    </w:p>
    <w:p w:rsidR="006718A0" w:rsidRPr="00197CBD" w:rsidRDefault="006718A0" w:rsidP="00E53131">
      <w:pPr>
        <w:spacing w:before="0" w:line="240" w:lineRule="auto"/>
        <w:ind w:firstLine="0"/>
        <w:rPr>
          <w:rFonts w:eastAsia="Calibri"/>
          <w:szCs w:val="24"/>
          <w:lang w:eastAsia="en-US"/>
        </w:rPr>
      </w:pPr>
    </w:p>
    <w:p w:rsidR="00512F2F" w:rsidRDefault="00512F2F" w:rsidP="00512F2F">
      <w:pPr>
        <w:pStyle w:val="Nadpis1"/>
        <w:numPr>
          <w:ilvl w:val="0"/>
          <w:numId w:val="1"/>
        </w:numPr>
        <w:ind w:left="714" w:hanging="357"/>
      </w:pPr>
      <w:bookmarkStart w:id="8" w:name="_Toc525897099"/>
      <w:r>
        <w:t>SWOT analýza</w:t>
      </w:r>
      <w:r>
        <w:rPr>
          <w:lang w:val="cs-CZ"/>
        </w:rPr>
        <w:t xml:space="preserve"> A POTŘEBY</w:t>
      </w:r>
      <w:bookmarkEnd w:id="8"/>
    </w:p>
    <w:p w:rsidR="00512F2F" w:rsidRDefault="00512F2F" w:rsidP="00512F2F">
      <w:pPr>
        <w:pStyle w:val="Nadpis1"/>
        <w:numPr>
          <w:ilvl w:val="1"/>
          <w:numId w:val="1"/>
        </w:numPr>
        <w:rPr>
          <w:lang w:val="cs-CZ"/>
        </w:rPr>
      </w:pPr>
      <w:bookmarkStart w:id="9" w:name="_Toc525897100"/>
      <w:r>
        <w:rPr>
          <w:lang w:val="cs-CZ"/>
        </w:rPr>
        <w:t>SWOT ANALÝZA</w:t>
      </w:r>
      <w:bookmarkEnd w:id="9"/>
    </w:p>
    <w:p w:rsidR="00512F2F" w:rsidRPr="00393EB4" w:rsidRDefault="00512F2F" w:rsidP="00393EB4">
      <w:pPr>
        <w:rPr>
          <w:lang w:val="x-none" w:eastAsia="x-none"/>
        </w:rPr>
      </w:pPr>
    </w:p>
    <w:p w:rsidR="007F65A9" w:rsidRPr="007F65A9" w:rsidRDefault="007F65A9" w:rsidP="008039B8">
      <w:pPr>
        <w:ind w:left="360" w:firstLine="0"/>
        <w:rPr>
          <w:b/>
        </w:rPr>
      </w:pPr>
      <w:r>
        <w:t xml:space="preserve">Hranice pro SWOT analýzu: „Základní vymezení je </w:t>
      </w:r>
      <w:r w:rsidRPr="007F65A9">
        <w:rPr>
          <w:b/>
        </w:rPr>
        <w:t>sektor zemědělství/lesnictví</w:t>
      </w:r>
      <w:r>
        <w:t xml:space="preserve"> daný podniky v sektoru. Do jeho hranic také </w:t>
      </w:r>
      <w:r w:rsidRPr="007F65A9">
        <w:rPr>
          <w:b/>
        </w:rPr>
        <w:t>patří působení SZP včetně kapacit pro její navrhování a administraci, vedoucí k žádoucím efektům v realitě</w:t>
      </w:r>
      <w:r>
        <w:t xml:space="preserve">. </w:t>
      </w:r>
      <w:r w:rsidRPr="007F65A9">
        <w:t xml:space="preserve">Sektor </w:t>
      </w:r>
      <w:r w:rsidR="00612009">
        <w:t>zahrnuje i</w:t>
      </w:r>
      <w:r w:rsidR="00612009" w:rsidRPr="007F65A9">
        <w:t xml:space="preserve"> </w:t>
      </w:r>
      <w:r w:rsidRPr="007F65A9">
        <w:t>velk</w:t>
      </w:r>
      <w:r w:rsidR="00612009">
        <w:t>é</w:t>
      </w:r>
      <w:r w:rsidRPr="007F65A9">
        <w:t xml:space="preserve"> podnik</w:t>
      </w:r>
      <w:r w:rsidR="00612009">
        <w:t>y</w:t>
      </w:r>
      <w:r w:rsidRPr="007F65A9">
        <w:t>, které sice nebudou u některých nástrojů v dosahu SZP (např</w:t>
      </w:r>
      <w:r w:rsidR="008039B8">
        <w:t>.</w:t>
      </w:r>
      <w:r w:rsidRPr="007F65A9">
        <w:t xml:space="preserve"> zastropováním PP), ale </w:t>
      </w:r>
      <w:r>
        <w:t>jsou</w:t>
      </w:r>
      <w:r w:rsidRPr="007F65A9">
        <w:t xml:space="preserve"> součástí analýzy situace sektoru, protože jej</w:t>
      </w:r>
      <w:r w:rsidR="00612009">
        <w:t xml:space="preserve"> do velké míry</w:t>
      </w:r>
      <w:r w:rsidRPr="007F65A9">
        <w:t xml:space="preserve"> charakterizují</w:t>
      </w:r>
      <w:r w:rsidR="00B46186">
        <w:t>“</w:t>
      </w:r>
      <w:r w:rsidRPr="007F65A9">
        <w:t>.</w:t>
      </w:r>
    </w:p>
    <w:p w:rsidR="00F245B1" w:rsidRPr="00F245B1" w:rsidRDefault="00F245B1" w:rsidP="008039B8">
      <w:pPr>
        <w:rPr>
          <w:lang w:val="x-none" w:eastAsia="x-none"/>
        </w:rPr>
      </w:pPr>
    </w:p>
    <w:p w:rsidR="00E326BC" w:rsidRPr="00D40D68" w:rsidRDefault="00DA095B" w:rsidP="008039B8">
      <w:pPr>
        <w:ind w:firstLine="0"/>
        <w:rPr>
          <w:b/>
        </w:rPr>
      </w:pPr>
      <w:r w:rsidRPr="00D40D68">
        <w:rPr>
          <w:b/>
        </w:rPr>
        <w:t>Silné stránky</w:t>
      </w:r>
    </w:p>
    <w:p w:rsidR="00DA095B" w:rsidRDefault="00DA095B" w:rsidP="008039B8">
      <w:pPr>
        <w:pStyle w:val="Odstavecseseznamem"/>
        <w:numPr>
          <w:ilvl w:val="0"/>
          <w:numId w:val="7"/>
        </w:numPr>
      </w:pPr>
      <w:r>
        <w:t>Dlouhodobě stabilizované příjmy většiny podniků umožňující jejich investiční rozvoj</w:t>
      </w:r>
      <w:r w:rsidR="00AB7858">
        <w:t>.</w:t>
      </w:r>
    </w:p>
    <w:p w:rsidR="002D3F1E" w:rsidRDefault="002D3F1E" w:rsidP="008039B8">
      <w:pPr>
        <w:pStyle w:val="Odstavecseseznamem"/>
        <w:numPr>
          <w:ilvl w:val="0"/>
          <w:numId w:val="7"/>
        </w:numPr>
      </w:pPr>
      <w:r>
        <w:lastRenderedPageBreak/>
        <w:t>Dostatečná technologická vybavenost většiny podniků pro zvládání rizik a volatility podmínek</w:t>
      </w:r>
      <w:r w:rsidR="00A5416F">
        <w:t>.</w:t>
      </w:r>
    </w:p>
    <w:p w:rsidR="007000F0" w:rsidRDefault="007000F0" w:rsidP="008039B8">
      <w:pPr>
        <w:pStyle w:val="Odstavecseseznamem"/>
        <w:numPr>
          <w:ilvl w:val="0"/>
          <w:numId w:val="7"/>
        </w:numPr>
      </w:pPr>
      <w:r>
        <w:t>Zkušenosti a infrastruktura pro účinné nastavení podmínek kompenzací v rámci ANC</w:t>
      </w:r>
      <w:r w:rsidR="00AB7858">
        <w:t>.</w:t>
      </w:r>
    </w:p>
    <w:p w:rsidR="007000F0" w:rsidRPr="00EC05FF" w:rsidRDefault="000509B0" w:rsidP="002C2F10">
      <w:pPr>
        <w:pStyle w:val="Odstavecseseznamem"/>
        <w:numPr>
          <w:ilvl w:val="0"/>
          <w:numId w:val="7"/>
        </w:numPr>
      </w:pPr>
      <w:r w:rsidRPr="00EC05FF">
        <w:t xml:space="preserve">Zavedený </w:t>
      </w:r>
      <w:r w:rsidR="0051505E" w:rsidRPr="00EC05FF">
        <w:t xml:space="preserve">AKIS </w:t>
      </w:r>
      <w:r w:rsidRPr="00EC05FF">
        <w:t xml:space="preserve">schopný </w:t>
      </w:r>
      <w:r w:rsidR="00512F2F" w:rsidRPr="00EC05FF">
        <w:t xml:space="preserve">připravit a </w:t>
      </w:r>
      <w:r w:rsidRPr="00EC05FF">
        <w:t xml:space="preserve">poskytovat </w:t>
      </w:r>
      <w:r w:rsidR="00512F2F" w:rsidRPr="00EC05FF">
        <w:t xml:space="preserve">cíleně orientovanou </w:t>
      </w:r>
      <w:r w:rsidRPr="00EC05FF">
        <w:t>poradenskou podporu zaměřenou na</w:t>
      </w:r>
      <w:r w:rsidR="007000F0" w:rsidRPr="00EC05FF">
        <w:t xml:space="preserve"> využívání podmínek trhu ve vazbě na environmentální podmínky, </w:t>
      </w:r>
      <w:r w:rsidRPr="00EC05FF">
        <w:t xml:space="preserve">jakož i </w:t>
      </w:r>
      <w:r w:rsidR="00EC05FF">
        <w:t>zavádění inovací</w:t>
      </w:r>
      <w:r w:rsidR="007000F0" w:rsidRPr="00EC05FF">
        <w:t xml:space="preserve"> (včetně aplikace precizního zemědělství apod.) </w:t>
      </w:r>
      <w:r w:rsidR="00214161">
        <w:t>pozitivně stimulující růst příjmů.</w:t>
      </w:r>
    </w:p>
    <w:p w:rsidR="007000F0" w:rsidRDefault="0012174F" w:rsidP="008039B8">
      <w:pPr>
        <w:pStyle w:val="Odstavecseseznamem"/>
        <w:numPr>
          <w:ilvl w:val="0"/>
          <w:numId w:val="7"/>
        </w:numPr>
      </w:pPr>
      <w:r>
        <w:t xml:space="preserve">Relativně vysoká </w:t>
      </w:r>
      <w:r w:rsidR="0029416A">
        <w:t xml:space="preserve">míra pojištění </w:t>
      </w:r>
      <w:r>
        <w:t>podniků vůči pojistitelným rizikům</w:t>
      </w:r>
      <w:r w:rsidR="00A5416F">
        <w:t>.</w:t>
      </w:r>
    </w:p>
    <w:p w:rsidR="0012174F" w:rsidRDefault="0012174F" w:rsidP="008039B8">
      <w:pPr>
        <w:pStyle w:val="Odstavecseseznamem"/>
        <w:numPr>
          <w:ilvl w:val="0"/>
          <w:numId w:val="7"/>
        </w:numPr>
      </w:pPr>
      <w:r>
        <w:t>Zkušenosti a infrastruktura pro podporu řízení rizik (PGRLF, kompenzace v případě katastrofických událostí, atd.)</w:t>
      </w:r>
      <w:r w:rsidR="00A5416F">
        <w:t>.</w:t>
      </w:r>
    </w:p>
    <w:p w:rsidR="0012174F" w:rsidRDefault="0012174F" w:rsidP="008039B8">
      <w:pPr>
        <w:pStyle w:val="Odstavecseseznamem"/>
        <w:numPr>
          <w:ilvl w:val="0"/>
          <w:numId w:val="7"/>
        </w:numPr>
      </w:pPr>
      <w:r>
        <w:t>Podniky vnímají diversifikaci příjmů jako jeden z nástrojů stabilizace příjmů</w:t>
      </w:r>
      <w:r w:rsidR="00A5416F">
        <w:t>.</w:t>
      </w:r>
    </w:p>
    <w:p w:rsidR="00A5416F" w:rsidRDefault="00A5416F" w:rsidP="008039B8">
      <w:pPr>
        <w:pStyle w:val="Odstavecseseznamem"/>
        <w:numPr>
          <w:ilvl w:val="0"/>
          <w:numId w:val="7"/>
        </w:numPr>
      </w:pPr>
      <w:r>
        <w:t>Část podniků využívá výhody z rozsahu produkce k posílení příjmů z farem a jejich stabilizaci.</w:t>
      </w:r>
    </w:p>
    <w:p w:rsidR="00D40D68" w:rsidRPr="00D40D68" w:rsidRDefault="00D40D68" w:rsidP="008039B8">
      <w:pPr>
        <w:ind w:firstLine="0"/>
        <w:rPr>
          <w:b/>
        </w:rPr>
      </w:pPr>
      <w:r>
        <w:rPr>
          <w:b/>
        </w:rPr>
        <w:t>Slabé</w:t>
      </w:r>
      <w:r w:rsidRPr="00D40D68">
        <w:rPr>
          <w:b/>
        </w:rPr>
        <w:t xml:space="preserve"> stránky</w:t>
      </w:r>
    </w:p>
    <w:p w:rsidR="00D40D68" w:rsidRDefault="007F65A9" w:rsidP="008039B8">
      <w:pPr>
        <w:pStyle w:val="Odstavecseseznamem"/>
        <w:numPr>
          <w:ilvl w:val="0"/>
          <w:numId w:val="7"/>
        </w:numPr>
      </w:pPr>
      <w:r>
        <w:t>Vysoká závislost příjmů zemědělských podniků na provozních podporách</w:t>
      </w:r>
      <w:r w:rsidR="004B14F7">
        <w:t>, včetně ad hoc kompenzací</w:t>
      </w:r>
      <w:r w:rsidR="00C02AA8">
        <w:t>.</w:t>
      </w:r>
    </w:p>
    <w:p w:rsidR="007F65A9" w:rsidRDefault="007F65A9" w:rsidP="008039B8">
      <w:pPr>
        <w:pStyle w:val="Odstavecseseznamem"/>
        <w:numPr>
          <w:ilvl w:val="0"/>
          <w:numId w:val="7"/>
        </w:numPr>
      </w:pPr>
      <w:r>
        <w:t>Nízký zemědělský příjem nejmenší kategorie podniků (do 100 ha)</w:t>
      </w:r>
      <w:r w:rsidR="00C02AA8">
        <w:t xml:space="preserve"> a celkově jejich nižší životaschopnost.</w:t>
      </w:r>
    </w:p>
    <w:p w:rsidR="007F65A9" w:rsidRDefault="0012174F" w:rsidP="008039B8">
      <w:pPr>
        <w:pStyle w:val="Odstavecseseznamem"/>
        <w:numPr>
          <w:ilvl w:val="0"/>
          <w:numId w:val="7"/>
        </w:numPr>
      </w:pPr>
      <w:r>
        <w:t>Není vytvořen mechanismus pro systémové řešení katastrofických rizik systematického charakteru (sucho, trvalý déšť při sklizni)</w:t>
      </w:r>
      <w:r w:rsidR="004B14F7">
        <w:t>, chybí zkušenosti s fungov</w:t>
      </w:r>
      <w:r w:rsidR="00AB7858">
        <w:t>á</w:t>
      </w:r>
      <w:r w:rsidR="004B14F7">
        <w:t>ní</w:t>
      </w:r>
      <w:r w:rsidR="00AB7858">
        <w:t>m</w:t>
      </w:r>
      <w:r w:rsidR="004B14F7">
        <w:t xml:space="preserve"> vzájemných fondů, slabá vůle podniků k jejich vytváření</w:t>
      </w:r>
      <w:r w:rsidR="00AB7858">
        <w:t>.</w:t>
      </w:r>
    </w:p>
    <w:p w:rsidR="004B14F7" w:rsidRDefault="004B14F7" w:rsidP="008039B8">
      <w:pPr>
        <w:pStyle w:val="Odstavecseseznamem"/>
        <w:numPr>
          <w:ilvl w:val="0"/>
          <w:numId w:val="7"/>
        </w:numPr>
      </w:pPr>
      <w:r>
        <w:t>Nedostatečné nezávislé poradenství v oblasti řízení zemědělských rizik</w:t>
      </w:r>
      <w:r w:rsidR="00AB7858">
        <w:t>.</w:t>
      </w:r>
    </w:p>
    <w:p w:rsidR="00960CB9" w:rsidRDefault="007000F0" w:rsidP="008039B8">
      <w:pPr>
        <w:pStyle w:val="Odstavecseseznamem"/>
        <w:numPr>
          <w:ilvl w:val="0"/>
          <w:numId w:val="7"/>
        </w:numPr>
      </w:pPr>
      <w:r>
        <w:t xml:space="preserve">Orientace </w:t>
      </w:r>
      <w:r w:rsidRPr="007000F0">
        <w:t>zemědělské politiky,</w:t>
      </w:r>
      <w:r w:rsidR="00960CB9">
        <w:t xml:space="preserve"> která nedostatečně akcentuje</w:t>
      </w:r>
      <w:r w:rsidRPr="007000F0">
        <w:t xml:space="preserve"> </w:t>
      </w:r>
      <w:r w:rsidR="00960CB9">
        <w:t xml:space="preserve">při distribuci plateb </w:t>
      </w:r>
      <w:r w:rsidRPr="007000F0">
        <w:t>výhody z</w:t>
      </w:r>
      <w:r w:rsidR="00960CB9">
        <w:t> </w:t>
      </w:r>
      <w:r w:rsidRPr="007000F0">
        <w:t>velikosti</w:t>
      </w:r>
      <w:r w:rsidR="00960CB9">
        <w:t xml:space="preserve"> výroby velkých podniků s dopadem do jejich příjmu.</w:t>
      </w:r>
    </w:p>
    <w:p w:rsidR="00874C34" w:rsidRPr="007000F0" w:rsidRDefault="00874C34" w:rsidP="008039B8">
      <w:pPr>
        <w:pStyle w:val="Odstavecseseznamem"/>
        <w:numPr>
          <w:ilvl w:val="0"/>
          <w:numId w:val="7"/>
        </w:numPr>
      </w:pPr>
      <w:r>
        <w:t>Problematika poradenství – nedostatečné využívání možností poradenství ke zvýšení příjmů zemědělských podniků</w:t>
      </w:r>
      <w:r w:rsidR="000509B0">
        <w:t>.</w:t>
      </w:r>
    </w:p>
    <w:p w:rsidR="007000F0" w:rsidRDefault="007000F0" w:rsidP="008039B8">
      <w:pPr>
        <w:pStyle w:val="Odstavecseseznamem"/>
        <w:ind w:left="360" w:firstLine="0"/>
      </w:pPr>
    </w:p>
    <w:p w:rsidR="007F65A9" w:rsidRPr="007000F0" w:rsidRDefault="007F65A9" w:rsidP="008039B8">
      <w:pPr>
        <w:ind w:firstLine="0"/>
        <w:rPr>
          <w:b/>
        </w:rPr>
      </w:pPr>
      <w:r w:rsidRPr="007000F0">
        <w:rPr>
          <w:b/>
        </w:rPr>
        <w:t>Příležitosti</w:t>
      </w:r>
    </w:p>
    <w:p w:rsidR="007000F0" w:rsidRDefault="007000F0" w:rsidP="008039B8">
      <w:pPr>
        <w:pStyle w:val="Odstavecseseznamem"/>
        <w:numPr>
          <w:ilvl w:val="0"/>
          <w:numId w:val="7"/>
        </w:numPr>
      </w:pPr>
      <w:r>
        <w:t xml:space="preserve">Růst společenské poptávky po </w:t>
      </w:r>
      <w:r w:rsidR="0018032D">
        <w:t xml:space="preserve">přísnějších environmentálních podmínkách zemědělství a po </w:t>
      </w:r>
      <w:r>
        <w:t>ekosystémových službách a j</w:t>
      </w:r>
      <w:r w:rsidR="0018032D">
        <w:t>ejich</w:t>
      </w:r>
      <w:r>
        <w:t xml:space="preserve"> využití </w:t>
      </w:r>
      <w:r w:rsidR="0018032D">
        <w:t xml:space="preserve">pro </w:t>
      </w:r>
      <w:r>
        <w:t>diverzifikac</w:t>
      </w:r>
      <w:r w:rsidR="0018032D">
        <w:t>i</w:t>
      </w:r>
      <w:r>
        <w:t xml:space="preserve"> příjmů.</w:t>
      </w:r>
    </w:p>
    <w:p w:rsidR="004B14F7" w:rsidRDefault="004B14F7" w:rsidP="008039B8">
      <w:pPr>
        <w:pStyle w:val="Odstavecseseznamem"/>
        <w:numPr>
          <w:ilvl w:val="0"/>
          <w:numId w:val="7"/>
        </w:numPr>
      </w:pPr>
      <w:r>
        <w:t>Pokračující relativně nízk</w:t>
      </w:r>
      <w:r w:rsidR="002C2F10">
        <w:t>é</w:t>
      </w:r>
      <w:r>
        <w:t xml:space="preserve">  riziko </w:t>
      </w:r>
      <w:r w:rsidR="00C02AA8">
        <w:t xml:space="preserve">meziročního </w:t>
      </w:r>
      <w:r>
        <w:t>prop</w:t>
      </w:r>
      <w:r w:rsidR="00C02AA8">
        <w:t xml:space="preserve">adu příjmů </w:t>
      </w:r>
      <w:r w:rsidR="002C2F10">
        <w:t xml:space="preserve">velkých </w:t>
      </w:r>
      <w:r w:rsidR="00C02AA8">
        <w:t>podniků o více než 20 %, resp. 30 %.</w:t>
      </w:r>
    </w:p>
    <w:p w:rsidR="00A6459C" w:rsidRDefault="00E047D6" w:rsidP="008039B8">
      <w:pPr>
        <w:pStyle w:val="Odstavecseseznamem"/>
        <w:numPr>
          <w:ilvl w:val="0"/>
          <w:numId w:val="7"/>
        </w:numPr>
      </w:pPr>
      <w:r>
        <w:t xml:space="preserve">Technologický pokrok, který může posílit atraktivitu sektoru pro vstup mladší generace (včetně </w:t>
      </w:r>
      <w:r w:rsidR="0018032D">
        <w:t>využití potenciálu pro zvýšení</w:t>
      </w:r>
      <w:r>
        <w:t xml:space="preserve"> příjm</w:t>
      </w:r>
      <w:r w:rsidR="0018032D">
        <w:t>ů a mezd</w:t>
      </w:r>
      <w:r>
        <w:t>) při současné úspoře pracovníků.</w:t>
      </w:r>
    </w:p>
    <w:p w:rsidR="007000F0" w:rsidRPr="007000F0" w:rsidRDefault="007000F0" w:rsidP="008039B8">
      <w:pPr>
        <w:ind w:firstLine="0"/>
        <w:rPr>
          <w:b/>
        </w:rPr>
      </w:pPr>
      <w:r w:rsidRPr="007000F0">
        <w:rPr>
          <w:b/>
        </w:rPr>
        <w:t>Hrozby</w:t>
      </w:r>
    </w:p>
    <w:p w:rsidR="007000F0" w:rsidRDefault="007000F0" w:rsidP="008039B8">
      <w:pPr>
        <w:pStyle w:val="Odstavecseseznamem"/>
        <w:numPr>
          <w:ilvl w:val="0"/>
          <w:numId w:val="7"/>
        </w:numPr>
        <w:spacing w:before="0" w:after="160" w:line="259" w:lineRule="auto"/>
      </w:pPr>
      <w:r>
        <w:t>Rizika značné volatility cen, počasí a nákazových situací v globalizovaných podmínkách českého zemědělství.</w:t>
      </w:r>
    </w:p>
    <w:p w:rsidR="007000F0" w:rsidRDefault="007000F0" w:rsidP="008039B8">
      <w:pPr>
        <w:pStyle w:val="Odstavecseseznamem"/>
        <w:numPr>
          <w:ilvl w:val="0"/>
          <w:numId w:val="7"/>
        </w:numPr>
        <w:spacing w:before="0" w:after="160" w:line="259" w:lineRule="auto"/>
      </w:pPr>
      <w:r>
        <w:lastRenderedPageBreak/>
        <w:t>Růst bariér v zahraničně obchodních vztazích zejména v rámci EU</w:t>
      </w:r>
      <w:r w:rsidR="0018032D">
        <w:t>, selhávání principů jednotného trhu EU</w:t>
      </w:r>
      <w:r>
        <w:t>.</w:t>
      </w:r>
    </w:p>
    <w:p w:rsidR="007000F0" w:rsidRPr="00C02AA8" w:rsidRDefault="00C02AA8" w:rsidP="008039B8">
      <w:pPr>
        <w:pStyle w:val="Odstavecseseznamem"/>
        <w:numPr>
          <w:ilvl w:val="0"/>
          <w:numId w:val="7"/>
        </w:numPr>
        <w:rPr>
          <w:b/>
        </w:rPr>
      </w:pPr>
      <w:r>
        <w:t xml:space="preserve">Nedostatek prostředků a </w:t>
      </w:r>
      <w:r w:rsidR="0018032D">
        <w:t xml:space="preserve">politická </w:t>
      </w:r>
      <w:r>
        <w:t>neochota financovat ad-hoc výpomoci</w:t>
      </w:r>
      <w:r w:rsidR="0018032D">
        <w:t xml:space="preserve"> (kompenzace)</w:t>
      </w:r>
      <w:r>
        <w:t xml:space="preserve"> ze státního rozpočtu.</w:t>
      </w:r>
    </w:p>
    <w:p w:rsidR="00C02AA8" w:rsidRPr="007000F0" w:rsidRDefault="00C02AA8" w:rsidP="008039B8">
      <w:pPr>
        <w:pStyle w:val="Odstavecseseznamem"/>
        <w:numPr>
          <w:ilvl w:val="0"/>
          <w:numId w:val="7"/>
        </w:numPr>
        <w:rPr>
          <w:b/>
        </w:rPr>
      </w:pPr>
      <w:r>
        <w:t>Pokračující dynamický růst mezd v</w:t>
      </w:r>
      <w:r w:rsidR="0018032D">
        <w:t> </w:t>
      </w:r>
      <w:r>
        <w:t>průmyslu</w:t>
      </w:r>
      <w:r w:rsidR="0018032D">
        <w:t>, který nebude v relaci s růstem mezd v zemědělství</w:t>
      </w:r>
      <w:r>
        <w:t xml:space="preserve"> a tím prohlubující se disparita příjmů</w:t>
      </w:r>
      <w:r w:rsidR="00214161">
        <w:t xml:space="preserve"> s následným působící na nedostatek kvalifikovaných pracovníků</w:t>
      </w:r>
      <w:r>
        <w:t>.</w:t>
      </w:r>
    </w:p>
    <w:p w:rsidR="00990D12" w:rsidRDefault="00990D12" w:rsidP="00990D12">
      <w:pPr>
        <w:pStyle w:val="Nadpis1"/>
        <w:numPr>
          <w:ilvl w:val="1"/>
          <w:numId w:val="1"/>
        </w:numPr>
      </w:pPr>
      <w:bookmarkStart w:id="10" w:name="_Toc525897101"/>
      <w:r>
        <w:rPr>
          <w:lang w:val="cs-CZ"/>
        </w:rPr>
        <w:t>PŘEHLED a bodové hodnocení POTŘEB</w:t>
      </w:r>
      <w:bookmarkEnd w:id="10"/>
      <w:r>
        <w:t xml:space="preserve"> </w:t>
      </w:r>
    </w:p>
    <w:p w:rsidR="00990D12" w:rsidRPr="00DA5EF7" w:rsidRDefault="00990D12" w:rsidP="00393EB4">
      <w:pPr>
        <w:pStyle w:val="Point0"/>
        <w:ind w:left="0" w:firstLine="0"/>
        <w:rPr>
          <w:b/>
          <w:noProof/>
        </w:rPr>
      </w:pPr>
      <w:r>
        <w:rPr>
          <w:b/>
          <w:noProof/>
        </w:rPr>
        <w:t>Potřeba 1</w:t>
      </w:r>
      <w:r w:rsidRPr="0010085D">
        <w:rPr>
          <w:b/>
          <w:noProof/>
        </w:rPr>
        <w:t>:</w:t>
      </w:r>
      <w:r>
        <w:rPr>
          <w:b/>
          <w:noProof/>
        </w:rPr>
        <w:t xml:space="preserve"> </w:t>
      </w:r>
      <w:r w:rsidRPr="00DA5EF7">
        <w:rPr>
          <w:b/>
          <w:bCs/>
          <w:noProof/>
        </w:rPr>
        <w:t>Posílit orientaci zemědělců generovat příjem z trhu a</w:t>
      </w:r>
      <w:r>
        <w:rPr>
          <w:b/>
          <w:bCs/>
          <w:noProof/>
        </w:rPr>
        <w:t xml:space="preserve"> současně</w:t>
      </w:r>
      <w:r w:rsidRPr="00DA5EF7">
        <w:rPr>
          <w:b/>
          <w:bCs/>
          <w:noProof/>
        </w:rPr>
        <w:t xml:space="preserve"> zvýšit jejich schopnost odolávat rizikům </w:t>
      </w:r>
    </w:p>
    <w:p w:rsidR="00990D12" w:rsidRDefault="00990D12" w:rsidP="00990D12">
      <w:pPr>
        <w:pStyle w:val="Point0"/>
        <w:rPr>
          <w:b/>
          <w:noProof/>
        </w:rPr>
      </w:pPr>
      <w:r>
        <w:rPr>
          <w:b/>
          <w:noProof/>
        </w:rPr>
        <w:t>Návrh priority potřeby bodovým hodnocením (max 100 bodů): 77 bodů</w:t>
      </w:r>
    </w:p>
    <w:p w:rsidR="00990D12" w:rsidRDefault="00990D12" w:rsidP="00990D12">
      <w:pPr>
        <w:pStyle w:val="Point0"/>
        <w:rPr>
          <w:b/>
          <w:noProof/>
        </w:rPr>
      </w:pPr>
    </w:p>
    <w:p w:rsidR="00990D12" w:rsidRDefault="00990D12" w:rsidP="00990D12">
      <w:pPr>
        <w:pStyle w:val="Point0"/>
        <w:ind w:left="0" w:firstLine="0"/>
        <w:rPr>
          <w:b/>
          <w:bCs/>
          <w:noProof/>
        </w:rPr>
      </w:pPr>
      <w:r>
        <w:rPr>
          <w:b/>
          <w:noProof/>
        </w:rPr>
        <w:t>Potřeba 2</w:t>
      </w:r>
      <w:r w:rsidRPr="0010085D">
        <w:rPr>
          <w:b/>
          <w:noProof/>
        </w:rPr>
        <w:t>:</w:t>
      </w:r>
      <w:r>
        <w:rPr>
          <w:b/>
          <w:noProof/>
        </w:rPr>
        <w:t xml:space="preserve"> </w:t>
      </w:r>
      <w:r w:rsidRPr="00DA5EF7">
        <w:rPr>
          <w:b/>
          <w:bCs/>
          <w:noProof/>
        </w:rPr>
        <w:t>Posílit společensky účinnější tvorbu příjmů mezi kategoriemi podniků s přírodním znevýhodněním, velikostí a výrobním zaměření vzhledem k jejich dlouhodobému společenskému významu</w:t>
      </w:r>
    </w:p>
    <w:p w:rsidR="00990D12" w:rsidRDefault="00990D12" w:rsidP="00990D12">
      <w:pPr>
        <w:pStyle w:val="Point0"/>
        <w:rPr>
          <w:b/>
          <w:noProof/>
        </w:rPr>
      </w:pPr>
      <w:r>
        <w:rPr>
          <w:b/>
          <w:noProof/>
        </w:rPr>
        <w:t>Návrh priority potřeby bodovým hodnocením (max 100 bodů): 76 bodů</w:t>
      </w:r>
    </w:p>
    <w:p w:rsidR="00990D12" w:rsidRDefault="00990D12" w:rsidP="00990D12">
      <w:pPr>
        <w:pStyle w:val="Point0"/>
        <w:rPr>
          <w:b/>
          <w:noProof/>
        </w:rPr>
      </w:pPr>
    </w:p>
    <w:p w:rsidR="00990D12" w:rsidRPr="00393EB4" w:rsidRDefault="00990D12" w:rsidP="00393EB4">
      <w:pPr>
        <w:pStyle w:val="Nadpis1"/>
        <w:numPr>
          <w:ilvl w:val="1"/>
          <w:numId w:val="1"/>
        </w:numPr>
        <w:rPr>
          <w:lang w:val="cs-CZ"/>
        </w:rPr>
      </w:pPr>
      <w:bookmarkStart w:id="11" w:name="_Toc525897102"/>
      <w:r w:rsidRPr="00393EB4">
        <w:rPr>
          <w:lang w:val="cs-CZ"/>
        </w:rPr>
        <w:t>ZDŮVODNĚNÍ POTŘEB</w:t>
      </w:r>
      <w:bookmarkEnd w:id="11"/>
    </w:p>
    <w:p w:rsidR="00E03CF5" w:rsidRPr="00393EB4" w:rsidRDefault="00E03CF5" w:rsidP="00393EB4">
      <w:pPr>
        <w:ind w:firstLine="0"/>
      </w:pPr>
      <w:r w:rsidRPr="00E03CF5">
        <w:t>Stabilní a srovnatelný příjem zemědělců s ostatními sektory NH (</w:t>
      </w:r>
      <w:r w:rsidRPr="00E03CF5">
        <w:rPr>
          <w:i/>
          <w:iCs/>
        </w:rPr>
        <w:t>index 2017/2010 indikátoru „A“ – ČPH/AWU zem. - 150</w:t>
      </w:r>
      <w:r w:rsidRPr="00E03CF5">
        <w:t xml:space="preserve">), ovšem převážně v důsledku vysokého podílu provozních podpor na </w:t>
      </w:r>
      <w:r w:rsidR="00057EC2">
        <w:t>přidané hodnotě (77 %)</w:t>
      </w:r>
      <w:r w:rsidR="00757E5E">
        <w:t>, jehož ukazatel převyšuje většinu států EU</w:t>
      </w:r>
      <w:r w:rsidR="00057EC2">
        <w:t xml:space="preserve"> (49 % v Německu, 45 % v Rakousku)</w:t>
      </w:r>
      <w:r w:rsidR="00757E5E">
        <w:t>.</w:t>
      </w:r>
      <w:r w:rsidR="00663AE0">
        <w:t xml:space="preserve"> </w:t>
      </w:r>
      <w:r w:rsidR="00663AE0" w:rsidRPr="00F04720">
        <w:t>V  letech 2014-2016 bylo na platby ANC vyplaceno 1,13 mld. Kč</w:t>
      </w:r>
      <w:r w:rsidR="00663AE0">
        <w:t>, v roce 2018 se předpokládá vyplacení 4,4 mld. Kč.</w:t>
      </w:r>
    </w:p>
    <w:p w:rsidR="00E03CF5" w:rsidRDefault="00E03CF5" w:rsidP="00393EB4">
      <w:pPr>
        <w:ind w:firstLine="0"/>
      </w:pPr>
      <w:r w:rsidRPr="00E03CF5">
        <w:t>Variabilita a průběh škod v RV a ŽV v 2001 – 17 se dlouhodobě nemění (</w:t>
      </w:r>
      <w:r w:rsidRPr="00E03CF5">
        <w:rPr>
          <w:i/>
          <w:iCs/>
        </w:rPr>
        <w:t>průměrný podíl ročních škod na zemědělské produkci okolo 1 %</w:t>
      </w:r>
      <w:r w:rsidRPr="00E03CF5">
        <w:t>), dopady škod na příjmy v důsledku státních zásahů kompenzovaly a stimulovaly příjmy podniků (</w:t>
      </w:r>
      <w:r w:rsidRPr="00E03CF5">
        <w:rPr>
          <w:i/>
          <w:iCs/>
        </w:rPr>
        <w:t>2014-17 narostly ad-hoc kompenzace 3,5x oproti 2008-13</w:t>
      </w:r>
      <w:r w:rsidRPr="00E03CF5">
        <w:t>).</w:t>
      </w:r>
      <w:r w:rsidR="00057EC2">
        <w:t xml:space="preserve"> Přesto scénáře klimatických modelů předpovídají zintenzivnění četnosti extrémních situací, především sucha.</w:t>
      </w:r>
    </w:p>
    <w:p w:rsidR="00E03CF5" w:rsidRPr="00393EB4" w:rsidRDefault="00E03CF5" w:rsidP="00E03CF5">
      <w:pPr>
        <w:ind w:firstLine="0"/>
      </w:pPr>
      <w:r w:rsidRPr="00E03CF5">
        <w:t>Přetrvává příjmová disparita mezi podniky do 50, 100 resp. nad 100 ha, jako důsledek odlišných technologických, manažerských a tržních strategií.</w:t>
      </w:r>
      <w:r>
        <w:t xml:space="preserve"> Ty se následně projevují v</w:t>
      </w:r>
      <w:r w:rsidR="00757E5E">
        <w:t> různém vztahu vůči životnímu prostředí a krajině.</w:t>
      </w:r>
    </w:p>
    <w:p w:rsidR="00E03CF5" w:rsidRPr="00393EB4" w:rsidRDefault="00E03CF5" w:rsidP="00E03CF5">
      <w:pPr>
        <w:ind w:firstLine="0"/>
      </w:pPr>
      <w:r w:rsidRPr="00E03CF5">
        <w:t xml:space="preserve">I přes vysokou dosavadní závislost na provozních podporách, podniky specializující se na intensivní chov přežvýkavců, částečně vepřové </w:t>
      </w:r>
      <w:r w:rsidR="00057EC2">
        <w:t>a drůbeží příjmově znevýhodněné</w:t>
      </w:r>
      <w:r w:rsidRPr="00E03CF5">
        <w:rPr>
          <w:i/>
          <w:iCs/>
        </w:rPr>
        <w:t xml:space="preserve">. </w:t>
      </w:r>
    </w:p>
    <w:p w:rsidR="00E03CF5" w:rsidRPr="00393EB4" w:rsidRDefault="00E03CF5" w:rsidP="00E03CF5">
      <w:pPr>
        <w:ind w:firstLine="0"/>
      </w:pPr>
      <w:r w:rsidRPr="00E03CF5">
        <w:t>Vysoká úroveň příjmů v podnicích se zaměřením na polní výrobu, která je dána vysokými provozními podporami a příznivými tr</w:t>
      </w:r>
      <w:r w:rsidR="00057EC2">
        <w:t>žními podmínkami.</w:t>
      </w:r>
      <w:r w:rsidRPr="00E03CF5">
        <w:t xml:space="preserve"> </w:t>
      </w:r>
    </w:p>
    <w:p w:rsidR="00E03CF5" w:rsidRDefault="00E03CF5" w:rsidP="00393EB4">
      <w:pPr>
        <w:ind w:firstLine="0"/>
      </w:pPr>
    </w:p>
    <w:p w:rsidR="00891B77" w:rsidRPr="00393EB4" w:rsidRDefault="00891B77" w:rsidP="00393EB4">
      <w:pPr>
        <w:ind w:firstLine="0"/>
      </w:pPr>
    </w:p>
    <w:p w:rsidR="007F65A9" w:rsidRDefault="001D197E" w:rsidP="008039B8">
      <w:r w:rsidRPr="001D197E">
        <w:t>5.</w:t>
      </w:r>
      <w:r w:rsidRPr="001D197E">
        <w:tab/>
      </w:r>
      <w:r w:rsidRPr="00393EB4">
        <w:rPr>
          <w:rFonts w:ascii="Arial" w:hAnsi="Arial"/>
          <w:b/>
          <w:caps/>
          <w:kern w:val="28"/>
          <w:sz w:val="28"/>
          <w:szCs w:val="20"/>
          <w:lang w:eastAsia="x-none"/>
        </w:rPr>
        <w:t>PŘEHLED NAVRHOVANÝCH OPATŘENÍ</w:t>
      </w:r>
    </w:p>
    <w:p w:rsidR="00393EB4" w:rsidRPr="00625F0A" w:rsidRDefault="00393EB4" w:rsidP="00393EB4">
      <w:pPr>
        <w:ind w:firstLine="0"/>
        <w:jc w:val="left"/>
      </w:pPr>
      <w:r w:rsidRPr="00625F0A">
        <w:t xml:space="preserve">1. </w:t>
      </w:r>
      <w:r w:rsidRPr="00625F0A">
        <w:rPr>
          <w:bCs/>
        </w:rPr>
        <w:t xml:space="preserve">Přímé platby produkčně nepodmíněné: </w:t>
      </w:r>
    </w:p>
    <w:p w:rsidR="00000000" w:rsidRPr="00625F0A" w:rsidRDefault="00806E4B" w:rsidP="00393EB4">
      <w:pPr>
        <w:numPr>
          <w:ilvl w:val="0"/>
          <w:numId w:val="20"/>
        </w:numPr>
        <w:jc w:val="left"/>
        <w:rPr>
          <w:lang w:val="en-US"/>
        </w:rPr>
      </w:pPr>
      <w:proofErr w:type="spellStart"/>
      <w:r w:rsidRPr="00625F0A">
        <w:rPr>
          <w:lang w:val="en-US"/>
        </w:rPr>
        <w:t>základní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podpora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příjmu</w:t>
      </w:r>
      <w:proofErr w:type="spellEnd"/>
      <w:r w:rsidRPr="00625F0A">
        <w:rPr>
          <w:lang w:val="en-US"/>
        </w:rPr>
        <w:t xml:space="preserve"> pro </w:t>
      </w:r>
      <w:proofErr w:type="spellStart"/>
      <w:r w:rsidRPr="00625F0A">
        <w:rPr>
          <w:lang w:val="en-US"/>
        </w:rPr>
        <w:t>udržitelnost</w:t>
      </w:r>
      <w:proofErr w:type="spellEnd"/>
      <w:r w:rsidRPr="00625F0A">
        <w:rPr>
          <w:lang w:val="en-US"/>
        </w:rPr>
        <w:t xml:space="preserve"> </w:t>
      </w:r>
      <w:r w:rsidRPr="00625F0A">
        <w:t xml:space="preserve">- </w:t>
      </w:r>
      <w:proofErr w:type="spellStart"/>
      <w:r w:rsidRPr="00625F0A">
        <w:rPr>
          <w:lang w:val="en-US"/>
        </w:rPr>
        <w:t>podmíněná</w:t>
      </w:r>
      <w:proofErr w:type="spellEnd"/>
      <w:r w:rsidRPr="00625F0A">
        <w:rPr>
          <w:lang w:val="en-US"/>
        </w:rPr>
        <w:t xml:space="preserve"> </w:t>
      </w:r>
      <w:r w:rsidRPr="00625F0A">
        <w:t xml:space="preserve">účinným </w:t>
      </w:r>
      <w:r w:rsidRPr="00625F0A">
        <w:rPr>
          <w:lang w:val="en-US"/>
        </w:rPr>
        <w:t xml:space="preserve">zastropováním </w:t>
      </w:r>
      <w:proofErr w:type="spellStart"/>
      <w:r w:rsidRPr="00625F0A">
        <w:rPr>
          <w:lang w:val="en-US"/>
        </w:rPr>
        <w:t>při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zohlednění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mzdových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nákladů</w:t>
      </w:r>
      <w:proofErr w:type="spellEnd"/>
      <w:r w:rsidRPr="00625F0A">
        <w:t>, posunutí hranice pro tzv. skutečného zemědělce s možným vyloučením plně samozásobitelských hospodářství</w:t>
      </w:r>
      <w:r w:rsidRPr="00625F0A">
        <w:rPr>
          <w:lang w:val="en-US"/>
        </w:rPr>
        <w:t>;</w:t>
      </w:r>
    </w:p>
    <w:p w:rsidR="00000000" w:rsidRPr="00625F0A" w:rsidRDefault="00806E4B" w:rsidP="00393EB4">
      <w:pPr>
        <w:numPr>
          <w:ilvl w:val="0"/>
          <w:numId w:val="20"/>
        </w:numPr>
        <w:jc w:val="left"/>
        <w:rPr>
          <w:lang w:val="en-US"/>
        </w:rPr>
      </w:pPr>
      <w:proofErr w:type="spellStart"/>
      <w:r w:rsidRPr="00625F0A">
        <w:rPr>
          <w:lang w:val="en-US"/>
        </w:rPr>
        <w:t>doplňková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redistributivní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podpora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příjmu</w:t>
      </w:r>
      <w:proofErr w:type="spellEnd"/>
      <w:r w:rsidRPr="00625F0A">
        <w:rPr>
          <w:lang w:val="en-US"/>
        </w:rPr>
        <w:t xml:space="preserve"> pro </w:t>
      </w:r>
      <w:proofErr w:type="spellStart"/>
      <w:r w:rsidRPr="00625F0A">
        <w:rPr>
          <w:lang w:val="en-US"/>
        </w:rPr>
        <w:t>udržitelnost</w:t>
      </w:r>
      <w:proofErr w:type="spellEnd"/>
      <w:r w:rsidRPr="00625F0A">
        <w:t>, odstupňovaná podle velikosti, pro příjemce do velikosti obhospodařované výměry max</w:t>
      </w:r>
      <w:r w:rsidRPr="00625F0A">
        <w:t>. 100 - 150 ha</w:t>
      </w:r>
      <w:r w:rsidRPr="00625F0A">
        <w:rPr>
          <w:lang w:val="en-US"/>
        </w:rPr>
        <w:t xml:space="preserve">;  </w:t>
      </w:r>
    </w:p>
    <w:p w:rsidR="00000000" w:rsidRPr="00625F0A" w:rsidRDefault="00806E4B" w:rsidP="00393EB4">
      <w:pPr>
        <w:numPr>
          <w:ilvl w:val="0"/>
          <w:numId w:val="20"/>
        </w:numPr>
        <w:jc w:val="left"/>
        <w:rPr>
          <w:lang w:val="en-US"/>
        </w:rPr>
      </w:pPr>
      <w:proofErr w:type="spellStart"/>
      <w:r w:rsidRPr="00625F0A">
        <w:rPr>
          <w:lang w:val="en-US"/>
        </w:rPr>
        <w:t>doplňková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podpora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příjmu</w:t>
      </w:r>
      <w:proofErr w:type="spellEnd"/>
      <w:r w:rsidRPr="00625F0A">
        <w:rPr>
          <w:lang w:val="en-US"/>
        </w:rPr>
        <w:t xml:space="preserve"> pro </w:t>
      </w:r>
      <w:proofErr w:type="spellStart"/>
      <w:r w:rsidRPr="00625F0A">
        <w:rPr>
          <w:lang w:val="en-US"/>
        </w:rPr>
        <w:t>mladé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zemědělce</w:t>
      </w:r>
      <w:proofErr w:type="spellEnd"/>
      <w:r w:rsidRPr="00625F0A">
        <w:t xml:space="preserve"> – přebírající hospodářství, </w:t>
      </w:r>
      <w:r w:rsidR="00A72329">
        <w:t>se stanoveným maximálním limitem výměry</w:t>
      </w:r>
      <w:r w:rsidRPr="00625F0A">
        <w:rPr>
          <w:lang w:val="en-US"/>
        </w:rPr>
        <w:t>;</w:t>
      </w:r>
    </w:p>
    <w:p w:rsidR="00000000" w:rsidRPr="00625F0A" w:rsidRDefault="006E0992" w:rsidP="00393EB4">
      <w:pPr>
        <w:numPr>
          <w:ilvl w:val="0"/>
          <w:numId w:val="20"/>
        </w:numPr>
        <w:jc w:val="left"/>
        <w:rPr>
          <w:lang w:val="en-US"/>
        </w:rPr>
      </w:pPr>
      <w:r>
        <w:t xml:space="preserve">Platba na </w:t>
      </w:r>
      <w:proofErr w:type="spellStart"/>
      <w:r>
        <w:t>eko</w:t>
      </w:r>
      <w:proofErr w:type="spellEnd"/>
      <w:r>
        <w:t xml:space="preserve">-režimy – </w:t>
      </w:r>
      <w:r w:rsidRPr="006E0992">
        <w:rPr>
          <w:i/>
        </w:rPr>
        <w:t>podmínky budou definované koordinovaně se skupinou Přírodní zdroje/Ochrana klimatu.</w:t>
      </w:r>
    </w:p>
    <w:p w:rsidR="00393EB4" w:rsidRPr="00625F0A" w:rsidRDefault="00393EB4" w:rsidP="00393EB4">
      <w:pPr>
        <w:ind w:firstLine="0"/>
        <w:jc w:val="left"/>
        <w:rPr>
          <w:lang w:val="en-US"/>
        </w:rPr>
      </w:pPr>
      <w:r w:rsidRPr="00625F0A">
        <w:rPr>
          <w:bCs/>
          <w:lang w:val="en-US"/>
        </w:rPr>
        <w:t xml:space="preserve">2. </w:t>
      </w:r>
      <w:proofErr w:type="spellStart"/>
      <w:r w:rsidRPr="00625F0A">
        <w:rPr>
          <w:bCs/>
          <w:lang w:val="en-US"/>
        </w:rPr>
        <w:t>Přímé</w:t>
      </w:r>
      <w:proofErr w:type="spellEnd"/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platby</w:t>
      </w:r>
      <w:proofErr w:type="spellEnd"/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vázané</w:t>
      </w:r>
      <w:proofErr w:type="spellEnd"/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na</w:t>
      </w:r>
      <w:proofErr w:type="spellEnd"/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produkci</w:t>
      </w:r>
      <w:proofErr w:type="spellEnd"/>
      <w:r w:rsidRPr="00625F0A">
        <w:rPr>
          <w:bCs/>
          <w:lang w:val="en-US"/>
        </w:rPr>
        <w:t xml:space="preserve">: </w:t>
      </w:r>
    </w:p>
    <w:p w:rsidR="00000000" w:rsidRPr="00625F0A" w:rsidRDefault="00806E4B" w:rsidP="00393EB4">
      <w:pPr>
        <w:numPr>
          <w:ilvl w:val="0"/>
          <w:numId w:val="21"/>
        </w:numPr>
        <w:jc w:val="left"/>
        <w:rPr>
          <w:lang w:val="en-US"/>
        </w:rPr>
      </w:pPr>
      <w:proofErr w:type="spellStart"/>
      <w:r w:rsidRPr="00625F0A">
        <w:rPr>
          <w:lang w:val="en-US"/>
        </w:rPr>
        <w:t>podpora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příjmu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vázaná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na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produkci</w:t>
      </w:r>
      <w:proofErr w:type="spellEnd"/>
      <w:r w:rsidRPr="00625F0A">
        <w:t xml:space="preserve"> – pouze u sektorů se zvláštní</w:t>
      </w:r>
      <w:r w:rsidRPr="00625F0A">
        <w:t xml:space="preserve"> kulturní, environmentální a sociální funkcí</w:t>
      </w:r>
      <w:r w:rsidR="00A72329">
        <w:t xml:space="preserve"> (podmínka uplatnění zastropování?)</w:t>
      </w:r>
      <w:r w:rsidRPr="00625F0A">
        <w:rPr>
          <w:lang w:val="en-US"/>
        </w:rPr>
        <w:t xml:space="preserve">; </w:t>
      </w:r>
    </w:p>
    <w:p w:rsidR="00393EB4" w:rsidRPr="00625F0A" w:rsidRDefault="00393EB4" w:rsidP="00393EB4">
      <w:pPr>
        <w:ind w:firstLine="0"/>
        <w:jc w:val="left"/>
        <w:rPr>
          <w:lang w:val="en-US"/>
        </w:rPr>
      </w:pPr>
      <w:r w:rsidRPr="00625F0A">
        <w:rPr>
          <w:bCs/>
          <w:lang w:val="en-US"/>
        </w:rPr>
        <w:t>3</w:t>
      </w:r>
      <w:r w:rsidRPr="00625F0A">
        <w:rPr>
          <w:bCs/>
        </w:rPr>
        <w:t>.</w:t>
      </w:r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Intervence</w:t>
      </w:r>
      <w:proofErr w:type="spellEnd"/>
      <w:r w:rsidRPr="00625F0A">
        <w:rPr>
          <w:bCs/>
          <w:lang w:val="en-US"/>
        </w:rPr>
        <w:t xml:space="preserve"> v </w:t>
      </w:r>
      <w:proofErr w:type="spellStart"/>
      <w:r w:rsidRPr="00625F0A">
        <w:rPr>
          <w:bCs/>
          <w:lang w:val="en-US"/>
        </w:rPr>
        <w:t>rozvoji</w:t>
      </w:r>
      <w:proofErr w:type="spellEnd"/>
      <w:r w:rsidRPr="00625F0A">
        <w:rPr>
          <w:bCs/>
          <w:lang w:val="en-US"/>
        </w:rPr>
        <w:t xml:space="preserve"> </w:t>
      </w:r>
      <w:proofErr w:type="spellStart"/>
      <w:r w:rsidRPr="00625F0A">
        <w:rPr>
          <w:bCs/>
          <w:lang w:val="en-US"/>
        </w:rPr>
        <w:t>venkova</w:t>
      </w:r>
      <w:proofErr w:type="spellEnd"/>
      <w:r w:rsidR="00A72329">
        <w:rPr>
          <w:bCs/>
        </w:rPr>
        <w:t>:</w:t>
      </w:r>
    </w:p>
    <w:p w:rsidR="00393EB4" w:rsidRDefault="00393EB4" w:rsidP="00A72329">
      <w:pPr>
        <w:ind w:left="851" w:hanging="425"/>
        <w:jc w:val="left"/>
      </w:pPr>
      <w:proofErr w:type="spellStart"/>
      <w:r w:rsidRPr="00625F0A">
        <w:rPr>
          <w:lang w:val="en-US"/>
        </w:rPr>
        <w:t>Přírodní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omezení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nebo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jiné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omezení</w:t>
      </w:r>
      <w:proofErr w:type="spellEnd"/>
      <w:r w:rsidRPr="00625F0A">
        <w:rPr>
          <w:lang w:val="en-US"/>
        </w:rPr>
        <w:t xml:space="preserve"> pro </w:t>
      </w:r>
      <w:proofErr w:type="spellStart"/>
      <w:r w:rsidRPr="00625F0A">
        <w:rPr>
          <w:lang w:val="en-US"/>
        </w:rPr>
        <w:t>specifická</w:t>
      </w:r>
      <w:proofErr w:type="spellEnd"/>
      <w:r w:rsidRPr="00625F0A">
        <w:rPr>
          <w:lang w:val="en-US"/>
        </w:rPr>
        <w:t xml:space="preserve"> </w:t>
      </w:r>
      <w:proofErr w:type="spellStart"/>
      <w:r w:rsidRPr="00625F0A">
        <w:rPr>
          <w:lang w:val="en-US"/>
        </w:rPr>
        <w:t>území</w:t>
      </w:r>
      <w:proofErr w:type="spellEnd"/>
      <w:r w:rsidRPr="00625F0A">
        <w:rPr>
          <w:lang w:val="en-US"/>
        </w:rPr>
        <w:t xml:space="preserve"> </w:t>
      </w:r>
      <w:r w:rsidRPr="00625F0A">
        <w:t xml:space="preserve">(s uplatněním </w:t>
      </w:r>
      <w:proofErr w:type="spellStart"/>
      <w:r w:rsidRPr="00625F0A">
        <w:t>degresivity</w:t>
      </w:r>
      <w:proofErr w:type="spellEnd"/>
      <w:r w:rsidRPr="00625F0A">
        <w:t>)</w:t>
      </w:r>
      <w:r w:rsidR="008A5D97">
        <w:t>;</w:t>
      </w:r>
    </w:p>
    <w:p w:rsidR="008A5D97" w:rsidRDefault="008A5D97" w:rsidP="00A72329">
      <w:pPr>
        <w:ind w:left="851" w:hanging="425"/>
        <w:jc w:val="left"/>
      </w:pPr>
      <w:r>
        <w:t>Nástroje řízení rizik – zavedení fondu nepojistitelných rizik;</w:t>
      </w:r>
    </w:p>
    <w:p w:rsidR="00A72329" w:rsidRPr="00A72329" w:rsidRDefault="00A72329" w:rsidP="00A72329">
      <w:pPr>
        <w:ind w:left="851" w:hanging="425"/>
        <w:jc w:val="left"/>
      </w:pPr>
      <w:r w:rsidRPr="00A72329">
        <w:t>Poradenské, řídící a pomocné služby pro zemědělství</w:t>
      </w:r>
      <w:r w:rsidR="008A5D97">
        <w:t xml:space="preserve"> –</w:t>
      </w:r>
      <w:r w:rsidR="00A850EE">
        <w:t xml:space="preserve"> </w:t>
      </w:r>
      <w:r w:rsidR="008A5D97">
        <w:t>orientované na marketing</w:t>
      </w:r>
      <w:r w:rsidR="00A850EE">
        <w:t xml:space="preserve"> a obchodní dovednosti</w:t>
      </w:r>
      <w:r w:rsidR="008A5D97">
        <w:t xml:space="preserve">, </w:t>
      </w:r>
      <w:r w:rsidR="00A850EE">
        <w:t xml:space="preserve">obecně řízení rizik - </w:t>
      </w:r>
      <w:r w:rsidR="008A5D97">
        <w:t xml:space="preserve">adaptace vůči klimatickým projevům.  </w:t>
      </w:r>
      <w:r w:rsidR="00A850EE">
        <w:t xml:space="preserve"> </w:t>
      </w:r>
    </w:p>
    <w:p w:rsidR="00393EB4" w:rsidRPr="00A72329" w:rsidRDefault="00393EB4" w:rsidP="00F245B1">
      <w:pPr>
        <w:ind w:firstLine="0"/>
        <w:jc w:val="left"/>
        <w:rPr>
          <w:b/>
        </w:rPr>
      </w:pPr>
    </w:p>
    <w:p w:rsidR="00393EB4" w:rsidRDefault="00393EB4" w:rsidP="00F245B1">
      <w:pPr>
        <w:ind w:firstLine="0"/>
        <w:jc w:val="left"/>
        <w:rPr>
          <w:b/>
        </w:rPr>
      </w:pPr>
    </w:p>
    <w:p w:rsidR="00E326BC" w:rsidRPr="00E326BC" w:rsidRDefault="00E326BC" w:rsidP="00F245B1">
      <w:pPr>
        <w:ind w:firstLine="0"/>
        <w:jc w:val="left"/>
        <w:rPr>
          <w:b/>
        </w:rPr>
      </w:pPr>
      <w:r w:rsidRPr="00E326BC">
        <w:rPr>
          <w:b/>
        </w:rPr>
        <w:t>Reference:</w:t>
      </w:r>
    </w:p>
    <w:p w:rsidR="005A0AD7" w:rsidRDefault="005A0AD7" w:rsidP="00E87F00">
      <w:pPr>
        <w:spacing w:before="120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ČSÚ (2017): Souhrnný zemědělský účet, 2014-2017, Český statistický úřad (dostupné zde: </w:t>
      </w:r>
      <w:hyperlink r:id="rId26" w:history="1">
        <w:r w:rsidRPr="008222A3">
          <w:rPr>
            <w:rStyle w:val="Hypertextovodkaz"/>
            <w:rFonts w:asciiTheme="minorHAnsi" w:hAnsiTheme="minorHAnsi"/>
          </w:rPr>
          <w:t>https://www.czso.cz/csu/czso/zemedelstvi-publikace</w:t>
        </w:r>
      </w:hyperlink>
      <w:r>
        <w:rPr>
          <w:rFonts w:asciiTheme="minorHAnsi" w:hAnsiTheme="minorHAnsi"/>
        </w:rPr>
        <w:t xml:space="preserve">) </w:t>
      </w:r>
    </w:p>
    <w:p w:rsidR="00EC05FF" w:rsidRDefault="00EC05FF" w:rsidP="00EC05FF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ČSÚ: Mzdy a náklady práce – Publikace, Český statistický úřad, Praha (dostupné zde: </w:t>
      </w:r>
      <w:hyperlink r:id="rId27" w:history="1">
        <w:r w:rsidRPr="008222A3">
          <w:rPr>
            <w:rStyle w:val="Hypertextovodkaz"/>
            <w:rFonts w:asciiTheme="minorHAnsi" w:hAnsiTheme="minorHAnsi"/>
          </w:rPr>
          <w:t>https://www.czso.cz/csu/czso/mzdy-a-naklady-prace</w:t>
        </w:r>
      </w:hyperlink>
      <w:r>
        <w:rPr>
          <w:rFonts w:asciiTheme="minorHAnsi" w:hAnsiTheme="minorHAnsi"/>
        </w:rPr>
        <w:t xml:space="preserve">) </w:t>
      </w:r>
    </w:p>
    <w:p w:rsidR="00E326BC" w:rsidRDefault="007D7E69" w:rsidP="00751639">
      <w:pPr>
        <w:spacing w:before="120" w:line="240" w:lineRule="auto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Evropská komise (2017): </w:t>
      </w:r>
      <w:r w:rsidRPr="007D7E69">
        <w:rPr>
          <w:rFonts w:asciiTheme="minorHAnsi" w:hAnsiTheme="minorHAnsi"/>
        </w:rPr>
        <w:t>COMMUNICATION FROM THE COMMISSION TO THE EUROPEAN</w:t>
      </w:r>
      <w:r>
        <w:rPr>
          <w:rFonts w:asciiTheme="minorHAnsi" w:hAnsiTheme="minorHAnsi"/>
        </w:rPr>
        <w:t xml:space="preserve"> </w:t>
      </w:r>
      <w:r w:rsidRPr="007D7E69">
        <w:rPr>
          <w:rFonts w:asciiTheme="minorHAnsi" w:hAnsiTheme="minorHAnsi"/>
        </w:rPr>
        <w:t>PARLIAMENT, THE COUNCIL, THE EUROPEAN ECONOMIC AND SOCIAL</w:t>
      </w:r>
      <w:r>
        <w:rPr>
          <w:rFonts w:asciiTheme="minorHAnsi" w:hAnsiTheme="minorHAnsi"/>
        </w:rPr>
        <w:t xml:space="preserve"> </w:t>
      </w:r>
      <w:r w:rsidRPr="007D7E69">
        <w:rPr>
          <w:rFonts w:asciiTheme="minorHAnsi" w:hAnsiTheme="minorHAnsi"/>
        </w:rPr>
        <w:t>COMMITTEE AND THE COMMITTEE OF THE REGIONS</w:t>
      </w:r>
      <w:r>
        <w:rPr>
          <w:rFonts w:asciiTheme="minorHAnsi" w:hAnsiTheme="minorHAnsi"/>
        </w:rPr>
        <w:t xml:space="preserve"> - </w:t>
      </w:r>
      <w:proofErr w:type="spellStart"/>
      <w:r w:rsidRPr="007D7E69">
        <w:rPr>
          <w:rFonts w:asciiTheme="minorHAnsi" w:hAnsiTheme="minorHAnsi"/>
        </w:rPr>
        <w:t>The</w:t>
      </w:r>
      <w:proofErr w:type="spellEnd"/>
      <w:r w:rsidRPr="007D7E69">
        <w:rPr>
          <w:rFonts w:asciiTheme="minorHAnsi" w:hAnsiTheme="minorHAnsi"/>
        </w:rPr>
        <w:t xml:space="preserve"> </w:t>
      </w:r>
      <w:proofErr w:type="spellStart"/>
      <w:r w:rsidRPr="007D7E69">
        <w:rPr>
          <w:rFonts w:asciiTheme="minorHAnsi" w:hAnsiTheme="minorHAnsi"/>
        </w:rPr>
        <w:t>Future</w:t>
      </w:r>
      <w:proofErr w:type="spellEnd"/>
      <w:r w:rsidRPr="007D7E69">
        <w:rPr>
          <w:rFonts w:asciiTheme="minorHAnsi" w:hAnsiTheme="minorHAnsi"/>
        </w:rPr>
        <w:t xml:space="preserve"> </w:t>
      </w:r>
      <w:proofErr w:type="spellStart"/>
      <w:r w:rsidRPr="007D7E69">
        <w:rPr>
          <w:rFonts w:asciiTheme="minorHAnsi" w:hAnsiTheme="minorHAnsi"/>
        </w:rPr>
        <w:t>of</w:t>
      </w:r>
      <w:proofErr w:type="spellEnd"/>
      <w:r w:rsidRPr="007D7E69">
        <w:rPr>
          <w:rFonts w:asciiTheme="minorHAnsi" w:hAnsiTheme="minorHAnsi"/>
        </w:rPr>
        <w:t xml:space="preserve"> Food and </w:t>
      </w:r>
      <w:proofErr w:type="spellStart"/>
      <w:r w:rsidRPr="007D7E69">
        <w:rPr>
          <w:rFonts w:asciiTheme="minorHAnsi" w:hAnsiTheme="minorHAnsi"/>
        </w:rPr>
        <w:t>Farming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Brusel</w:t>
      </w:r>
      <w:r w:rsidR="00F717BF">
        <w:rPr>
          <w:rFonts w:asciiTheme="minorHAnsi" w:hAnsiTheme="minorHAnsi"/>
        </w:rPr>
        <w:t>s</w:t>
      </w:r>
      <w:proofErr w:type="spellEnd"/>
    </w:p>
    <w:p w:rsidR="00751639" w:rsidRPr="00751639" w:rsidRDefault="00751639" w:rsidP="00751639">
      <w:pPr>
        <w:spacing w:before="120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Evropská komise (2018): </w:t>
      </w:r>
      <w:r w:rsidRPr="00751639">
        <w:rPr>
          <w:rFonts w:asciiTheme="minorHAnsi" w:hAnsiTheme="minorHAnsi"/>
        </w:rPr>
        <w:t>REGULATION OF THE EUROPEAN PARLIAMENT AND OF THE COUNCIL</w:t>
      </w:r>
      <w:r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establishing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rules</w:t>
      </w:r>
      <w:proofErr w:type="spellEnd"/>
      <w:r w:rsidRPr="00751639">
        <w:rPr>
          <w:rFonts w:asciiTheme="minorHAnsi" w:hAnsiTheme="minorHAnsi"/>
        </w:rPr>
        <w:t xml:space="preserve"> on support </w:t>
      </w:r>
      <w:proofErr w:type="spellStart"/>
      <w:r w:rsidRPr="00751639">
        <w:rPr>
          <w:rFonts w:asciiTheme="minorHAnsi" w:hAnsiTheme="minorHAnsi"/>
        </w:rPr>
        <w:t>for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strategic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plans</w:t>
      </w:r>
      <w:proofErr w:type="spellEnd"/>
      <w:r w:rsidRPr="00751639">
        <w:rPr>
          <w:rFonts w:asciiTheme="minorHAnsi" w:hAnsiTheme="minorHAnsi"/>
        </w:rPr>
        <w:t xml:space="preserve"> to </w:t>
      </w:r>
      <w:proofErr w:type="spellStart"/>
      <w:r w:rsidRPr="00751639">
        <w:rPr>
          <w:rFonts w:asciiTheme="minorHAnsi" w:hAnsiTheme="minorHAnsi"/>
        </w:rPr>
        <w:t>be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drawn</w:t>
      </w:r>
      <w:proofErr w:type="spellEnd"/>
      <w:r w:rsidRPr="00751639">
        <w:rPr>
          <w:rFonts w:asciiTheme="minorHAnsi" w:hAnsiTheme="minorHAnsi"/>
        </w:rPr>
        <w:t xml:space="preserve"> up by </w:t>
      </w:r>
      <w:proofErr w:type="spellStart"/>
      <w:r w:rsidRPr="00751639">
        <w:rPr>
          <w:rFonts w:asciiTheme="minorHAnsi" w:hAnsiTheme="minorHAnsi"/>
        </w:rPr>
        <w:t>Member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States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under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the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Common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agricultural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policy</w:t>
      </w:r>
      <w:proofErr w:type="spellEnd"/>
      <w:r w:rsidRPr="00751639">
        <w:rPr>
          <w:rFonts w:asciiTheme="minorHAnsi" w:hAnsiTheme="minorHAnsi"/>
        </w:rPr>
        <w:t xml:space="preserve"> (CAP </w:t>
      </w:r>
      <w:proofErr w:type="spellStart"/>
      <w:r w:rsidRPr="00751639">
        <w:rPr>
          <w:rFonts w:asciiTheme="minorHAnsi" w:hAnsiTheme="minorHAnsi"/>
        </w:rPr>
        <w:t>Strategic</w:t>
      </w:r>
      <w:proofErr w:type="spellEnd"/>
      <w:r w:rsidRPr="00751639">
        <w:rPr>
          <w:rFonts w:asciiTheme="minorHAnsi" w:hAnsiTheme="minorHAnsi"/>
        </w:rPr>
        <w:t xml:space="preserve"> </w:t>
      </w:r>
      <w:proofErr w:type="spellStart"/>
      <w:r w:rsidRPr="00751639">
        <w:rPr>
          <w:rFonts w:asciiTheme="minorHAnsi" w:hAnsiTheme="minorHAnsi"/>
        </w:rPr>
        <w:t>Plans</w:t>
      </w:r>
      <w:proofErr w:type="spellEnd"/>
      <w:r w:rsidRPr="0075163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- Návrh ze dne </w:t>
      </w:r>
      <w:proofErr w:type="gramStart"/>
      <w:r>
        <w:rPr>
          <w:rFonts w:asciiTheme="minorHAnsi" w:hAnsiTheme="minorHAnsi"/>
        </w:rPr>
        <w:t>1.6.2018</w:t>
      </w:r>
      <w:proofErr w:type="gramEnd"/>
      <w:r>
        <w:rPr>
          <w:rFonts w:asciiTheme="minorHAnsi" w:hAnsiTheme="minorHAnsi"/>
        </w:rPr>
        <w:t>. EC Brusel.</w:t>
      </w:r>
    </w:p>
    <w:p w:rsidR="00F717BF" w:rsidRPr="00747D01" w:rsidRDefault="00F717BF" w:rsidP="00E87F00">
      <w:pPr>
        <w:spacing w:before="120"/>
        <w:ind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DG </w:t>
      </w:r>
      <w:proofErr w:type="spellStart"/>
      <w:r>
        <w:rPr>
          <w:rFonts w:asciiTheme="minorHAnsi" w:hAnsiTheme="minorHAnsi"/>
        </w:rPr>
        <w:t>Agri</w:t>
      </w:r>
      <w:proofErr w:type="spellEnd"/>
      <w:r>
        <w:rPr>
          <w:rFonts w:asciiTheme="minorHAnsi" w:hAnsiTheme="minorHAnsi"/>
        </w:rPr>
        <w:t xml:space="preserve">, Unit </w:t>
      </w:r>
      <w:proofErr w:type="spellStart"/>
      <w:r>
        <w:rPr>
          <w:rFonts w:asciiTheme="minorHAnsi" w:hAnsiTheme="minorHAnsi"/>
        </w:rPr>
        <w:t>Farm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Economics</w:t>
      </w:r>
      <w:proofErr w:type="spellEnd"/>
      <w:r>
        <w:rPr>
          <w:rFonts w:asciiTheme="minorHAnsi" w:hAnsiTheme="minorHAnsi"/>
        </w:rPr>
        <w:t xml:space="preserve"> (2017): </w:t>
      </w:r>
      <w:proofErr w:type="spellStart"/>
      <w:r>
        <w:rPr>
          <w:rFonts w:asciiTheme="minorHAnsi" w:hAnsiTheme="minorHAnsi"/>
        </w:rPr>
        <w:t>Agricultural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Farm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Income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Brusels</w:t>
      </w:r>
      <w:proofErr w:type="spellEnd"/>
      <w:r w:rsidR="00E87F00">
        <w:rPr>
          <w:rFonts w:asciiTheme="minorHAnsi" w:hAnsiTheme="minorHAnsi"/>
        </w:rPr>
        <w:t>, 2017</w:t>
      </w:r>
    </w:p>
    <w:p w:rsidR="00E87F00" w:rsidRDefault="00E87F00" w:rsidP="00E87F00">
      <w:pPr>
        <w:spacing w:before="120" w:after="160" w:line="259" w:lineRule="auto"/>
        <w:ind w:firstLine="0"/>
        <w:jc w:val="left"/>
      </w:pPr>
      <w:proofErr w:type="spellStart"/>
      <w:r>
        <w:lastRenderedPageBreak/>
        <w:t>Eurostat</w:t>
      </w:r>
      <w:proofErr w:type="spellEnd"/>
      <w:r>
        <w:t xml:space="preserve"> (2018): Databáze Evropského statistického úřadu, Lucemburk, (on-line dostupná zde: </w:t>
      </w:r>
      <w:hyperlink r:id="rId28" w:history="1">
        <w:r w:rsidRPr="008222A3">
          <w:rPr>
            <w:rStyle w:val="Hypertextovodkaz"/>
          </w:rPr>
          <w:t>https://www.czso.cz/csu/czso/zemedelstvi-publikace</w:t>
        </w:r>
      </w:hyperlink>
      <w:r>
        <w:t xml:space="preserve">) </w:t>
      </w:r>
    </w:p>
    <w:p w:rsidR="00E846C9" w:rsidRDefault="00E87F00" w:rsidP="00E87F00">
      <w:pPr>
        <w:spacing w:before="120" w:after="160" w:line="259" w:lineRule="auto"/>
        <w:ind w:firstLine="0"/>
        <w:jc w:val="left"/>
      </w:pPr>
      <w:proofErr w:type="spellStart"/>
      <w:r>
        <w:t>MZe</w:t>
      </w:r>
      <w:proofErr w:type="spellEnd"/>
      <w:r>
        <w:t xml:space="preserve"> (2018): Výroční zpráva pro přímé platby, Ministerstvo zemědělství ČR (dostupné on-line zde: </w:t>
      </w:r>
      <w:hyperlink r:id="rId29" w:history="1">
        <w:r w:rsidRPr="008222A3">
          <w:rPr>
            <w:rStyle w:val="Hypertextovodkaz"/>
          </w:rPr>
          <w:t>http://eagri.cz/public/web/file/581728/VZ_PP_2017_final.pdf</w:t>
        </w:r>
      </w:hyperlink>
      <w:r>
        <w:t xml:space="preserve">). </w:t>
      </w:r>
    </w:p>
    <w:p w:rsidR="006B40D6" w:rsidRDefault="00E846C9" w:rsidP="00E87F00">
      <w:pPr>
        <w:spacing w:before="120" w:after="160" w:line="259" w:lineRule="auto"/>
        <w:ind w:firstLine="0"/>
        <w:jc w:val="left"/>
      </w:pPr>
      <w:r w:rsidRPr="00AB2631">
        <w:t>Evropský účetní dvůr (2017):</w:t>
      </w:r>
      <w:r w:rsidR="00AB2631" w:rsidRPr="00AB2631">
        <w:t xml:space="preserve"> Zvláštní zpráva č. 21/2017 „Ekologizace: komplexnější režim podpory příjmů, dosud bez environmentálních účinků“ </w:t>
      </w:r>
      <w:r w:rsidR="00AB2631">
        <w:t xml:space="preserve">(dokument dostupný on-line zde: </w:t>
      </w:r>
      <w:hyperlink r:id="rId30" w:history="1">
        <w:r w:rsidR="00AB2631" w:rsidRPr="008222A3">
          <w:rPr>
            <w:rStyle w:val="Hypertextovodkaz"/>
          </w:rPr>
          <w:t>https://www.eca.europa.eu/cs/Pages/DocItem.aspx?did=44179</w:t>
        </w:r>
      </w:hyperlink>
      <w:r w:rsidR="00AB2631">
        <w:t xml:space="preserve">) </w:t>
      </w:r>
      <w:r w:rsidR="006B40D6">
        <w:br w:type="page"/>
      </w:r>
    </w:p>
    <w:p w:rsidR="00AB7858" w:rsidRDefault="00AB7858" w:rsidP="00E87F00">
      <w:pPr>
        <w:pStyle w:val="Nadpis1"/>
        <w:spacing w:before="120"/>
        <w:ind w:left="0" w:firstLine="0"/>
        <w:sectPr w:rsidR="00AB7858" w:rsidSect="003B41E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326BC" w:rsidRDefault="006B40D6" w:rsidP="00FA79E7">
      <w:pPr>
        <w:pStyle w:val="Nadpis1"/>
        <w:ind w:left="0" w:firstLine="0"/>
      </w:pPr>
      <w:bookmarkStart w:id="12" w:name="_Toc525897103"/>
      <w:r>
        <w:lastRenderedPageBreak/>
        <w:t>Příloh</w:t>
      </w:r>
      <w:r w:rsidR="009271F0">
        <w:rPr>
          <w:lang w:val="cs-CZ"/>
        </w:rPr>
        <w:t>y</w:t>
      </w:r>
      <w:bookmarkEnd w:id="12"/>
    </w:p>
    <w:p w:rsidR="00BA6A6E" w:rsidRDefault="006B40D6" w:rsidP="00753A68">
      <w:pPr>
        <w:pStyle w:val="Titulek"/>
        <w:ind w:firstLine="0"/>
        <w:jc w:val="left"/>
      </w:pPr>
      <w:r>
        <w:t xml:space="preserve">Tabulka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183FCB">
        <w:rPr>
          <w:noProof/>
        </w:rPr>
        <w:fldChar w:fldCharType="separate"/>
      </w:r>
      <w:r w:rsidR="00874C34">
        <w:rPr>
          <w:noProof/>
        </w:rPr>
        <w:t>3</w:t>
      </w:r>
      <w:r w:rsidR="00183FCB">
        <w:rPr>
          <w:noProof/>
        </w:rPr>
        <w:fldChar w:fldCharType="end"/>
      </w:r>
      <w:r>
        <w:t>. Příjmová situace na podnikové úrovni (na úrovni jednotlivý</w:t>
      </w:r>
      <w:r w:rsidR="000937F1">
        <w:t>ch</w:t>
      </w:r>
      <w:r>
        <w:t xml:space="preserve"> kategorií podniků)</w:t>
      </w:r>
      <w:r w:rsidR="000937F1">
        <w:t>,</w:t>
      </w:r>
      <w:r>
        <w:t xml:space="preserve"> z údajů FADN za období 2014-16</w:t>
      </w:r>
      <w:r>
        <w:rPr>
          <w:rStyle w:val="Znakapoznpodarou"/>
        </w:rPr>
        <w:footnoteReference w:id="11"/>
      </w:r>
      <w:r w:rsidR="00FA79E7" w:rsidRPr="00FA79E7">
        <w:rPr>
          <w:i w:val="0"/>
          <w:iCs w:val="0"/>
        </w:rPr>
        <w:t xml:space="preserve"> </w:t>
      </w:r>
      <w:r w:rsidR="00FA79E7" w:rsidRPr="00FA79E7">
        <w:rPr>
          <w:noProof/>
          <w:lang w:val="en-US" w:eastAsia="en-US"/>
        </w:rPr>
        <w:drawing>
          <wp:inline distT="0" distB="0" distL="0" distR="0" wp14:anchorId="299123DC" wp14:editId="401988FC">
            <wp:extent cx="8128698" cy="5055653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286" cy="50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58" w:rsidRDefault="00AB7858" w:rsidP="00E340D1">
      <w:pPr>
        <w:pStyle w:val="Titulek"/>
        <w:ind w:firstLine="0"/>
        <w:sectPr w:rsidR="00AB7858" w:rsidSect="00343F1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340D1" w:rsidRDefault="00E340D1" w:rsidP="00E340D1">
      <w:pPr>
        <w:pStyle w:val="Titulek"/>
        <w:ind w:firstLine="0"/>
      </w:pPr>
    </w:p>
    <w:p w:rsidR="00E340D1" w:rsidRDefault="00E340D1" w:rsidP="00E340D1">
      <w:pPr>
        <w:pStyle w:val="Titulek"/>
        <w:ind w:firstLine="0"/>
      </w:pPr>
      <w:r>
        <w:t xml:space="preserve">Tabulka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183FCB">
        <w:rPr>
          <w:noProof/>
        </w:rPr>
        <w:fldChar w:fldCharType="separate"/>
      </w:r>
      <w:r w:rsidR="00874C34">
        <w:rPr>
          <w:noProof/>
        </w:rPr>
        <w:t>4</w:t>
      </w:r>
      <w:r w:rsidR="00183FCB">
        <w:rPr>
          <w:noProof/>
        </w:rPr>
        <w:fldChar w:fldCharType="end"/>
      </w:r>
      <w:r>
        <w:t>. Propočty podle typů ANC na průměru let 2014-16</w:t>
      </w:r>
    </w:p>
    <w:tbl>
      <w:tblPr>
        <w:tblW w:w="9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1600"/>
        <w:gridCol w:w="1600"/>
        <w:gridCol w:w="1600"/>
      </w:tblGrid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Horská oblast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Jiné než horské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Nezařazeno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ČPH Kč  na AWU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508 996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532 275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676 087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podnikatelský důchod Kč/ha z.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5 397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4 331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6 190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podnikatelský zisk Kč/ ha z.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2 629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1 771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4 276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podíl plateb ANC provozních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dotacích</w:t>
            </w:r>
            <w:proofErr w:type="gramEnd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na ČPH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nákladovost produkce Kč na 1 Kč nákladů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farem se zápornou ČPH bez ANC na celkem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podíl z.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farem se zápornou ČPH bez ANC na z. p. celkem 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</w:tr>
    </w:tbl>
    <w:p w:rsidR="00E340D1" w:rsidRDefault="00CE0C7F" w:rsidP="00E340D1">
      <w:pPr>
        <w:pStyle w:val="Titulek"/>
        <w:ind w:firstLine="0"/>
      </w:pPr>
      <w:r>
        <w:t>Zdroj:</w:t>
      </w:r>
      <w:r w:rsidR="00F079BD">
        <w:t xml:space="preserve"> výpočty ÚZEI podle údajů FADN</w:t>
      </w:r>
    </w:p>
    <w:p w:rsidR="00E340D1" w:rsidRDefault="00E340D1" w:rsidP="00E340D1">
      <w:pPr>
        <w:pStyle w:val="Titulek"/>
        <w:ind w:firstLine="0"/>
      </w:pPr>
      <w:r>
        <w:t xml:space="preserve">Tabulka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183FCB">
        <w:rPr>
          <w:noProof/>
        </w:rPr>
        <w:fldChar w:fldCharType="separate"/>
      </w:r>
      <w:r w:rsidR="00874C34">
        <w:rPr>
          <w:noProof/>
        </w:rPr>
        <w:t>5</w:t>
      </w:r>
      <w:r w:rsidR="00183FCB">
        <w:rPr>
          <w:noProof/>
        </w:rPr>
        <w:fldChar w:fldCharType="end"/>
      </w:r>
      <w:r>
        <w:t>. Propočty podle typů ANC na podmínky platné od roku 2018</w:t>
      </w:r>
    </w:p>
    <w:tbl>
      <w:tblPr>
        <w:tblW w:w="9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1600"/>
        <w:gridCol w:w="1600"/>
        <w:gridCol w:w="1600"/>
      </w:tblGrid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Horská oblast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Jiné než horské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Nezařazeno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ČPH Kč na AWU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566 131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569 871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654 112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podnikatelský důchod Kč/ha z.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6 173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4 721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5 112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podnikatelský zisk Kč/ ha z.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3 620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2 211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3 051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podíl plateb ANC provozních </w:t>
            </w:r>
            <w:proofErr w:type="gramStart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dotacích</w:t>
            </w:r>
            <w:proofErr w:type="gramEnd"/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24,4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13,5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1,1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podíl plateb ANC na ČPH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26,4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11,9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0,7</w:t>
            </w:r>
          </w:p>
        </w:tc>
      </w:tr>
      <w:tr w:rsidR="00E340D1" w:rsidRPr="00E340D1" w:rsidTr="00E510C6">
        <w:trPr>
          <w:trHeight w:val="300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hAnsi="Calibri" w:cs="Calibri"/>
                <w:color w:val="000000"/>
                <w:sz w:val="22"/>
                <w:szCs w:val="22"/>
              </w:rPr>
              <w:t>nákladovost produkce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E340D1" w:rsidRPr="00E340D1" w:rsidRDefault="00E340D1" w:rsidP="00E340D1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0D1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1,1</w:t>
            </w:r>
          </w:p>
        </w:tc>
      </w:tr>
    </w:tbl>
    <w:p w:rsidR="00F079BD" w:rsidRDefault="00F079BD" w:rsidP="00F079BD">
      <w:pPr>
        <w:pStyle w:val="Titulek"/>
        <w:ind w:firstLine="0"/>
      </w:pPr>
      <w:r>
        <w:t>Zdroj: výpočty ÚZEI podle údajů FADN</w:t>
      </w:r>
    </w:p>
    <w:p w:rsidR="00F50A5A" w:rsidRDefault="00F50A5A" w:rsidP="00F50A5A">
      <w:pPr>
        <w:pStyle w:val="Titulek"/>
        <w:ind w:firstLine="0"/>
      </w:pPr>
    </w:p>
    <w:p w:rsidR="00E340D1" w:rsidRDefault="00F50A5A" w:rsidP="00F50A5A">
      <w:pPr>
        <w:pStyle w:val="Titulek"/>
        <w:ind w:firstLine="0"/>
      </w:pPr>
      <w:r>
        <w:t xml:space="preserve">Tabulka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183FCB">
        <w:rPr>
          <w:noProof/>
        </w:rPr>
        <w:fldChar w:fldCharType="separate"/>
      </w:r>
      <w:r w:rsidR="00874C34">
        <w:rPr>
          <w:noProof/>
        </w:rPr>
        <w:t>6</w:t>
      </w:r>
      <w:r w:rsidR="00183FCB">
        <w:rPr>
          <w:noProof/>
        </w:rPr>
        <w:fldChar w:fldCharType="end"/>
      </w:r>
      <w:r>
        <w:t xml:space="preserve">. Vývoj zemědělského pojištění a </w:t>
      </w:r>
      <w:proofErr w:type="spellStart"/>
      <w:r>
        <w:t>škodního</w:t>
      </w:r>
      <w:proofErr w:type="spellEnd"/>
      <w:r>
        <w:t xml:space="preserve"> průběhu v ČR v 2001 až 2017</w:t>
      </w:r>
    </w:p>
    <w:p w:rsidR="00F50A5A" w:rsidRDefault="00F50A5A" w:rsidP="00F50A5A">
      <w:pPr>
        <w:pStyle w:val="Titulek"/>
        <w:ind w:firstLine="0"/>
      </w:pPr>
      <w:r>
        <w:rPr>
          <w:noProof/>
          <w:lang w:val="en-US" w:eastAsia="en-US"/>
        </w:rPr>
        <w:drawing>
          <wp:inline distT="0" distB="0" distL="0" distR="0" wp14:anchorId="2EA91220" wp14:editId="272922A7">
            <wp:extent cx="5761990" cy="331406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0C6" w:rsidRDefault="00E510C6" w:rsidP="008679B2">
      <w:pPr>
        <w:pStyle w:val="Titulek"/>
        <w:ind w:firstLine="0"/>
      </w:pPr>
    </w:p>
    <w:p w:rsidR="008863C6" w:rsidRDefault="008863C6" w:rsidP="008863C6">
      <w:pPr>
        <w:pStyle w:val="Titulek"/>
      </w:pPr>
      <w:r>
        <w:lastRenderedPageBreak/>
        <w:t xml:space="preserve">Tabulka </w:t>
      </w:r>
      <w:r w:rsidR="00931B68">
        <w:fldChar w:fldCharType="begin"/>
      </w:r>
      <w:r w:rsidR="00931B68">
        <w:instrText xml:space="preserve"> SEQ Tabulka \* ARABIC </w:instrText>
      </w:r>
      <w:r w:rsidR="00931B68">
        <w:fldChar w:fldCharType="separate"/>
      </w:r>
      <w:r w:rsidR="00874C34">
        <w:rPr>
          <w:noProof/>
        </w:rPr>
        <w:t>7</w:t>
      </w:r>
      <w:r w:rsidR="00931B68">
        <w:rPr>
          <w:noProof/>
        </w:rPr>
        <w:fldChar w:fldCharType="end"/>
      </w:r>
      <w:r>
        <w:t>. Ukazatele charakterizující míru stability zemědělských příjmů a způsoby řízení rizik</w:t>
      </w:r>
    </w:p>
    <w:p w:rsidR="008863C6" w:rsidRPr="008863C6" w:rsidRDefault="008863C6" w:rsidP="008863C6">
      <w:r w:rsidRPr="005F7B07">
        <w:rPr>
          <w:noProof/>
          <w:lang w:val="en-US" w:eastAsia="en-US"/>
        </w:rPr>
        <w:drawing>
          <wp:inline distT="0" distB="0" distL="0" distR="0" wp14:anchorId="70233004" wp14:editId="10F5F102">
            <wp:extent cx="5752465" cy="3827780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6" w:rsidRDefault="008863C6" w:rsidP="008863C6">
      <w:pPr>
        <w:spacing w:before="0"/>
        <w:rPr>
          <w:i/>
          <w:sz w:val="20"/>
        </w:rPr>
      </w:pPr>
      <w:r w:rsidRPr="008863C6">
        <w:rPr>
          <w:i/>
          <w:sz w:val="20"/>
        </w:rPr>
        <w:t>Zdroj: propočty ÚZEI</w:t>
      </w:r>
      <w:r>
        <w:rPr>
          <w:i/>
          <w:sz w:val="20"/>
        </w:rPr>
        <w:t>, Zelená zpráva 2008-17</w:t>
      </w:r>
    </w:p>
    <w:p w:rsidR="008863C6" w:rsidRPr="008863C6" w:rsidRDefault="008863C6" w:rsidP="008863C6">
      <w:pPr>
        <w:spacing w:before="0"/>
        <w:rPr>
          <w:i/>
          <w:sz w:val="20"/>
        </w:rPr>
      </w:pPr>
    </w:p>
    <w:p w:rsidR="008679B2" w:rsidRPr="008679B2" w:rsidRDefault="008679B2" w:rsidP="008679B2">
      <w:pPr>
        <w:pStyle w:val="Titulek"/>
        <w:ind w:firstLine="0"/>
      </w:pPr>
      <w:r>
        <w:t xml:space="preserve">Tabulka </w:t>
      </w:r>
      <w:r w:rsidR="00183FCB">
        <w:rPr>
          <w:noProof/>
        </w:rPr>
        <w:fldChar w:fldCharType="begin"/>
      </w:r>
      <w:r w:rsidR="00183FCB">
        <w:rPr>
          <w:noProof/>
        </w:rPr>
        <w:instrText xml:space="preserve"> SEQ Tabulka \* ARABIC </w:instrText>
      </w:r>
      <w:r w:rsidR="00183FCB">
        <w:rPr>
          <w:noProof/>
        </w:rPr>
        <w:fldChar w:fldCharType="separate"/>
      </w:r>
      <w:r w:rsidR="00874C34">
        <w:rPr>
          <w:noProof/>
        </w:rPr>
        <w:t>8</w:t>
      </w:r>
      <w:r w:rsidR="00183FCB">
        <w:rPr>
          <w:noProof/>
        </w:rPr>
        <w:fldChar w:fldCharType="end"/>
      </w:r>
      <w:r>
        <w:t xml:space="preserve">. </w:t>
      </w:r>
      <w:r w:rsidRPr="008679B2">
        <w:t>Ad hoc kompenzace škod ze státního rozpočtu v letech 1995–2017</w:t>
      </w:r>
    </w:p>
    <w:p w:rsidR="008679B2" w:rsidRDefault="008679B2" w:rsidP="008679B2">
      <w:pPr>
        <w:keepNext/>
        <w:ind w:firstLine="0"/>
      </w:pPr>
      <w:r w:rsidRPr="00EF5FBA">
        <w:rPr>
          <w:noProof/>
          <w:lang w:val="en-US" w:eastAsia="en-US"/>
        </w:rPr>
        <w:drawing>
          <wp:inline distT="0" distB="0" distL="0" distR="0" wp14:anchorId="462B8E67" wp14:editId="1002D37F">
            <wp:extent cx="5753100" cy="3181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84" w:rsidRDefault="00196984" w:rsidP="00196984">
      <w:pPr>
        <w:pStyle w:val="Titulek"/>
        <w:ind w:firstLine="0"/>
      </w:pPr>
    </w:p>
    <w:p w:rsidR="00295FF1" w:rsidRDefault="00295FF1" w:rsidP="00295FF1"/>
    <w:p w:rsidR="00295FF1" w:rsidRDefault="00295FF1" w:rsidP="00295FF1"/>
    <w:p w:rsidR="00295FF1" w:rsidRPr="00295FF1" w:rsidRDefault="00295FF1" w:rsidP="00295FF1"/>
    <w:p w:rsidR="00196984" w:rsidRDefault="00196984" w:rsidP="00196984">
      <w:pPr>
        <w:pStyle w:val="Titulek"/>
        <w:ind w:firstLine="0"/>
      </w:pPr>
      <w:r>
        <w:t xml:space="preserve">Tabulka 10. </w:t>
      </w:r>
      <w:r w:rsidR="00975A09">
        <w:t>Základní data FADN 2016 pro ANC od r.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794"/>
        <w:gridCol w:w="794"/>
        <w:gridCol w:w="794"/>
        <w:gridCol w:w="794"/>
        <w:gridCol w:w="874"/>
        <w:gridCol w:w="840"/>
        <w:gridCol w:w="794"/>
      </w:tblGrid>
      <w:tr w:rsidR="00975A09" w:rsidRPr="00295FF1" w:rsidTr="006718A0">
        <w:trPr>
          <w:trHeight w:val="6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Velikostní skupina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300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300-500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500-900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900-1800 ha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1800-2500 ha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nad 2500 ha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975A09" w:rsidRPr="00295FF1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5F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ANC průměr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ČPH Kč na AWU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408 828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680 924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622 686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618 960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625 740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685 757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568 918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ČPH bez ANC Kč na AWU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330 007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576 604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522 118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530 530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562 022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618 229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486 340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podíl plateb ANC provozních </w:t>
            </w:r>
            <w:proofErr w:type="gramStart"/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dotacích</w:t>
            </w:r>
            <w:proofErr w:type="gramEnd"/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15,5</w:t>
            </w:r>
          </w:p>
        </w:tc>
      </w:tr>
      <w:tr w:rsidR="00975A09" w:rsidRPr="005F4CFD" w:rsidTr="006718A0">
        <w:trPr>
          <w:trHeight w:val="300"/>
        </w:trPr>
        <w:tc>
          <w:tcPr>
            <w:tcW w:w="1863" w:type="pct"/>
            <w:shd w:val="clear" w:color="000000" w:fill="FFFFFF"/>
            <w:noWrap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plateb ANC na ČPH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14,5</w:t>
            </w:r>
          </w:p>
        </w:tc>
      </w:tr>
      <w:tr w:rsidR="00975A09" w:rsidRPr="005F4CFD" w:rsidTr="006718A0">
        <w:trPr>
          <w:trHeight w:val="510"/>
        </w:trPr>
        <w:tc>
          <w:tcPr>
            <w:tcW w:w="1863" w:type="pct"/>
            <w:shd w:val="clear" w:color="000000" w:fill="FFFFFF"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podíl farem se zápornou ČPH bez ANC na celkovém počtu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</w:tr>
      <w:tr w:rsidR="00975A09" w:rsidRPr="005F4CFD" w:rsidTr="006718A0">
        <w:trPr>
          <w:trHeight w:val="510"/>
        </w:trPr>
        <w:tc>
          <w:tcPr>
            <w:tcW w:w="1863" w:type="pct"/>
            <w:shd w:val="clear" w:color="000000" w:fill="FFFFFF"/>
            <w:vAlign w:val="center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podíl z. </w:t>
            </w:r>
            <w:proofErr w:type="gramStart"/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p.</w:t>
            </w:r>
            <w:proofErr w:type="gramEnd"/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farem se zápornou ČPH bez ANC na z. p. celkem %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83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975A09" w:rsidRPr="005F4CFD" w:rsidRDefault="00975A09" w:rsidP="00295FF1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4CFD">
              <w:rPr>
                <w:rFonts w:ascii="Calibri" w:hAnsi="Calibri" w:cs="Calibri"/>
                <w:color w:val="000000"/>
                <w:sz w:val="20"/>
                <w:szCs w:val="20"/>
              </w:rPr>
              <w:t>2,6</w:t>
            </w:r>
          </w:p>
        </w:tc>
      </w:tr>
    </w:tbl>
    <w:p w:rsidR="00975A09" w:rsidRDefault="00975A09" w:rsidP="008A342F">
      <w:pPr>
        <w:spacing w:before="0"/>
        <w:ind w:firstLin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975A09" w:rsidRPr="00975A09" w:rsidRDefault="00975A09" w:rsidP="00E53131"/>
    <w:p w:rsidR="00411412" w:rsidRDefault="00411412" w:rsidP="00411412">
      <w:pPr>
        <w:pStyle w:val="Titulek"/>
        <w:ind w:firstLine="0"/>
      </w:pPr>
      <w:r>
        <w:t>Graf 9. ČPH na AWU ve velikostních třídách ve srovnání s průměrem ANC</w:t>
      </w:r>
    </w:p>
    <w:p w:rsidR="00411412" w:rsidRPr="00411412" w:rsidRDefault="00411412" w:rsidP="00E53131">
      <w:r>
        <w:rPr>
          <w:noProof/>
          <w:lang w:val="en-US" w:eastAsia="en-US"/>
        </w:rPr>
        <w:drawing>
          <wp:inline distT="0" distB="0" distL="0" distR="0" wp14:anchorId="57786CF4" wp14:editId="41F8A0DC">
            <wp:extent cx="3818534" cy="2221545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753" cy="2249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412" w:rsidRDefault="00411412" w:rsidP="00411412">
      <w:pPr>
        <w:spacing w:before="0"/>
        <w:rPr>
          <w:i/>
          <w:sz w:val="20"/>
        </w:rPr>
      </w:pPr>
      <w:r w:rsidRPr="008863C6">
        <w:rPr>
          <w:i/>
          <w:sz w:val="20"/>
        </w:rPr>
        <w:t xml:space="preserve">Zdroj: </w:t>
      </w:r>
      <w:r>
        <w:rPr>
          <w:i/>
          <w:sz w:val="20"/>
        </w:rPr>
        <w:t>FADN CZ, 2016, platby ANC 2018, vlastní výpočty ÚZEI</w:t>
      </w:r>
    </w:p>
    <w:p w:rsidR="00975A09" w:rsidRPr="00975A09" w:rsidRDefault="00975A09" w:rsidP="00E53131"/>
    <w:p w:rsidR="008679B2" w:rsidRDefault="008679B2" w:rsidP="00F245B1">
      <w:pPr>
        <w:ind w:firstLine="0"/>
        <w:jc w:val="left"/>
      </w:pPr>
    </w:p>
    <w:sectPr w:rsidR="008679B2" w:rsidSect="003B41E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4B" w:rsidRDefault="00806E4B" w:rsidP="00E326BC">
      <w:pPr>
        <w:spacing w:before="0" w:line="240" w:lineRule="auto"/>
      </w:pPr>
      <w:r>
        <w:separator/>
      </w:r>
    </w:p>
  </w:endnote>
  <w:endnote w:type="continuationSeparator" w:id="0">
    <w:p w:rsidR="00806E4B" w:rsidRDefault="00806E4B" w:rsidP="00E326BC">
      <w:pPr>
        <w:spacing w:before="0" w:line="240" w:lineRule="auto"/>
      </w:pPr>
      <w:r>
        <w:continuationSeparator/>
      </w:r>
    </w:p>
  </w:endnote>
  <w:endnote w:type="continuationNotice" w:id="1">
    <w:p w:rsidR="00806E4B" w:rsidRDefault="00806E4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706691"/>
      <w:docPartObj>
        <w:docPartGallery w:val="Page Numbers (Bottom of Page)"/>
        <w:docPartUnique/>
      </w:docPartObj>
    </w:sdtPr>
    <w:sdtContent>
      <w:p w:rsidR="00641E87" w:rsidRDefault="00641E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31">
          <w:rPr>
            <w:noProof/>
          </w:rPr>
          <w:t>4</w:t>
        </w:r>
        <w:r>
          <w:fldChar w:fldCharType="end"/>
        </w:r>
      </w:p>
    </w:sdtContent>
  </w:sdt>
  <w:p w:rsidR="00641E87" w:rsidRDefault="00641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4B" w:rsidRDefault="00806E4B" w:rsidP="00E326BC">
      <w:pPr>
        <w:spacing w:before="0" w:line="240" w:lineRule="auto"/>
      </w:pPr>
      <w:r>
        <w:separator/>
      </w:r>
    </w:p>
  </w:footnote>
  <w:footnote w:type="continuationSeparator" w:id="0">
    <w:p w:rsidR="00806E4B" w:rsidRDefault="00806E4B" w:rsidP="00E326BC">
      <w:pPr>
        <w:spacing w:before="0" w:line="240" w:lineRule="auto"/>
      </w:pPr>
      <w:r>
        <w:continuationSeparator/>
      </w:r>
    </w:p>
  </w:footnote>
  <w:footnote w:type="continuationNotice" w:id="1">
    <w:p w:rsidR="00806E4B" w:rsidRDefault="00806E4B">
      <w:pPr>
        <w:spacing w:before="0" w:line="240" w:lineRule="auto"/>
      </w:pPr>
    </w:p>
  </w:footnote>
  <w:footnote w:id="2">
    <w:p w:rsidR="00641E87" w:rsidRPr="009271F0" w:rsidRDefault="00641E87" w:rsidP="00CE0C7F">
      <w:pPr>
        <w:pStyle w:val="Textpoznpodarou"/>
        <w:rPr>
          <w:i/>
        </w:rPr>
      </w:pPr>
      <w:r w:rsidRPr="009271F0">
        <w:rPr>
          <w:rStyle w:val="Znakapoznpodarou"/>
          <w:i/>
        </w:rPr>
        <w:footnoteRef/>
      </w:r>
      <w:r w:rsidRPr="009271F0">
        <w:rPr>
          <w:i/>
        </w:rPr>
        <w:t xml:space="preserve"> </w:t>
      </w:r>
      <w:r>
        <w:rPr>
          <w:i/>
        </w:rPr>
        <w:t xml:space="preserve">Podle údajů </w:t>
      </w:r>
      <w:proofErr w:type="spellStart"/>
      <w:r>
        <w:rPr>
          <w:i/>
        </w:rPr>
        <w:t>Eurostatu</w:t>
      </w:r>
      <w:proofErr w:type="spellEnd"/>
      <w:r>
        <w:rPr>
          <w:i/>
        </w:rPr>
        <w:t>.</w:t>
      </w:r>
    </w:p>
  </w:footnote>
  <w:footnote w:id="3">
    <w:p w:rsidR="00641E87" w:rsidRPr="002C2F10" w:rsidRDefault="00641E87">
      <w:pPr>
        <w:pStyle w:val="Textpoznpodarou"/>
        <w:rPr>
          <w:i/>
        </w:rPr>
      </w:pPr>
      <w:r w:rsidRPr="002C2F10">
        <w:rPr>
          <w:rStyle w:val="Znakapoznpodarou"/>
          <w:i/>
        </w:rPr>
        <w:footnoteRef/>
      </w:r>
      <w:r w:rsidRPr="002C2F10">
        <w:rPr>
          <w:i/>
        </w:rPr>
        <w:t xml:space="preserve"> </w:t>
      </w:r>
      <w:r>
        <w:rPr>
          <w:i/>
        </w:rPr>
        <w:t>Příjmové ukazatele</w:t>
      </w:r>
      <w:r w:rsidRPr="002C2F10">
        <w:rPr>
          <w:i/>
        </w:rPr>
        <w:t xml:space="preserve"> v členění podle velikosti </w:t>
      </w:r>
      <w:r>
        <w:rPr>
          <w:i/>
        </w:rPr>
        <w:t xml:space="preserve">podniků </w:t>
      </w:r>
      <w:r w:rsidRPr="002C2F10">
        <w:rPr>
          <w:i/>
        </w:rPr>
        <w:t>viz Příloha 1.</w:t>
      </w:r>
    </w:p>
  </w:footnote>
  <w:footnote w:id="4">
    <w:p w:rsidR="00641E87" w:rsidRPr="002C2F10" w:rsidRDefault="00641E87" w:rsidP="00F06294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2C2F10">
        <w:rPr>
          <w:i/>
        </w:rPr>
        <w:t xml:space="preserve">Je nutné vzít v úvahu, že u podniků do 100 ha, s uplatňováním převážně daňové evidence, mohou být údaje zkreslovány např. nezapočítáváním všech příjmů, nadhodnoceným počtem skutečně alokované práce, daňovými důvody, apod. </w:t>
      </w:r>
      <w:r>
        <w:rPr>
          <w:i/>
        </w:rPr>
        <w:t>P</w:t>
      </w:r>
      <w:r w:rsidRPr="002C2F10">
        <w:rPr>
          <w:i/>
        </w:rPr>
        <w:t xml:space="preserve">ro lepší poznání struktury pracovní síly v podnicích do 100 ha </w:t>
      </w:r>
      <w:r>
        <w:rPr>
          <w:i/>
        </w:rPr>
        <w:t xml:space="preserve">se </w:t>
      </w:r>
      <w:r w:rsidRPr="002C2F10">
        <w:rPr>
          <w:i/>
        </w:rPr>
        <w:t xml:space="preserve">porovnal počet AWU s počtem pracovníků a </w:t>
      </w:r>
      <w:r>
        <w:rPr>
          <w:i/>
        </w:rPr>
        <w:t xml:space="preserve">bylo </w:t>
      </w:r>
      <w:r w:rsidRPr="002C2F10">
        <w:rPr>
          <w:i/>
        </w:rPr>
        <w:t>zji</w:t>
      </w:r>
      <w:r>
        <w:rPr>
          <w:i/>
        </w:rPr>
        <w:t>štěno</w:t>
      </w:r>
      <w:r w:rsidRPr="002C2F10">
        <w:rPr>
          <w:i/>
        </w:rPr>
        <w:t xml:space="preserve">, že více jak 5 % </w:t>
      </w:r>
      <w:r>
        <w:rPr>
          <w:i/>
        </w:rPr>
        <w:t xml:space="preserve">podniků </w:t>
      </w:r>
      <w:r w:rsidRPr="002C2F10">
        <w:rPr>
          <w:i/>
        </w:rPr>
        <w:t>nedosahuje ani 1 AWU na farmu a více jak 50 % podniků má evidováno více pracovníků, tzn., že část z nich pracují tzv. part-</w:t>
      </w:r>
      <w:proofErr w:type="spellStart"/>
      <w:r w:rsidRPr="002C2F10">
        <w:rPr>
          <w:i/>
        </w:rPr>
        <w:t>time</w:t>
      </w:r>
      <w:proofErr w:type="spellEnd"/>
      <w:r w:rsidRPr="002C2F10">
        <w:rPr>
          <w:i/>
        </w:rPr>
        <w:t xml:space="preserve">. Vzhledem k tomu, že se jedná o malé fyzické osoby, jde o spolupracující rodinné příslušníky. Jejich příjem mimo zemědělství se </w:t>
      </w:r>
      <w:r>
        <w:rPr>
          <w:i/>
        </w:rPr>
        <w:t xml:space="preserve">ve FADN </w:t>
      </w:r>
      <w:r w:rsidRPr="002C2F10">
        <w:rPr>
          <w:i/>
        </w:rPr>
        <w:t>nesleduje. T</w:t>
      </w:r>
      <w:r>
        <w:rPr>
          <w:i/>
        </w:rPr>
        <w:t>y</w:t>
      </w:r>
      <w:r w:rsidRPr="002C2F10">
        <w:rPr>
          <w:i/>
        </w:rPr>
        <w:t xml:space="preserve">to </w:t>
      </w:r>
      <w:r>
        <w:rPr>
          <w:i/>
        </w:rPr>
        <w:t xml:space="preserve">skutečnosti </w:t>
      </w:r>
      <w:r w:rsidRPr="002C2F10">
        <w:rPr>
          <w:i/>
        </w:rPr>
        <w:t>j</w:t>
      </w:r>
      <w:r>
        <w:rPr>
          <w:i/>
        </w:rPr>
        <w:t>sou</w:t>
      </w:r>
      <w:r w:rsidRPr="002C2F10">
        <w:rPr>
          <w:i/>
        </w:rPr>
        <w:t xml:space="preserve"> relevantní při diskusi o životaschopnosti těchto farem</w:t>
      </w:r>
      <w:r>
        <w:rPr>
          <w:i/>
        </w:rPr>
        <w:t xml:space="preserve"> ve srovnání s kategoriemi farem s větší velikostí</w:t>
      </w:r>
      <w:r w:rsidRPr="002C2F10">
        <w:rPr>
          <w:i/>
        </w:rPr>
        <w:t>.</w:t>
      </w:r>
    </w:p>
  </w:footnote>
  <w:footnote w:id="5">
    <w:p w:rsidR="00A850EE" w:rsidRPr="00A850EE" w:rsidRDefault="00A850EE">
      <w:pPr>
        <w:pStyle w:val="Textpoznpodarou"/>
        <w:rPr>
          <w:i/>
        </w:rPr>
      </w:pPr>
      <w:r w:rsidRPr="00A850EE">
        <w:rPr>
          <w:rStyle w:val="Znakapoznpodarou"/>
          <w:i/>
        </w:rPr>
        <w:footnoteRef/>
      </w:r>
      <w:r w:rsidRPr="00A850EE">
        <w:rPr>
          <w:i/>
        </w:rPr>
        <w:t xml:space="preserve"> </w:t>
      </w:r>
      <w:r w:rsidRPr="00A850EE">
        <w:rPr>
          <w:i/>
          <w:color w:val="000000"/>
          <w:szCs w:val="22"/>
        </w:rPr>
        <w:t>Provozní přebytek/(náklady příležitosti vlastní práce + náklady příležitosti vlastní půdy)</w:t>
      </w:r>
      <w:r>
        <w:rPr>
          <w:i/>
          <w:color w:val="000000"/>
          <w:szCs w:val="22"/>
        </w:rPr>
        <w:t xml:space="preserve">. </w:t>
      </w:r>
      <w:r w:rsidRPr="00A850EE">
        <w:rPr>
          <w:i/>
          <w:color w:val="000000"/>
          <w:szCs w:val="22"/>
        </w:rPr>
        <w:t>Hodnota větší než 1 = trvalá udržitelnost; hodnota menší než 1 signalizuje tendenci k možnému odchodu z trhu.</w:t>
      </w:r>
    </w:p>
  </w:footnote>
  <w:footnote w:id="6">
    <w:p w:rsidR="00641E87" w:rsidRDefault="00641E87" w:rsidP="002C2F1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E26B3">
        <w:rPr>
          <w:i/>
        </w:rPr>
        <w:t xml:space="preserve">Specializované chovy prasat a drůbeže se vyskytují především v produkčně intenzivních oblastech (mimo ANC) a v ostatních oblastech </w:t>
      </w:r>
      <w:r>
        <w:rPr>
          <w:i/>
        </w:rPr>
        <w:t>ANC</w:t>
      </w:r>
      <w:r w:rsidRPr="003E26B3">
        <w:rPr>
          <w:i/>
        </w:rPr>
        <w:t>. Tyto podniky hospodaří pouze s minimem zemědělské půdy</w:t>
      </w:r>
      <w:r>
        <w:rPr>
          <w:i/>
        </w:rPr>
        <w:t>,</w:t>
      </w:r>
      <w:r w:rsidRPr="003E26B3">
        <w:rPr>
          <w:i/>
        </w:rPr>
        <w:t xml:space="preserve"> a proto nejsou příjemci podpor ANC.</w:t>
      </w:r>
      <w:r>
        <w:rPr>
          <w:i/>
        </w:rPr>
        <w:t xml:space="preserve"> Z tohoto důvodu s</w:t>
      </w:r>
      <w:r w:rsidRPr="003E26B3">
        <w:rPr>
          <w:i/>
        </w:rPr>
        <w:t>pecializace chovu prasat a chovu drůbeže</w:t>
      </w:r>
      <w:r>
        <w:rPr>
          <w:i/>
        </w:rPr>
        <w:t xml:space="preserve"> se</w:t>
      </w:r>
      <w:r w:rsidRPr="003E26B3">
        <w:rPr>
          <w:i/>
        </w:rPr>
        <w:t xml:space="preserve"> v ANC</w:t>
      </w:r>
      <w:r>
        <w:rPr>
          <w:i/>
        </w:rPr>
        <w:t xml:space="preserve"> analýzách běžně nevyhodnocuje</w:t>
      </w:r>
      <w:r w:rsidRPr="003E26B3">
        <w:rPr>
          <w:i/>
        </w:rPr>
        <w:t xml:space="preserve">, nebo jsou ukazatele vykazovány na podnik a </w:t>
      </w:r>
      <w:r>
        <w:rPr>
          <w:i/>
        </w:rPr>
        <w:t xml:space="preserve">nikoli v přepočtu </w:t>
      </w:r>
      <w:r w:rsidRPr="003E26B3">
        <w:rPr>
          <w:i/>
        </w:rPr>
        <w:t>na ha</w:t>
      </w:r>
      <w:r>
        <w:rPr>
          <w:i/>
        </w:rPr>
        <w:t xml:space="preserve"> z. </w:t>
      </w:r>
      <w:proofErr w:type="gramStart"/>
      <w:r>
        <w:rPr>
          <w:i/>
        </w:rPr>
        <w:t>p.</w:t>
      </w:r>
      <w:proofErr w:type="gramEnd"/>
    </w:p>
  </w:footnote>
  <w:footnote w:id="7">
    <w:p w:rsidR="00641E87" w:rsidRPr="002C2F10" w:rsidRDefault="00641E87" w:rsidP="002C2F10">
      <w:pPr>
        <w:pStyle w:val="Textpoznpodarou"/>
        <w:jc w:val="both"/>
        <w:rPr>
          <w:i/>
        </w:rPr>
      </w:pPr>
      <w:r w:rsidRPr="002C2F10">
        <w:rPr>
          <w:rStyle w:val="Znakapoznpodarou"/>
          <w:i/>
        </w:rPr>
        <w:footnoteRef/>
      </w:r>
      <w:r w:rsidRPr="002C2F10">
        <w:rPr>
          <w:i/>
        </w:rPr>
        <w:t xml:space="preserve"> </w:t>
      </w:r>
      <w:r>
        <w:rPr>
          <w:i/>
        </w:rPr>
        <w:t>Viz p</w:t>
      </w:r>
      <w:r w:rsidRPr="002C2F10">
        <w:rPr>
          <w:i/>
        </w:rPr>
        <w:t>řílohové tabulky 2, 3. Komparace příjmové situace při původních (2014-16) podmínkách a nového vymezení ANC (od roku 2018) je uvedena v samostatné analýze.</w:t>
      </w:r>
    </w:p>
  </w:footnote>
  <w:footnote w:id="8">
    <w:p w:rsidR="00641E87" w:rsidRPr="00F00915" w:rsidRDefault="00641E87" w:rsidP="00BB01E6">
      <w:pPr>
        <w:pStyle w:val="Textpoznpodarou"/>
        <w:rPr>
          <w:sz w:val="18"/>
          <w:szCs w:val="18"/>
        </w:rPr>
      </w:pPr>
      <w:r w:rsidRPr="00F00915">
        <w:rPr>
          <w:rStyle w:val="Znakapoznpodarou"/>
        </w:rPr>
        <w:footnoteRef/>
      </w:r>
      <w:r w:rsidRPr="00F00915">
        <w:rPr>
          <w:sz w:val="18"/>
          <w:szCs w:val="18"/>
        </w:rPr>
        <w:t>http://www.ceskenoviny.cz/zpravy/kvuli-suchu-muze-klesnout-pocet-hospodarskych-zvirat-nebude-pice/1620485</w:t>
      </w:r>
    </w:p>
  </w:footnote>
  <w:footnote w:id="9">
    <w:p w:rsidR="00641E87" w:rsidRPr="00775214" w:rsidRDefault="00641E87">
      <w:pPr>
        <w:pStyle w:val="Textpoznpodarou"/>
        <w:rPr>
          <w:i/>
        </w:rPr>
      </w:pPr>
      <w:r w:rsidRPr="00775214">
        <w:rPr>
          <w:rStyle w:val="Znakapoznpodarou"/>
          <w:i/>
        </w:rPr>
        <w:footnoteRef/>
      </w:r>
      <w:r w:rsidRPr="00775214">
        <w:rPr>
          <w:i/>
        </w:rPr>
        <w:t xml:space="preserve"> Prozatím probíhají propočty u podniků s nízkou diversitou pěstovaných plodin.</w:t>
      </w:r>
    </w:p>
  </w:footnote>
  <w:footnote w:id="10">
    <w:p w:rsidR="00641E87" w:rsidRPr="00372CC0" w:rsidRDefault="00641E87" w:rsidP="00197C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3275D">
          <w:rPr>
            <w:rStyle w:val="Hypertextovodkaz"/>
          </w:rPr>
          <w:t>https://ec.europa.eu/agriculture/sites/agriculture/files/markets-and-prices/market-briefs/pdf/12_en.pdf</w:t>
        </w:r>
      </w:hyperlink>
      <w:r>
        <w:t xml:space="preserve"> </w:t>
      </w:r>
    </w:p>
  </w:footnote>
  <w:footnote w:id="11">
    <w:p w:rsidR="00641E87" w:rsidRDefault="00641E87" w:rsidP="006B40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Údaje tabulky na bázi průměru FADN 2014-16 je nutno pro menší reprezentativnost podle vybraných kategorií podniků chápat jako orientační/signální.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87" w:rsidRDefault="00641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6B6"/>
    <w:multiLevelType w:val="hybridMultilevel"/>
    <w:tmpl w:val="78AAA456"/>
    <w:lvl w:ilvl="0" w:tplc="D2DE4E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302428"/>
    <w:multiLevelType w:val="hybridMultilevel"/>
    <w:tmpl w:val="6B30874A"/>
    <w:lvl w:ilvl="0" w:tplc="7318D79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D2E37"/>
    <w:multiLevelType w:val="multilevel"/>
    <w:tmpl w:val="3B16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717631"/>
    <w:multiLevelType w:val="hybridMultilevel"/>
    <w:tmpl w:val="D1D2FC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80C5C"/>
    <w:multiLevelType w:val="hybridMultilevel"/>
    <w:tmpl w:val="379A5C86"/>
    <w:lvl w:ilvl="0" w:tplc="7A72CA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79C"/>
    <w:multiLevelType w:val="hybridMultilevel"/>
    <w:tmpl w:val="5A3E6C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21CC6"/>
    <w:multiLevelType w:val="hybridMultilevel"/>
    <w:tmpl w:val="3774E158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1561B"/>
    <w:multiLevelType w:val="multilevel"/>
    <w:tmpl w:val="CEB8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541D83"/>
    <w:multiLevelType w:val="hybridMultilevel"/>
    <w:tmpl w:val="66AC554C"/>
    <w:lvl w:ilvl="0" w:tplc="D4DA2F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25296"/>
    <w:multiLevelType w:val="multilevel"/>
    <w:tmpl w:val="3B16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EC3D12"/>
    <w:multiLevelType w:val="hybridMultilevel"/>
    <w:tmpl w:val="DBEA1948"/>
    <w:lvl w:ilvl="0" w:tplc="33D2615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16936"/>
    <w:multiLevelType w:val="hybridMultilevel"/>
    <w:tmpl w:val="03703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5ACF"/>
    <w:multiLevelType w:val="hybridMultilevel"/>
    <w:tmpl w:val="CF44F3CE"/>
    <w:lvl w:ilvl="0" w:tplc="33D2615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21082"/>
    <w:multiLevelType w:val="hybridMultilevel"/>
    <w:tmpl w:val="6CC2AE52"/>
    <w:lvl w:ilvl="0" w:tplc="3E20A9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1463"/>
    <w:multiLevelType w:val="hybridMultilevel"/>
    <w:tmpl w:val="7A48B95E"/>
    <w:lvl w:ilvl="0" w:tplc="0B4E1A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82B61"/>
    <w:multiLevelType w:val="hybridMultilevel"/>
    <w:tmpl w:val="7590857E"/>
    <w:lvl w:ilvl="0" w:tplc="8D129794">
      <w:start w:val="2"/>
      <w:numFmt w:val="bullet"/>
      <w:lvlText w:val="-"/>
      <w:lvlJc w:val="left"/>
      <w:pPr>
        <w:ind w:left="643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7464"/>
    <w:multiLevelType w:val="hybridMultilevel"/>
    <w:tmpl w:val="CA68AED6"/>
    <w:lvl w:ilvl="0" w:tplc="EF680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A5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DA16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DC03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1C5B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04F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A48A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FC2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9841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0BF3"/>
    <w:multiLevelType w:val="hybridMultilevel"/>
    <w:tmpl w:val="4FBA1BE6"/>
    <w:lvl w:ilvl="0" w:tplc="33D2615E">
      <w:start w:val="2"/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F661565"/>
    <w:multiLevelType w:val="hybridMultilevel"/>
    <w:tmpl w:val="246464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90677"/>
    <w:multiLevelType w:val="hybridMultilevel"/>
    <w:tmpl w:val="394206C0"/>
    <w:lvl w:ilvl="0" w:tplc="A42A69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0AB8"/>
    <w:multiLevelType w:val="hybridMultilevel"/>
    <w:tmpl w:val="4CC47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E085B"/>
    <w:multiLevelType w:val="hybridMultilevel"/>
    <w:tmpl w:val="8A1CC022"/>
    <w:lvl w:ilvl="0" w:tplc="60421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AC4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C0E9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4887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140D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5A93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F42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34F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C26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11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14"/>
  </w:num>
  <w:num w:numId="20">
    <w:abstractNumId w:val="21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3A"/>
    <w:rsid w:val="0000695E"/>
    <w:rsid w:val="00024E17"/>
    <w:rsid w:val="00030D25"/>
    <w:rsid w:val="00033D64"/>
    <w:rsid w:val="00047883"/>
    <w:rsid w:val="000509B0"/>
    <w:rsid w:val="000511CE"/>
    <w:rsid w:val="00057EC2"/>
    <w:rsid w:val="00060716"/>
    <w:rsid w:val="00061F02"/>
    <w:rsid w:val="00062F4E"/>
    <w:rsid w:val="0008015D"/>
    <w:rsid w:val="00080375"/>
    <w:rsid w:val="00081C31"/>
    <w:rsid w:val="000937F1"/>
    <w:rsid w:val="000A1E04"/>
    <w:rsid w:val="000B019C"/>
    <w:rsid w:val="000B1AEC"/>
    <w:rsid w:val="000B59AE"/>
    <w:rsid w:val="000B71E0"/>
    <w:rsid w:val="000C3209"/>
    <w:rsid w:val="000D7A27"/>
    <w:rsid w:val="000F0141"/>
    <w:rsid w:val="000F3DF6"/>
    <w:rsid w:val="0012174F"/>
    <w:rsid w:val="00133D35"/>
    <w:rsid w:val="00157D72"/>
    <w:rsid w:val="00162B2E"/>
    <w:rsid w:val="001665C7"/>
    <w:rsid w:val="0016713F"/>
    <w:rsid w:val="00167480"/>
    <w:rsid w:val="0017166F"/>
    <w:rsid w:val="0018032D"/>
    <w:rsid w:val="00183FCB"/>
    <w:rsid w:val="00185E93"/>
    <w:rsid w:val="00191274"/>
    <w:rsid w:val="00196984"/>
    <w:rsid w:val="00197CBD"/>
    <w:rsid w:val="001B10BE"/>
    <w:rsid w:val="001C1945"/>
    <w:rsid w:val="001C7116"/>
    <w:rsid w:val="001D197E"/>
    <w:rsid w:val="00214161"/>
    <w:rsid w:val="00225767"/>
    <w:rsid w:val="00237DBB"/>
    <w:rsid w:val="00241E17"/>
    <w:rsid w:val="00244F55"/>
    <w:rsid w:val="00246CE1"/>
    <w:rsid w:val="00247417"/>
    <w:rsid w:val="00275BB7"/>
    <w:rsid w:val="002909C2"/>
    <w:rsid w:val="0029416A"/>
    <w:rsid w:val="00295FF1"/>
    <w:rsid w:val="002B7FDE"/>
    <w:rsid w:val="002C2F10"/>
    <w:rsid w:val="002C7391"/>
    <w:rsid w:val="002D0362"/>
    <w:rsid w:val="002D0E41"/>
    <w:rsid w:val="002D3F1E"/>
    <w:rsid w:val="002E6060"/>
    <w:rsid w:val="00305B45"/>
    <w:rsid w:val="0032225C"/>
    <w:rsid w:val="00322464"/>
    <w:rsid w:val="00330755"/>
    <w:rsid w:val="00343F1A"/>
    <w:rsid w:val="0038130E"/>
    <w:rsid w:val="003816C5"/>
    <w:rsid w:val="003855CF"/>
    <w:rsid w:val="00393EB4"/>
    <w:rsid w:val="00395614"/>
    <w:rsid w:val="003974AB"/>
    <w:rsid w:val="003B3123"/>
    <w:rsid w:val="003B41E3"/>
    <w:rsid w:val="003C20F8"/>
    <w:rsid w:val="003E26B3"/>
    <w:rsid w:val="003F1925"/>
    <w:rsid w:val="0040276A"/>
    <w:rsid w:val="004030EE"/>
    <w:rsid w:val="0040413D"/>
    <w:rsid w:val="00411260"/>
    <w:rsid w:val="00411412"/>
    <w:rsid w:val="004173AF"/>
    <w:rsid w:val="004273A1"/>
    <w:rsid w:val="004523C7"/>
    <w:rsid w:val="0046201F"/>
    <w:rsid w:val="00464FAC"/>
    <w:rsid w:val="00482E46"/>
    <w:rsid w:val="00494750"/>
    <w:rsid w:val="004B14F7"/>
    <w:rsid w:val="004C3701"/>
    <w:rsid w:val="004C6D21"/>
    <w:rsid w:val="004D6F73"/>
    <w:rsid w:val="004E6A61"/>
    <w:rsid w:val="004F0152"/>
    <w:rsid w:val="004F063A"/>
    <w:rsid w:val="00501801"/>
    <w:rsid w:val="00504138"/>
    <w:rsid w:val="00507479"/>
    <w:rsid w:val="0051168C"/>
    <w:rsid w:val="00512F2F"/>
    <w:rsid w:val="0051505E"/>
    <w:rsid w:val="005276DE"/>
    <w:rsid w:val="00535A77"/>
    <w:rsid w:val="005471BE"/>
    <w:rsid w:val="00550576"/>
    <w:rsid w:val="00561325"/>
    <w:rsid w:val="00586CF7"/>
    <w:rsid w:val="005A0AD7"/>
    <w:rsid w:val="005A5E61"/>
    <w:rsid w:val="005B4B24"/>
    <w:rsid w:val="005F5ECA"/>
    <w:rsid w:val="0060366F"/>
    <w:rsid w:val="00611C00"/>
    <w:rsid w:val="00612009"/>
    <w:rsid w:val="00625F0A"/>
    <w:rsid w:val="006302C7"/>
    <w:rsid w:val="0063119E"/>
    <w:rsid w:val="00631377"/>
    <w:rsid w:val="00641E87"/>
    <w:rsid w:val="00663AE0"/>
    <w:rsid w:val="00663FF5"/>
    <w:rsid w:val="00670AB3"/>
    <w:rsid w:val="006718A0"/>
    <w:rsid w:val="00684F78"/>
    <w:rsid w:val="00691265"/>
    <w:rsid w:val="006930CF"/>
    <w:rsid w:val="006B40D6"/>
    <w:rsid w:val="006C1078"/>
    <w:rsid w:val="006D07AD"/>
    <w:rsid w:val="006E0992"/>
    <w:rsid w:val="006F6C24"/>
    <w:rsid w:val="007000F0"/>
    <w:rsid w:val="00703D4E"/>
    <w:rsid w:val="00705C68"/>
    <w:rsid w:val="00723A5A"/>
    <w:rsid w:val="00726CDF"/>
    <w:rsid w:val="00747D01"/>
    <w:rsid w:val="00751639"/>
    <w:rsid w:val="00753248"/>
    <w:rsid w:val="00753A68"/>
    <w:rsid w:val="00757E5E"/>
    <w:rsid w:val="00775214"/>
    <w:rsid w:val="007769D1"/>
    <w:rsid w:val="00790171"/>
    <w:rsid w:val="007A7388"/>
    <w:rsid w:val="007C0C78"/>
    <w:rsid w:val="007C7C3F"/>
    <w:rsid w:val="007D616A"/>
    <w:rsid w:val="007D7E69"/>
    <w:rsid w:val="007F65A9"/>
    <w:rsid w:val="008039B8"/>
    <w:rsid w:val="00806E4B"/>
    <w:rsid w:val="00807B53"/>
    <w:rsid w:val="00810D40"/>
    <w:rsid w:val="0081245E"/>
    <w:rsid w:val="00812A0D"/>
    <w:rsid w:val="00815519"/>
    <w:rsid w:val="00815B54"/>
    <w:rsid w:val="00816256"/>
    <w:rsid w:val="00822261"/>
    <w:rsid w:val="008570E1"/>
    <w:rsid w:val="008633A8"/>
    <w:rsid w:val="008643D9"/>
    <w:rsid w:val="008679B2"/>
    <w:rsid w:val="00874C34"/>
    <w:rsid w:val="0088205C"/>
    <w:rsid w:val="008863C6"/>
    <w:rsid w:val="008870E7"/>
    <w:rsid w:val="00891B77"/>
    <w:rsid w:val="00897EC5"/>
    <w:rsid w:val="008A342F"/>
    <w:rsid w:val="008A3768"/>
    <w:rsid w:val="008A5D97"/>
    <w:rsid w:val="008B606A"/>
    <w:rsid w:val="008C6857"/>
    <w:rsid w:val="008C6F5C"/>
    <w:rsid w:val="008D4B67"/>
    <w:rsid w:val="008E5501"/>
    <w:rsid w:val="0091560D"/>
    <w:rsid w:val="0091788F"/>
    <w:rsid w:val="009211BB"/>
    <w:rsid w:val="009271F0"/>
    <w:rsid w:val="00931B68"/>
    <w:rsid w:val="00936306"/>
    <w:rsid w:val="00940C9B"/>
    <w:rsid w:val="0095056D"/>
    <w:rsid w:val="009510A9"/>
    <w:rsid w:val="00953AEA"/>
    <w:rsid w:val="00960CB9"/>
    <w:rsid w:val="0097259E"/>
    <w:rsid w:val="0097343D"/>
    <w:rsid w:val="00974CE1"/>
    <w:rsid w:val="00975A09"/>
    <w:rsid w:val="00986F7B"/>
    <w:rsid w:val="00990D12"/>
    <w:rsid w:val="009B03BD"/>
    <w:rsid w:val="009C2281"/>
    <w:rsid w:val="009C2C74"/>
    <w:rsid w:val="009F68A0"/>
    <w:rsid w:val="00A0465F"/>
    <w:rsid w:val="00A16A46"/>
    <w:rsid w:val="00A40294"/>
    <w:rsid w:val="00A40734"/>
    <w:rsid w:val="00A45694"/>
    <w:rsid w:val="00A47EC5"/>
    <w:rsid w:val="00A5416F"/>
    <w:rsid w:val="00A543CF"/>
    <w:rsid w:val="00A6459C"/>
    <w:rsid w:val="00A70004"/>
    <w:rsid w:val="00A72329"/>
    <w:rsid w:val="00A7452A"/>
    <w:rsid w:val="00A850EE"/>
    <w:rsid w:val="00A85D4F"/>
    <w:rsid w:val="00AA008F"/>
    <w:rsid w:val="00AA1F1C"/>
    <w:rsid w:val="00AA453E"/>
    <w:rsid w:val="00AB2631"/>
    <w:rsid w:val="00AB7858"/>
    <w:rsid w:val="00AC3893"/>
    <w:rsid w:val="00AF4329"/>
    <w:rsid w:val="00AF7DDF"/>
    <w:rsid w:val="00B07214"/>
    <w:rsid w:val="00B16B5C"/>
    <w:rsid w:val="00B46186"/>
    <w:rsid w:val="00B634A5"/>
    <w:rsid w:val="00B804FF"/>
    <w:rsid w:val="00B838EF"/>
    <w:rsid w:val="00B87B34"/>
    <w:rsid w:val="00B930B0"/>
    <w:rsid w:val="00B96609"/>
    <w:rsid w:val="00BA09A2"/>
    <w:rsid w:val="00BA0E37"/>
    <w:rsid w:val="00BA6A6E"/>
    <w:rsid w:val="00BB01E6"/>
    <w:rsid w:val="00BB12CA"/>
    <w:rsid w:val="00BB36F0"/>
    <w:rsid w:val="00BB5FF5"/>
    <w:rsid w:val="00BC70D9"/>
    <w:rsid w:val="00BD115E"/>
    <w:rsid w:val="00BD1935"/>
    <w:rsid w:val="00BD2AB3"/>
    <w:rsid w:val="00BD6106"/>
    <w:rsid w:val="00C02AA8"/>
    <w:rsid w:val="00C10180"/>
    <w:rsid w:val="00C41C39"/>
    <w:rsid w:val="00C437D8"/>
    <w:rsid w:val="00C4408C"/>
    <w:rsid w:val="00C44E2F"/>
    <w:rsid w:val="00CA1A13"/>
    <w:rsid w:val="00CA2EC8"/>
    <w:rsid w:val="00CA71EF"/>
    <w:rsid w:val="00CB2F4E"/>
    <w:rsid w:val="00CC540A"/>
    <w:rsid w:val="00CC7C6F"/>
    <w:rsid w:val="00CE0C7F"/>
    <w:rsid w:val="00D163D5"/>
    <w:rsid w:val="00D2074F"/>
    <w:rsid w:val="00D40D68"/>
    <w:rsid w:val="00D50845"/>
    <w:rsid w:val="00D51283"/>
    <w:rsid w:val="00D84BBE"/>
    <w:rsid w:val="00D87347"/>
    <w:rsid w:val="00D91B82"/>
    <w:rsid w:val="00DA095B"/>
    <w:rsid w:val="00DA0FEF"/>
    <w:rsid w:val="00DA45D9"/>
    <w:rsid w:val="00DB3F90"/>
    <w:rsid w:val="00DC1206"/>
    <w:rsid w:val="00DC5C98"/>
    <w:rsid w:val="00DE0F81"/>
    <w:rsid w:val="00DE0FFA"/>
    <w:rsid w:val="00DF5C71"/>
    <w:rsid w:val="00E03CF5"/>
    <w:rsid w:val="00E047D6"/>
    <w:rsid w:val="00E10719"/>
    <w:rsid w:val="00E16A2A"/>
    <w:rsid w:val="00E2610F"/>
    <w:rsid w:val="00E27E71"/>
    <w:rsid w:val="00E326BC"/>
    <w:rsid w:val="00E33482"/>
    <w:rsid w:val="00E33B81"/>
    <w:rsid w:val="00E340D1"/>
    <w:rsid w:val="00E4113A"/>
    <w:rsid w:val="00E45693"/>
    <w:rsid w:val="00E510C6"/>
    <w:rsid w:val="00E53131"/>
    <w:rsid w:val="00E606C0"/>
    <w:rsid w:val="00E632BD"/>
    <w:rsid w:val="00E6665F"/>
    <w:rsid w:val="00E846C9"/>
    <w:rsid w:val="00E86D3B"/>
    <w:rsid w:val="00E87F00"/>
    <w:rsid w:val="00E92CE2"/>
    <w:rsid w:val="00EA62E7"/>
    <w:rsid w:val="00EC05FF"/>
    <w:rsid w:val="00EC6D5D"/>
    <w:rsid w:val="00EE3AE4"/>
    <w:rsid w:val="00EE4E7F"/>
    <w:rsid w:val="00F04720"/>
    <w:rsid w:val="00F06294"/>
    <w:rsid w:val="00F079BD"/>
    <w:rsid w:val="00F07DBD"/>
    <w:rsid w:val="00F11BE8"/>
    <w:rsid w:val="00F245B1"/>
    <w:rsid w:val="00F50A5A"/>
    <w:rsid w:val="00F5509C"/>
    <w:rsid w:val="00F717BF"/>
    <w:rsid w:val="00F81ABF"/>
    <w:rsid w:val="00F8795F"/>
    <w:rsid w:val="00F93FA4"/>
    <w:rsid w:val="00FA79E7"/>
    <w:rsid w:val="00FB6095"/>
    <w:rsid w:val="00FB7806"/>
    <w:rsid w:val="00FC47F1"/>
    <w:rsid w:val="00FD2B01"/>
    <w:rsid w:val="00FD78F2"/>
    <w:rsid w:val="00FD7C64"/>
    <w:rsid w:val="00FE1A48"/>
    <w:rsid w:val="00FE1B6B"/>
    <w:rsid w:val="00FE6887"/>
    <w:rsid w:val="00FE6E51"/>
    <w:rsid w:val="00FF20B1"/>
    <w:rsid w:val="00FF4499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D8A3"/>
  <w15:docId w15:val="{46919F2C-26F5-48AB-AC16-58CA3C3F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4113A"/>
    <w:pPr>
      <w:spacing w:before="60"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13A"/>
    <w:pPr>
      <w:keepNext/>
      <w:spacing w:before="480"/>
      <w:ind w:left="567" w:hanging="567"/>
      <w:jc w:val="left"/>
      <w:outlineLvl w:val="0"/>
    </w:pPr>
    <w:rPr>
      <w:rFonts w:ascii="Arial" w:hAnsi="Arial"/>
      <w:b/>
      <w:caps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4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-nazev">
    <w:name w:val="st-nazev"/>
    <w:basedOn w:val="Normln"/>
    <w:next w:val="Normln"/>
    <w:rsid w:val="00E4113A"/>
    <w:pPr>
      <w:spacing w:before="5640" w:line="240" w:lineRule="auto"/>
      <w:ind w:firstLine="0"/>
      <w:jc w:val="center"/>
    </w:pPr>
    <w:rPr>
      <w:rFonts w:ascii="Arial" w:hAnsi="Arial"/>
      <w:b/>
      <w:sz w:val="32"/>
    </w:rPr>
  </w:style>
  <w:style w:type="paragraph" w:customStyle="1" w:styleId="st-rok">
    <w:name w:val="st-rok"/>
    <w:basedOn w:val="Normln"/>
    <w:rsid w:val="00E4113A"/>
    <w:pPr>
      <w:spacing w:before="6000" w:line="240" w:lineRule="auto"/>
      <w:ind w:firstLine="0"/>
      <w:jc w:val="center"/>
    </w:pPr>
    <w:rPr>
      <w:b/>
    </w:rPr>
  </w:style>
  <w:style w:type="paragraph" w:customStyle="1" w:styleId="UZEI">
    <w:name w:val="UZEI"/>
    <w:basedOn w:val="Normln"/>
    <w:next w:val="Normln"/>
    <w:qFormat/>
    <w:rsid w:val="00E4113A"/>
    <w:pPr>
      <w:keepNext/>
      <w:spacing w:before="120" w:line="240" w:lineRule="auto"/>
      <w:ind w:firstLine="0"/>
      <w:jc w:val="center"/>
    </w:pPr>
    <w:rPr>
      <w:rFonts w:ascii="Arial" w:hAnsi="Arial"/>
      <w:b/>
      <w:caps/>
      <w:kern w:val="28"/>
      <w:szCs w:val="24"/>
      <w:lang w:val="x-none" w:eastAsia="x-none"/>
    </w:rPr>
  </w:style>
  <w:style w:type="paragraph" w:customStyle="1" w:styleId="logo">
    <w:name w:val="logo"/>
    <w:basedOn w:val="Normln"/>
    <w:rsid w:val="00E4113A"/>
    <w:pPr>
      <w:keepNext/>
      <w:spacing w:before="0" w:line="240" w:lineRule="auto"/>
      <w:ind w:firstLine="0"/>
      <w:jc w:val="center"/>
    </w:pPr>
    <w:rPr>
      <w:rFonts w:ascii="Arial" w:hAnsi="Arial"/>
      <w:b/>
      <w:bCs/>
      <w:caps/>
      <w:kern w:val="28"/>
      <w:sz w:val="28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E4113A"/>
    <w:rPr>
      <w:rFonts w:ascii="Arial" w:eastAsia="Times New Roman" w:hAnsi="Arial" w:cs="Times New Roman"/>
      <w:b/>
      <w:caps/>
      <w:kern w:val="28"/>
      <w:sz w:val="28"/>
      <w:szCs w:val="20"/>
      <w:lang w:val="x-none" w:eastAsia="x-none"/>
    </w:rPr>
  </w:style>
  <w:style w:type="paragraph" w:customStyle="1" w:styleId="Tabulka">
    <w:name w:val="Tabulka"/>
    <w:basedOn w:val="Normln"/>
    <w:rsid w:val="00E4113A"/>
    <w:pPr>
      <w:spacing w:line="300" w:lineRule="atLeast"/>
      <w:ind w:firstLine="0"/>
      <w:jc w:val="left"/>
    </w:pPr>
  </w:style>
  <w:style w:type="paragraph" w:styleId="Odstavecseseznamem">
    <w:name w:val="List Paragraph"/>
    <w:basedOn w:val="Normln"/>
    <w:uiPriority w:val="34"/>
    <w:qFormat/>
    <w:rsid w:val="00E4113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4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2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245B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5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B1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ulkasmkou21">
    <w:name w:val="Tabulka s mřížkou 21"/>
    <w:basedOn w:val="Normlntabulka"/>
    <w:uiPriority w:val="47"/>
    <w:rsid w:val="00F245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1">
    <w:name w:val="Barevná tabulka s mřížkou 61"/>
    <w:basedOn w:val="Normlntabulka"/>
    <w:uiPriority w:val="51"/>
    <w:rsid w:val="00F245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E326BC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6BC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6BC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6BC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Textpoznpodarou">
    <w:name w:val="footnote text"/>
    <w:basedOn w:val="Normln"/>
    <w:link w:val="TextpoznpodarouChar"/>
    <w:unhideWhenUsed/>
    <w:rsid w:val="00507479"/>
    <w:pPr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0747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0747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B804FF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04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4FF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B804FF"/>
    <w:rPr>
      <w:color w:val="0563C1" w:themeColor="hyperlink"/>
      <w:u w:val="single"/>
    </w:rPr>
  </w:style>
  <w:style w:type="table" w:customStyle="1" w:styleId="TableGridLight1">
    <w:name w:val="Table Grid Light1"/>
    <w:basedOn w:val="Normlntabulka"/>
    <w:uiPriority w:val="40"/>
    <w:rsid w:val="006D07AD"/>
    <w:pPr>
      <w:spacing w:after="0" w:line="240" w:lineRule="auto"/>
    </w:pPr>
    <w:rPr>
      <w:lang w:eastAsia="cs-CZ" w:bidi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70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0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0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A6A6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83FCB"/>
    <w:pPr>
      <w:spacing w:after="0" w:line="240" w:lineRule="auto"/>
    </w:pPr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0C7F"/>
    <w:pPr>
      <w:spacing w:before="100" w:beforeAutospacing="1" w:after="100" w:afterAutospacing="1" w:line="240" w:lineRule="auto"/>
      <w:ind w:firstLine="0"/>
      <w:jc w:val="left"/>
    </w:pPr>
    <w:rPr>
      <w:szCs w:val="24"/>
      <w:lang w:val="en-US" w:eastAsia="en-US"/>
    </w:rPr>
  </w:style>
  <w:style w:type="paragraph" w:customStyle="1" w:styleId="ManualConsidrant">
    <w:name w:val="Manual Considérant"/>
    <w:basedOn w:val="Normln"/>
    <w:rsid w:val="003B41E3"/>
    <w:pPr>
      <w:spacing w:before="120" w:after="120" w:line="240" w:lineRule="auto"/>
      <w:ind w:left="709" w:hanging="709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ln"/>
    <w:rsid w:val="00990D12"/>
    <w:pPr>
      <w:spacing w:before="120" w:after="120" w:line="240" w:lineRule="auto"/>
      <w:ind w:left="850" w:hanging="850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yperlink" Target="https://www.czso.cz/csu/czso/zemedelstvi-publikac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3.emf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hart" Target="charts/chart2.xml"/><Relationship Id="rId25" Type="http://schemas.openxmlformats.org/officeDocument/2006/relationships/image" Target="media/image9.png"/><Relationship Id="rId33" Type="http://schemas.openxmlformats.org/officeDocument/2006/relationships/image" Target="media/image12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hyperlink" Target="http://eagri.cz/public/web/file/581728/VZ_PP_2017_fin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23" Type="http://schemas.openxmlformats.org/officeDocument/2006/relationships/image" Target="media/image7.png"/><Relationship Id="rId28" Type="http://schemas.openxmlformats.org/officeDocument/2006/relationships/hyperlink" Target="https://www.czso.cz/csu/czso/zemedelstvi-publikace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hart" Target="charts/chart3.xml"/><Relationship Id="rId27" Type="http://schemas.openxmlformats.org/officeDocument/2006/relationships/hyperlink" Target="https://www.czso.cz/csu/czso/mzdy-a-naklady-prace" TargetMode="External"/><Relationship Id="rId30" Type="http://schemas.openxmlformats.org/officeDocument/2006/relationships/hyperlink" Target="https://www.eca.europa.eu/cs/Pages/DocItem.aspx?did=44179" TargetMode="External"/><Relationship Id="rId35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agriculture/sites/agriculture/files/markets-and-prices/market-briefs/pdf/12_en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inekl\Documents\!PRV%202020+\PS1%20Prijmy\Analytick&#233;%20podklady\GVA%20a%20dotace_od%20Jardy%20Humpa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inekl\Documents\!PRV%202020+\PS1\Analytick&#233;%20podklady\indik&#225;tory-p&#345;&#237;jmy-vzorce+tabulky2014-2016-R1_doplnek%20T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lik\Documents\PRVprijmy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List1!$P$2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C5-4525-9F84-3E743EBEDD44}"/>
              </c:ext>
            </c:extLst>
          </c:dPt>
          <c:cat>
            <c:strRef>
              <c:f>List1!$O$12:$O$20</c:f>
              <c:strCache>
                <c:ptCount val="9"/>
                <c:pt idx="0">
                  <c:v>Bulharsko</c:v>
                </c:pt>
                <c:pt idx="1">
                  <c:v>Česká republika</c:v>
                </c:pt>
                <c:pt idx="2">
                  <c:v>Německo</c:v>
                </c:pt>
                <c:pt idx="3">
                  <c:v>Francie</c:v>
                </c:pt>
                <c:pt idx="4">
                  <c:v>Maďarsko</c:v>
                </c:pt>
                <c:pt idx="5">
                  <c:v>Rakousko</c:v>
                </c:pt>
                <c:pt idx="6">
                  <c:v>Polsko</c:v>
                </c:pt>
                <c:pt idx="7">
                  <c:v>Rumunsko</c:v>
                </c:pt>
                <c:pt idx="8">
                  <c:v>Slovensko</c:v>
                </c:pt>
              </c:strCache>
            </c:strRef>
          </c:cat>
          <c:val>
            <c:numRef>
              <c:f>List1!$P$12:$P$20</c:f>
              <c:numCache>
                <c:formatCode>0.00%</c:formatCode>
                <c:ptCount val="9"/>
                <c:pt idx="0">
                  <c:v>0.44990253411306047</c:v>
                </c:pt>
                <c:pt idx="1">
                  <c:v>0.74526865346965421</c:v>
                </c:pt>
                <c:pt idx="2">
                  <c:v>0.38931524667843542</c:v>
                </c:pt>
                <c:pt idx="3">
                  <c:v>0.28731764678487853</c:v>
                </c:pt>
                <c:pt idx="4">
                  <c:v>0.42982279500604109</c:v>
                </c:pt>
                <c:pt idx="5">
                  <c:v>0.53292002479851208</c:v>
                </c:pt>
                <c:pt idx="6">
                  <c:v>0.48310082563956569</c:v>
                </c:pt>
                <c:pt idx="7">
                  <c:v>0.29992060341405324</c:v>
                </c:pt>
                <c:pt idx="8">
                  <c:v>0.84841363102232659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C5-4525-9F84-3E743EBED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089792"/>
        <c:axId val="472086184"/>
      </c:barChart>
      <c:catAx>
        <c:axId val="4720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086184"/>
        <c:crosses val="autoZero"/>
        <c:auto val="1"/>
        <c:lblAlgn val="ctr"/>
        <c:lblOffset val="100"/>
        <c:noMultiLvlLbl val="0"/>
      </c:catAx>
      <c:valAx>
        <c:axId val="47208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08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234648090148239E-2"/>
          <c:y val="4.1938992425463721E-2"/>
          <c:w val="0.89651776631280222"/>
          <c:h val="0.83148810772887294"/>
        </c:manualLayout>
      </c:layout>
      <c:lineChart>
        <c:grouping val="standard"/>
        <c:varyColors val="0"/>
        <c:ser>
          <c:idx val="1"/>
          <c:order val="0"/>
          <c:tx>
            <c:strRef>
              <c:f>GRAFY!$T$7</c:f>
              <c:strCache>
                <c:ptCount val="1"/>
                <c:pt idx="0">
                  <c:v>MZDY (Kč/AWU)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GRAFY!$C$12:$G$12</c:f>
              <c:strCache>
                <c:ptCount val="5"/>
                <c:pt idx="0">
                  <c:v>do 100 ha</c:v>
                </c:pt>
                <c:pt idx="1">
                  <c:v>100 - 500</c:v>
                </c:pt>
                <c:pt idx="2">
                  <c:v>500 - 1000</c:v>
                </c:pt>
                <c:pt idx="3">
                  <c:v>1000 - 2000</c:v>
                </c:pt>
                <c:pt idx="4">
                  <c:v>nad 2000</c:v>
                </c:pt>
              </c:strCache>
            </c:strRef>
          </c:cat>
          <c:val>
            <c:numRef>
              <c:f>GRAFY!$U$7:$Y$7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150.79955801193677</c:v>
                </c:pt>
                <c:pt idx="2">
                  <c:v>147.88286848446521</c:v>
                </c:pt>
                <c:pt idx="3">
                  <c:v>174.47941650214719</c:v>
                </c:pt>
                <c:pt idx="4">
                  <c:v>189.76133261937883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E6-4A36-A1BD-EED16380F73E}"/>
            </c:ext>
          </c:extLst>
        </c:ser>
        <c:ser>
          <c:idx val="0"/>
          <c:order val="1"/>
          <c:tx>
            <c:strRef>
              <c:f>GRAFY!$T$6</c:f>
              <c:strCache>
                <c:ptCount val="1"/>
                <c:pt idx="0">
                  <c:v>Indikátor "A" (CPH/AWU), Kč/AWU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GRAFY!$U$6:$Y$6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276.52324239946171</c:v>
                </c:pt>
                <c:pt idx="2">
                  <c:v>240.52963015147913</c:v>
                </c:pt>
                <c:pt idx="3">
                  <c:v>239.83549297707199</c:v>
                </c:pt>
                <c:pt idx="4">
                  <c:v>287.56103754945485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E6-4A36-A1BD-EED16380F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4755840"/>
        <c:axId val="484754664"/>
      </c:lineChart>
      <c:catAx>
        <c:axId val="484755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Velikostní</a:t>
                </a:r>
                <a:r>
                  <a:rPr lang="cs-CZ" baseline="0"/>
                  <a:t> kategorie podniku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754664"/>
        <c:crosses val="autoZero"/>
        <c:auto val="1"/>
        <c:lblAlgn val="ctr"/>
        <c:lblOffset val="100"/>
        <c:noMultiLvlLbl val="0"/>
      </c:catAx>
      <c:valAx>
        <c:axId val="48475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Index, kategorie "do 100 ha" = 100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7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8875239603024655"/>
          <c:y val="0.62295644979374243"/>
          <c:w val="0.61091426800299919"/>
          <c:h val="0.211603081210040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č.ř.!$A$3</c:f>
              <c:strCache>
                <c:ptCount val="1"/>
                <c:pt idx="0">
                  <c:v>NH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č.ř.!$B$3:$S$3</c:f>
              <c:numCache>
                <c:formatCode>#,##0</c:formatCode>
                <c:ptCount val="18"/>
                <c:pt idx="0">
                  <c:v>13219</c:v>
                </c:pt>
                <c:pt idx="1">
                  <c:v>14378</c:v>
                </c:pt>
                <c:pt idx="2">
                  <c:v>15524</c:v>
                </c:pt>
                <c:pt idx="3">
                  <c:v>16430</c:v>
                </c:pt>
                <c:pt idx="4">
                  <c:v>17466</c:v>
                </c:pt>
                <c:pt idx="5">
                  <c:v>18344</c:v>
                </c:pt>
                <c:pt idx="6">
                  <c:v>19546</c:v>
                </c:pt>
                <c:pt idx="7">
                  <c:v>20957</c:v>
                </c:pt>
                <c:pt idx="8">
                  <c:v>22592</c:v>
                </c:pt>
                <c:pt idx="9">
                  <c:v>23344</c:v>
                </c:pt>
                <c:pt idx="10">
                  <c:v>23864</c:v>
                </c:pt>
                <c:pt idx="11">
                  <c:v>24455</c:v>
                </c:pt>
                <c:pt idx="12">
                  <c:v>25067</c:v>
                </c:pt>
                <c:pt idx="13">
                  <c:v>25035</c:v>
                </c:pt>
                <c:pt idx="14">
                  <c:v>25768</c:v>
                </c:pt>
                <c:pt idx="15">
                  <c:v>26591</c:v>
                </c:pt>
                <c:pt idx="16">
                  <c:v>27575</c:v>
                </c:pt>
                <c:pt idx="17">
                  <c:v>29504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00-4CAC-8EFE-A7680F92119B}"/>
            </c:ext>
          </c:extLst>
        </c:ser>
        <c:ser>
          <c:idx val="1"/>
          <c:order val="1"/>
          <c:tx>
            <c:strRef>
              <c:f>č.ř.!$A$4</c:f>
              <c:strCache>
                <c:ptCount val="1"/>
                <c:pt idx="0">
                  <c:v>Zeměděl.,les.,ryb.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č.ř.!$B$4:$S$4</c:f>
              <c:numCache>
                <c:formatCode>#,##0</c:formatCode>
                <c:ptCount val="18"/>
                <c:pt idx="0">
                  <c:v>10456</c:v>
                </c:pt>
                <c:pt idx="1">
                  <c:v>11447</c:v>
                </c:pt>
                <c:pt idx="2">
                  <c:v>11813</c:v>
                </c:pt>
                <c:pt idx="3">
                  <c:v>12188</c:v>
                </c:pt>
                <c:pt idx="4">
                  <c:v>13244</c:v>
                </c:pt>
                <c:pt idx="5">
                  <c:v>13961</c:v>
                </c:pt>
                <c:pt idx="6">
                  <c:v>14838</c:v>
                </c:pt>
                <c:pt idx="7">
                  <c:v>16194</c:v>
                </c:pt>
                <c:pt idx="8">
                  <c:v>17765</c:v>
                </c:pt>
                <c:pt idx="9">
                  <c:v>17644</c:v>
                </c:pt>
                <c:pt idx="10">
                  <c:v>18465</c:v>
                </c:pt>
                <c:pt idx="11">
                  <c:v>19003</c:v>
                </c:pt>
                <c:pt idx="12">
                  <c:v>19855</c:v>
                </c:pt>
                <c:pt idx="13">
                  <c:v>20545</c:v>
                </c:pt>
                <c:pt idx="14">
                  <c:v>21320</c:v>
                </c:pt>
                <c:pt idx="15">
                  <c:v>21668</c:v>
                </c:pt>
                <c:pt idx="16">
                  <c:v>22502</c:v>
                </c:pt>
                <c:pt idx="17">
                  <c:v>23713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00-4CAC-8EFE-A7680F92119B}"/>
            </c:ext>
          </c:extLst>
        </c:ser>
        <c:ser>
          <c:idx val="2"/>
          <c:order val="2"/>
          <c:tx>
            <c:strRef>
              <c:f>č.ř.!$A$5</c:f>
              <c:strCache>
                <c:ptCount val="1"/>
                <c:pt idx="0">
                  <c:v>Průmysl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č.ř.!$B$2:$S$2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č.ř.!$B$5:$S$5</c:f>
              <c:numCache>
                <c:formatCode>#,##0</c:formatCode>
                <c:ptCount val="18"/>
                <c:pt idx="0">
                  <c:v>13234</c:v>
                </c:pt>
                <c:pt idx="1">
                  <c:v>14153</c:v>
                </c:pt>
                <c:pt idx="2">
                  <c:v>15081</c:v>
                </c:pt>
                <c:pt idx="3">
                  <c:v>15850</c:v>
                </c:pt>
                <c:pt idx="4">
                  <c:v>17021</c:v>
                </c:pt>
                <c:pt idx="5">
                  <c:v>17837</c:v>
                </c:pt>
                <c:pt idx="6">
                  <c:v>18977</c:v>
                </c:pt>
                <c:pt idx="7">
                  <c:v>20311</c:v>
                </c:pt>
                <c:pt idx="8">
                  <c:v>22118</c:v>
                </c:pt>
                <c:pt idx="9">
                  <c:v>22625</c:v>
                </c:pt>
                <c:pt idx="10">
                  <c:v>23639</c:v>
                </c:pt>
                <c:pt idx="11">
                  <c:v>24392</c:v>
                </c:pt>
                <c:pt idx="12">
                  <c:v>25132</c:v>
                </c:pt>
                <c:pt idx="13">
                  <c:v>25336</c:v>
                </c:pt>
                <c:pt idx="14">
                  <c:v>26176</c:v>
                </c:pt>
                <c:pt idx="15">
                  <c:v>26857</c:v>
                </c:pt>
                <c:pt idx="16">
                  <c:v>27867</c:v>
                </c:pt>
                <c:pt idx="17">
                  <c:v>29842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00-4CAC-8EFE-A7680F921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5366344"/>
        <c:axId val="325366736"/>
      </c:lineChart>
      <c:catAx>
        <c:axId val="32536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366736"/>
        <c:crosses val="autoZero"/>
        <c:auto val="1"/>
        <c:lblAlgn val="ctr"/>
        <c:lblOffset val="100"/>
        <c:noMultiLvlLbl val="0"/>
      </c:catAx>
      <c:valAx>
        <c:axId val="325366736"/>
        <c:scaling>
          <c:orientation val="minMax"/>
          <c:max val="30000"/>
          <c:min val="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366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PPJUKTQ2N3EH-1-116083</_dlc_DocId>
    <_dlc_DocIdUrl xmlns="bc3fb474-7ee0-46e5-8a88-7652e86342ee">
      <Url>http://dms/_layouts/15/DocIdRedir.aspx?ID=PPJUKTQ2N3EH-1-116083</Url>
      <Description>PPJUKTQ2N3EH-1-116083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AE35-8189-4834-9011-0CA3D6F6592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2.xml><?xml version="1.0" encoding="utf-8"?>
<ds:datastoreItem xmlns:ds="http://schemas.openxmlformats.org/officeDocument/2006/customXml" ds:itemID="{C6E627EC-9108-4FCC-9467-A1D32BB2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F95D6-96E5-46A9-8E08-99A2065DB3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C31A2D-7544-4270-8D49-46999DB33C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361D53-1DEB-4B54-BC88-0B2C2E81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25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Ladislav</dc:creator>
  <cp:keywords/>
  <dc:description/>
  <cp:lastModifiedBy>Jelínek Ladislav</cp:lastModifiedBy>
  <cp:revision>21</cp:revision>
  <cp:lastPrinted>2018-09-13T06:04:00Z</cp:lastPrinted>
  <dcterms:created xsi:type="dcterms:W3CDTF">2018-09-27T14:42:00Z</dcterms:created>
  <dcterms:modified xsi:type="dcterms:W3CDTF">2018-09-28T09:23:00Z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65c64069-322a-4a6f-8597-d3436ec0da61</vt:lpwstr>
  </property>
  <property fmtid="{D5CDD505-2E9C-101B-9397-08002B2CF9AE}" pid="3" name="ContentTypeId">
    <vt:lpwstr>0x0101004206D1F23D4B7D41BAFDD078F70E603C</vt:lpwstr>
  </property>
</Properties>
</file>